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823A4" w14:textId="77777777" w:rsidR="00935687" w:rsidRPr="004C258D" w:rsidRDefault="00935687" w:rsidP="00935687">
      <w:pPr>
        <w:ind w:right="-2"/>
        <w:jc w:val="center"/>
        <w:rPr>
          <w:rFonts w:ascii="Calibri" w:eastAsia="Calibri" w:hAnsi="Calibri" w:cs="Calibri"/>
          <w:b/>
          <w:bCs/>
          <w:color w:val="000000"/>
          <w:sz w:val="32"/>
          <w:szCs w:val="32"/>
        </w:rPr>
      </w:pPr>
      <w:bookmarkStart w:id="0" w:name="_Toc59541305"/>
    </w:p>
    <w:p w14:paraId="669BFF40" w14:textId="77777777" w:rsidR="00935687" w:rsidRPr="004C258D" w:rsidRDefault="00935687" w:rsidP="00935687">
      <w:pPr>
        <w:ind w:right="-2"/>
        <w:jc w:val="center"/>
        <w:rPr>
          <w:rFonts w:ascii="Calibri" w:eastAsia="Calibri" w:hAnsi="Calibri" w:cs="Calibri"/>
          <w:b/>
          <w:bCs/>
          <w:color w:val="000000"/>
          <w:sz w:val="32"/>
          <w:szCs w:val="32"/>
        </w:rPr>
      </w:pPr>
    </w:p>
    <w:p w14:paraId="099C2EB1" w14:textId="77777777" w:rsidR="00935687" w:rsidRPr="004C258D" w:rsidRDefault="00935687" w:rsidP="00935687">
      <w:pPr>
        <w:ind w:right="-2"/>
        <w:jc w:val="center"/>
        <w:rPr>
          <w:rFonts w:ascii="Calibri" w:eastAsia="Calibri" w:hAnsi="Calibri" w:cs="Calibri"/>
          <w:b/>
          <w:bCs/>
          <w:color w:val="000000"/>
          <w:sz w:val="32"/>
          <w:szCs w:val="32"/>
        </w:rPr>
      </w:pPr>
    </w:p>
    <w:p w14:paraId="47B7FA1E" w14:textId="77777777" w:rsidR="00935687" w:rsidRPr="004C258D" w:rsidRDefault="00935687" w:rsidP="00935687">
      <w:pPr>
        <w:ind w:right="-2"/>
        <w:jc w:val="center"/>
        <w:rPr>
          <w:rFonts w:ascii="Calibri" w:eastAsia="Calibri" w:hAnsi="Calibri" w:cs="Calibri"/>
          <w:b/>
          <w:bCs/>
          <w:color w:val="000000"/>
          <w:sz w:val="32"/>
          <w:szCs w:val="32"/>
        </w:rPr>
      </w:pPr>
    </w:p>
    <w:p w14:paraId="7803251D" w14:textId="77777777" w:rsidR="00935687" w:rsidRPr="004C258D" w:rsidRDefault="00935687" w:rsidP="00935687">
      <w:pPr>
        <w:spacing w:after="200" w:line="264" w:lineRule="auto"/>
        <w:jc w:val="center"/>
        <w:rPr>
          <w:rFonts w:ascii="Calibri" w:eastAsia="Times New Roman" w:hAnsi="Calibri" w:cs="Calibri"/>
          <w:b/>
          <w:bCs/>
          <w:color w:val="4F81BD"/>
          <w:kern w:val="1"/>
          <w:sz w:val="32"/>
          <w:szCs w:val="32"/>
          <w:lang w:eastAsia="ar-SA"/>
        </w:rPr>
      </w:pPr>
      <w:r w:rsidRPr="004C258D">
        <w:rPr>
          <w:rFonts w:ascii="Calibri" w:eastAsia="Times New Roman" w:hAnsi="Calibri" w:cs="Calibri"/>
          <w:b/>
          <w:bCs/>
          <w:sz w:val="32"/>
          <w:szCs w:val="32"/>
        </w:rPr>
        <w:t>Evaluarea intervențiilor POSDRU în domeniul incluziunii sociale</w:t>
      </w:r>
    </w:p>
    <w:p w14:paraId="2BB3D008" w14:textId="07939853" w:rsidR="00935687" w:rsidRPr="004C258D" w:rsidRDefault="00935687" w:rsidP="00935687">
      <w:pPr>
        <w:pBdr>
          <w:top w:val="single" w:sz="4" w:space="10" w:color="4F81BD"/>
          <w:bottom w:val="single" w:sz="4" w:space="10" w:color="4F81BD"/>
        </w:pBdr>
        <w:spacing w:line="240" w:lineRule="auto"/>
        <w:ind w:left="862" w:right="862"/>
        <w:jc w:val="center"/>
        <w:rPr>
          <w:rFonts w:ascii="Calibri" w:eastAsia="Calibri" w:hAnsi="Calibri" w:cs="Calibri"/>
          <w:b/>
          <w:bCs/>
          <w:color w:val="3CA1BC"/>
          <w:sz w:val="36"/>
          <w:szCs w:val="36"/>
          <w:lang w:eastAsia="ar-SA"/>
        </w:rPr>
      </w:pPr>
      <w:r w:rsidRPr="004C258D">
        <w:rPr>
          <w:rFonts w:ascii="Calibri" w:eastAsia="Calibri" w:hAnsi="Calibri" w:cs="Calibri"/>
          <w:b/>
          <w:bCs/>
          <w:color w:val="3CA1BC"/>
          <w:sz w:val="36"/>
          <w:szCs w:val="36"/>
          <w:lang w:eastAsia="ar-SA"/>
        </w:rPr>
        <w:t>(DMI 6.</w:t>
      </w:r>
      <w:r>
        <w:rPr>
          <w:rFonts w:ascii="Calibri" w:eastAsia="Calibri" w:hAnsi="Calibri" w:cs="Calibri"/>
          <w:b/>
          <w:bCs/>
          <w:color w:val="3CA1BC"/>
          <w:sz w:val="36"/>
          <w:szCs w:val="36"/>
          <w:lang w:eastAsia="ar-SA"/>
        </w:rPr>
        <w:t>3</w:t>
      </w:r>
      <w:r w:rsidRPr="004C258D">
        <w:rPr>
          <w:rFonts w:ascii="Calibri" w:eastAsia="Calibri" w:hAnsi="Calibri" w:cs="Calibri"/>
          <w:b/>
          <w:bCs/>
          <w:color w:val="3CA1BC"/>
          <w:sz w:val="36"/>
          <w:szCs w:val="36"/>
          <w:lang w:eastAsia="ar-SA"/>
        </w:rPr>
        <w:t>)</w:t>
      </w:r>
      <w:r>
        <w:rPr>
          <w:rFonts w:ascii="Calibri" w:eastAsia="Calibri" w:hAnsi="Calibri" w:cs="Calibri"/>
          <w:b/>
          <w:bCs/>
          <w:color w:val="3CA1BC"/>
          <w:sz w:val="36"/>
          <w:szCs w:val="36"/>
          <w:lang w:eastAsia="ar-SA"/>
        </w:rPr>
        <w:t>.</w:t>
      </w:r>
      <w:r w:rsidRPr="004C258D">
        <w:rPr>
          <w:rFonts w:ascii="Calibri" w:eastAsia="Calibri" w:hAnsi="Calibri" w:cs="Calibri"/>
          <w:b/>
          <w:bCs/>
          <w:color w:val="3CA1BC"/>
          <w:sz w:val="36"/>
          <w:szCs w:val="36"/>
          <w:lang w:eastAsia="ar-SA"/>
        </w:rPr>
        <w:t xml:space="preserve"> Anexa </w:t>
      </w:r>
      <w:r>
        <w:rPr>
          <w:rFonts w:ascii="Calibri" w:eastAsia="Calibri" w:hAnsi="Calibri" w:cs="Calibri"/>
          <w:b/>
          <w:bCs/>
          <w:color w:val="3CA1BC"/>
          <w:sz w:val="36"/>
          <w:szCs w:val="36"/>
          <w:lang w:eastAsia="ar-SA"/>
        </w:rPr>
        <w:t>8.</w:t>
      </w:r>
      <w:r w:rsidRPr="004C258D">
        <w:rPr>
          <w:rFonts w:ascii="Calibri" w:eastAsia="Calibri" w:hAnsi="Calibri" w:cs="Calibri"/>
          <w:b/>
          <w:bCs/>
          <w:color w:val="3CA1BC"/>
          <w:sz w:val="36"/>
          <w:szCs w:val="36"/>
          <w:lang w:eastAsia="ar-SA"/>
        </w:rPr>
        <w:t xml:space="preserve"> </w:t>
      </w:r>
      <w:r>
        <w:rPr>
          <w:rFonts w:ascii="Calibri" w:eastAsia="Calibri" w:hAnsi="Calibri" w:cs="Calibri"/>
          <w:b/>
          <w:bCs/>
          <w:color w:val="3CA1BC"/>
          <w:sz w:val="36"/>
          <w:szCs w:val="36"/>
          <w:lang w:eastAsia="ar-SA"/>
        </w:rPr>
        <w:t>R</w:t>
      </w:r>
      <w:r w:rsidRPr="004C258D">
        <w:rPr>
          <w:rFonts w:ascii="Calibri" w:eastAsia="Calibri" w:hAnsi="Calibri" w:cs="Calibri"/>
          <w:b/>
          <w:bCs/>
          <w:color w:val="3CA1BC"/>
          <w:sz w:val="36"/>
          <w:szCs w:val="36"/>
          <w:lang w:eastAsia="ar-SA"/>
        </w:rPr>
        <w:t xml:space="preserve">aport </w:t>
      </w:r>
      <w:r>
        <w:rPr>
          <w:rFonts w:ascii="Calibri" w:eastAsia="Calibri" w:hAnsi="Calibri" w:cs="Calibri"/>
          <w:b/>
          <w:bCs/>
          <w:color w:val="3CA1BC"/>
          <w:sz w:val="36"/>
          <w:szCs w:val="36"/>
          <w:lang w:eastAsia="ar-SA"/>
        </w:rPr>
        <w:t>P</w:t>
      </w:r>
      <w:r w:rsidRPr="004C258D">
        <w:rPr>
          <w:rFonts w:ascii="Calibri" w:eastAsia="Calibri" w:hAnsi="Calibri" w:cs="Calibri"/>
          <w:b/>
          <w:bCs/>
          <w:color w:val="3CA1BC"/>
          <w:sz w:val="36"/>
          <w:szCs w:val="36"/>
          <w:lang w:eastAsia="ar-SA"/>
        </w:rPr>
        <w:t>anel de experți</w:t>
      </w:r>
    </w:p>
    <w:p w14:paraId="2C409E8C" w14:textId="77777777" w:rsidR="00935687" w:rsidRPr="004C258D" w:rsidRDefault="00935687" w:rsidP="00935687">
      <w:pPr>
        <w:rPr>
          <w:rFonts w:ascii="Calibri" w:eastAsiaTheme="majorEastAsia" w:hAnsi="Calibri" w:cs="Calibri"/>
          <w:i/>
          <w:spacing w:val="-10"/>
          <w:kern w:val="28"/>
        </w:rPr>
      </w:pPr>
    </w:p>
    <w:p w14:paraId="460F19F4" w14:textId="77777777" w:rsidR="00935687" w:rsidRPr="004C258D" w:rsidRDefault="00935687" w:rsidP="00935687">
      <w:pPr>
        <w:rPr>
          <w:rFonts w:ascii="Calibri" w:eastAsiaTheme="majorEastAsia" w:hAnsi="Calibri" w:cs="Calibri"/>
          <w:i/>
          <w:spacing w:val="-10"/>
          <w:kern w:val="28"/>
        </w:rPr>
      </w:pPr>
    </w:p>
    <w:p w14:paraId="4C638F37" w14:textId="77777777" w:rsidR="00935687" w:rsidRPr="004C258D" w:rsidRDefault="00935687" w:rsidP="00935687">
      <w:pPr>
        <w:rPr>
          <w:rFonts w:ascii="Calibri" w:eastAsiaTheme="majorEastAsia" w:hAnsi="Calibri" w:cs="Calibri"/>
          <w:i/>
          <w:spacing w:val="-10"/>
          <w:kern w:val="28"/>
        </w:rPr>
      </w:pPr>
    </w:p>
    <w:p w14:paraId="227A0833" w14:textId="77777777" w:rsidR="00935687" w:rsidRPr="004C258D" w:rsidRDefault="00935687" w:rsidP="00935687">
      <w:pPr>
        <w:rPr>
          <w:rFonts w:ascii="Calibri" w:eastAsiaTheme="majorEastAsia" w:hAnsi="Calibri" w:cs="Calibri"/>
          <w:i/>
          <w:spacing w:val="-10"/>
          <w:kern w:val="28"/>
        </w:rPr>
      </w:pPr>
    </w:p>
    <w:p w14:paraId="3E99507D" w14:textId="77777777" w:rsidR="00935687" w:rsidRPr="004C258D" w:rsidRDefault="00935687" w:rsidP="00935687">
      <w:pPr>
        <w:rPr>
          <w:rFonts w:ascii="Calibri" w:eastAsiaTheme="majorEastAsia" w:hAnsi="Calibri" w:cs="Calibri"/>
          <w:i/>
          <w:spacing w:val="-10"/>
          <w:kern w:val="28"/>
        </w:rPr>
      </w:pPr>
    </w:p>
    <w:p w14:paraId="1AB19B96" w14:textId="77777777" w:rsidR="00935687" w:rsidRPr="004C258D" w:rsidRDefault="00935687" w:rsidP="00935687">
      <w:pPr>
        <w:rPr>
          <w:rFonts w:ascii="Calibri" w:eastAsiaTheme="majorEastAsia" w:hAnsi="Calibri" w:cs="Calibri"/>
          <w:i/>
          <w:spacing w:val="-10"/>
          <w:kern w:val="28"/>
        </w:rPr>
      </w:pPr>
    </w:p>
    <w:p w14:paraId="2AAA8A9B" w14:textId="77777777" w:rsidR="00935687" w:rsidRPr="004C258D" w:rsidRDefault="00935687" w:rsidP="00935687">
      <w:pPr>
        <w:jc w:val="center"/>
        <w:rPr>
          <w:rFonts w:ascii="Calibri" w:hAnsi="Calibri" w:cs="Calibri"/>
          <w:b/>
          <w:bCs/>
          <w:color w:val="000000" w:themeColor="text1"/>
        </w:rPr>
      </w:pPr>
    </w:p>
    <w:p w14:paraId="6B94303A" w14:textId="77777777" w:rsidR="00935687" w:rsidRPr="004C258D" w:rsidRDefault="00935687" w:rsidP="00935687">
      <w:pPr>
        <w:jc w:val="center"/>
        <w:rPr>
          <w:rFonts w:ascii="Calibri" w:hAnsi="Calibri" w:cs="Calibri"/>
          <w:b/>
          <w:bCs/>
          <w:color w:val="000000" w:themeColor="text1"/>
        </w:rPr>
      </w:pPr>
    </w:p>
    <w:p w14:paraId="2F0B0BB2" w14:textId="77777777" w:rsidR="00935687" w:rsidRPr="004C258D" w:rsidRDefault="00935687" w:rsidP="00935687">
      <w:pPr>
        <w:jc w:val="center"/>
        <w:rPr>
          <w:rFonts w:ascii="Calibri" w:hAnsi="Calibri" w:cs="Calibri"/>
          <w:b/>
          <w:bCs/>
          <w:color w:val="000000" w:themeColor="text1"/>
        </w:rPr>
      </w:pPr>
    </w:p>
    <w:p w14:paraId="55CC716C" w14:textId="77777777" w:rsidR="00935687" w:rsidRPr="004C258D" w:rsidRDefault="00935687" w:rsidP="00935687">
      <w:pPr>
        <w:jc w:val="center"/>
        <w:rPr>
          <w:rFonts w:ascii="Calibri" w:hAnsi="Calibri" w:cs="Calibri"/>
          <w:b/>
          <w:bCs/>
          <w:color w:val="000000" w:themeColor="text1"/>
        </w:rPr>
      </w:pPr>
    </w:p>
    <w:p w14:paraId="1F281A32" w14:textId="77777777" w:rsidR="00935687" w:rsidRPr="004C258D" w:rsidRDefault="00935687" w:rsidP="00935687">
      <w:pPr>
        <w:jc w:val="center"/>
        <w:rPr>
          <w:rFonts w:ascii="Calibri" w:hAnsi="Calibri" w:cs="Calibri"/>
          <w:b/>
          <w:bCs/>
          <w:color w:val="000000" w:themeColor="text1"/>
        </w:rPr>
      </w:pPr>
    </w:p>
    <w:p w14:paraId="6081C176" w14:textId="77777777" w:rsidR="00935687" w:rsidRDefault="00935687" w:rsidP="00935687">
      <w:pPr>
        <w:rPr>
          <w:rFonts w:ascii="Calibri" w:hAnsi="Calibri" w:cs="Calibri"/>
          <w:b/>
          <w:bCs/>
          <w:szCs w:val="20"/>
          <w:lang w:bidi="ne-NP"/>
        </w:rPr>
      </w:pPr>
      <w:r w:rsidRPr="004C258D">
        <w:rPr>
          <w:rFonts w:ascii="Calibri" w:hAnsi="Calibri" w:cs="Calibri"/>
          <w:b/>
          <w:bCs/>
          <w:szCs w:val="20"/>
          <w:lang w:bidi="ne-NP"/>
        </w:rPr>
        <w:br w:type="page"/>
      </w:r>
    </w:p>
    <w:p w14:paraId="720C7A82" w14:textId="77777777" w:rsidR="005821EE" w:rsidRPr="00F851B9" w:rsidRDefault="00981798" w:rsidP="00F851B9">
      <w:pPr>
        <w:pStyle w:val="Heading1"/>
        <w:spacing w:before="0" w:after="100" w:afterAutospacing="1" w:line="240" w:lineRule="auto"/>
        <w:contextualSpacing/>
        <w:jc w:val="center"/>
        <w:rPr>
          <w:rFonts w:asciiTheme="minorHAnsi" w:hAnsiTheme="minorHAnsi" w:cstheme="minorHAnsi"/>
          <w:b/>
          <w:bCs/>
          <w:color w:val="0070C0"/>
          <w:sz w:val="24"/>
          <w:szCs w:val="24"/>
          <w:lang w:val="ro-RO"/>
        </w:rPr>
      </w:pPr>
      <w:r w:rsidRPr="00F851B9">
        <w:rPr>
          <w:rFonts w:asciiTheme="minorHAnsi" w:hAnsiTheme="minorHAnsi" w:cstheme="minorHAnsi"/>
          <w:b/>
          <w:bCs/>
          <w:color w:val="0070C0"/>
          <w:sz w:val="24"/>
          <w:szCs w:val="24"/>
          <w:lang w:val="ro-RO"/>
        </w:rPr>
        <w:lastRenderedPageBreak/>
        <w:t>Minută panel</w:t>
      </w:r>
      <w:r w:rsidR="005821EE" w:rsidRPr="00F851B9">
        <w:rPr>
          <w:rFonts w:asciiTheme="minorHAnsi" w:hAnsiTheme="minorHAnsi" w:cstheme="minorHAnsi"/>
          <w:b/>
          <w:bCs/>
          <w:color w:val="0070C0"/>
          <w:sz w:val="24"/>
          <w:szCs w:val="24"/>
          <w:lang w:val="ro-RO"/>
        </w:rPr>
        <w:t xml:space="preserve"> de experți </w:t>
      </w:r>
      <w:bookmarkEnd w:id="0"/>
      <w:r w:rsidR="005731F5" w:rsidRPr="00F851B9">
        <w:rPr>
          <w:rFonts w:asciiTheme="minorHAnsi" w:hAnsiTheme="minorHAnsi" w:cstheme="minorHAnsi"/>
          <w:b/>
          <w:bCs/>
          <w:color w:val="0070C0"/>
          <w:sz w:val="24"/>
          <w:szCs w:val="24"/>
          <w:lang w:val="ro-RO"/>
        </w:rPr>
        <w:t>D</w:t>
      </w:r>
      <w:r w:rsidR="005821EE" w:rsidRPr="00F851B9">
        <w:rPr>
          <w:rFonts w:asciiTheme="minorHAnsi" w:hAnsiTheme="minorHAnsi" w:cstheme="minorHAnsi"/>
          <w:b/>
          <w:bCs/>
          <w:color w:val="0070C0"/>
          <w:sz w:val="24"/>
          <w:szCs w:val="24"/>
          <w:lang w:val="ro-RO"/>
        </w:rPr>
        <w:t xml:space="preserve">MI 6.3 </w:t>
      </w:r>
    </w:p>
    <w:p w14:paraId="63C4B8D2" w14:textId="77777777" w:rsidR="005821EE" w:rsidRPr="00F851B9" w:rsidRDefault="005821EE" w:rsidP="00F851B9">
      <w:pPr>
        <w:spacing w:after="100" w:afterAutospacing="1" w:line="240" w:lineRule="auto"/>
        <w:contextualSpacing/>
        <w:jc w:val="center"/>
        <w:rPr>
          <w:rFonts w:cstheme="minorHAnsi"/>
          <w:i/>
          <w:iCs/>
          <w:color w:val="0070C0"/>
          <w:lang w:val="ro-RO"/>
        </w:rPr>
      </w:pPr>
      <w:r w:rsidRPr="00F851B9">
        <w:rPr>
          <w:rFonts w:cstheme="minorHAnsi"/>
          <w:i/>
          <w:iCs/>
          <w:color w:val="0070C0"/>
          <w:lang w:val="ro-RO"/>
        </w:rPr>
        <w:t xml:space="preserve"> 14 Decembrie 2020, ora 14:00, platforma Zoom</w:t>
      </w:r>
    </w:p>
    <w:p w14:paraId="0CF34A33" w14:textId="77777777" w:rsidR="005821EE" w:rsidRPr="00F851B9" w:rsidRDefault="005821EE" w:rsidP="00F851B9">
      <w:pPr>
        <w:spacing w:before="120" w:after="100" w:afterAutospacing="1" w:line="240" w:lineRule="auto"/>
        <w:contextualSpacing/>
        <w:rPr>
          <w:rFonts w:cstheme="minorHAnsi"/>
          <w:sz w:val="20"/>
          <w:szCs w:val="20"/>
          <w:lang w:val="ro-RO"/>
        </w:rPr>
      </w:pPr>
    </w:p>
    <w:p w14:paraId="6C724E4E" w14:textId="77777777" w:rsidR="00F851B9" w:rsidRDefault="00F851B9" w:rsidP="00F851B9">
      <w:pPr>
        <w:spacing w:before="120" w:after="100" w:afterAutospacing="1" w:line="240" w:lineRule="auto"/>
        <w:contextualSpacing/>
        <w:rPr>
          <w:rFonts w:cstheme="minorHAnsi"/>
          <w:b/>
          <w:bCs/>
          <w:sz w:val="20"/>
          <w:szCs w:val="20"/>
          <w:lang w:val="ro-RO"/>
        </w:rPr>
      </w:pPr>
    </w:p>
    <w:p w14:paraId="783306FC" w14:textId="77777777" w:rsidR="00F851B9" w:rsidRDefault="00F851B9" w:rsidP="00F851B9">
      <w:pPr>
        <w:spacing w:before="120" w:after="100" w:afterAutospacing="1" w:line="240" w:lineRule="auto"/>
        <w:contextualSpacing/>
        <w:rPr>
          <w:rFonts w:cstheme="minorHAnsi"/>
          <w:b/>
          <w:bCs/>
          <w:sz w:val="20"/>
          <w:szCs w:val="20"/>
          <w:lang w:val="ro-RO"/>
        </w:rPr>
      </w:pPr>
    </w:p>
    <w:p w14:paraId="589FED1A" w14:textId="77777777" w:rsidR="005821EE" w:rsidRPr="00F851B9" w:rsidRDefault="005821EE" w:rsidP="00F851B9">
      <w:pPr>
        <w:spacing w:before="120" w:after="100" w:afterAutospacing="1" w:line="240" w:lineRule="auto"/>
        <w:contextualSpacing/>
        <w:rPr>
          <w:rFonts w:cstheme="minorHAnsi"/>
          <w:b/>
          <w:bCs/>
          <w:sz w:val="20"/>
          <w:szCs w:val="20"/>
          <w:lang w:val="ro-RO"/>
        </w:rPr>
      </w:pPr>
      <w:r w:rsidRPr="00F851B9">
        <w:rPr>
          <w:rFonts w:cstheme="minorHAnsi"/>
          <w:b/>
          <w:bCs/>
          <w:sz w:val="20"/>
          <w:szCs w:val="20"/>
          <w:lang w:val="ro-RO"/>
        </w:rPr>
        <w:t>Participanți DMI 6.3:</w:t>
      </w:r>
    </w:p>
    <w:p w14:paraId="0A57EC85" w14:textId="77777777" w:rsidR="005821EE" w:rsidRPr="009370E9" w:rsidRDefault="00935C0B" w:rsidP="00F851B9">
      <w:pPr>
        <w:pStyle w:val="ListParagraph"/>
        <w:numPr>
          <w:ilvl w:val="0"/>
          <w:numId w:val="4"/>
        </w:numPr>
        <w:spacing w:before="120" w:after="100" w:afterAutospacing="1"/>
        <w:contextualSpacing/>
        <w:rPr>
          <w:rFonts w:cstheme="minorHAnsi"/>
          <w:bCs/>
          <w:color w:val="auto"/>
          <w:sz w:val="20"/>
          <w:szCs w:val="20"/>
          <w:lang w:val="ro-RO"/>
        </w:rPr>
      </w:pPr>
      <w:r w:rsidRPr="009370E9">
        <w:rPr>
          <w:rFonts w:cstheme="minorHAnsi"/>
          <w:bCs/>
          <w:color w:val="auto"/>
          <w:sz w:val="20"/>
          <w:szCs w:val="20"/>
          <w:lang w:val="ro-RO"/>
        </w:rPr>
        <w:t xml:space="preserve">Mihai Popescu </w:t>
      </w:r>
      <w:r w:rsidR="000356BA" w:rsidRPr="009370E9">
        <w:rPr>
          <w:rFonts w:cstheme="minorHAnsi"/>
          <w:bCs/>
          <w:color w:val="auto"/>
          <w:sz w:val="20"/>
          <w:szCs w:val="20"/>
          <w:lang w:val="ro-RO"/>
        </w:rPr>
        <w:t>– reprezentant GRADO</w:t>
      </w:r>
    </w:p>
    <w:p w14:paraId="6A195745" w14:textId="77777777" w:rsidR="000356BA" w:rsidRPr="009370E9" w:rsidRDefault="000356BA" w:rsidP="00F851B9">
      <w:pPr>
        <w:pStyle w:val="ListParagraph"/>
        <w:numPr>
          <w:ilvl w:val="0"/>
          <w:numId w:val="4"/>
        </w:numPr>
        <w:spacing w:before="120" w:after="100" w:afterAutospacing="1"/>
        <w:contextualSpacing/>
        <w:rPr>
          <w:rFonts w:cstheme="minorHAnsi"/>
          <w:bCs/>
          <w:color w:val="auto"/>
          <w:sz w:val="20"/>
          <w:szCs w:val="20"/>
          <w:lang w:val="ro-RO"/>
        </w:rPr>
      </w:pPr>
      <w:r w:rsidRPr="009370E9">
        <w:rPr>
          <w:rFonts w:eastAsia="Times New Roman" w:cstheme="minorHAnsi"/>
          <w:color w:val="auto"/>
          <w:sz w:val="20"/>
          <w:szCs w:val="20"/>
        </w:rPr>
        <w:t>Ploscă Gabriel – reprezentant Sindicatul liberal al lucrătoril</w:t>
      </w:r>
      <w:r w:rsidR="00F851B9" w:rsidRPr="009370E9">
        <w:rPr>
          <w:rFonts w:eastAsia="Times New Roman" w:cstheme="minorHAnsi"/>
          <w:color w:val="auto"/>
          <w:sz w:val="20"/>
          <w:szCs w:val="20"/>
        </w:rPr>
        <w:t>or din învățământ și cercetare ș</w:t>
      </w:r>
      <w:r w:rsidRPr="009370E9">
        <w:rPr>
          <w:rFonts w:eastAsia="Times New Roman" w:cstheme="minorHAnsi"/>
          <w:color w:val="auto"/>
          <w:sz w:val="20"/>
          <w:szCs w:val="20"/>
        </w:rPr>
        <w:t>tiințifică Neamț</w:t>
      </w:r>
    </w:p>
    <w:p w14:paraId="6935F1AB" w14:textId="77777777" w:rsidR="000356BA" w:rsidRPr="009370E9" w:rsidRDefault="000356BA" w:rsidP="00F851B9">
      <w:pPr>
        <w:pStyle w:val="ListParagraph"/>
        <w:numPr>
          <w:ilvl w:val="0"/>
          <w:numId w:val="4"/>
        </w:numPr>
        <w:spacing w:before="120" w:after="100" w:afterAutospacing="1"/>
        <w:contextualSpacing/>
        <w:rPr>
          <w:rFonts w:cstheme="minorHAnsi"/>
          <w:bCs/>
          <w:color w:val="auto"/>
          <w:sz w:val="20"/>
          <w:szCs w:val="20"/>
          <w:lang w:val="ro-RO"/>
        </w:rPr>
      </w:pPr>
      <w:r w:rsidRPr="009370E9">
        <w:rPr>
          <w:rFonts w:eastAsia="Times New Roman" w:cstheme="minorHAnsi"/>
          <w:color w:val="auto"/>
          <w:sz w:val="20"/>
          <w:szCs w:val="20"/>
        </w:rPr>
        <w:t>Toma Ginu – Federația Agricultorilor Fermierul</w:t>
      </w:r>
    </w:p>
    <w:p w14:paraId="558513C6" w14:textId="77777777" w:rsidR="000356BA" w:rsidRPr="009370E9" w:rsidRDefault="000356BA" w:rsidP="00F851B9">
      <w:pPr>
        <w:pStyle w:val="ListParagraph"/>
        <w:numPr>
          <w:ilvl w:val="0"/>
          <w:numId w:val="4"/>
        </w:numPr>
        <w:spacing w:before="120" w:after="100" w:afterAutospacing="1"/>
        <w:contextualSpacing/>
        <w:rPr>
          <w:rFonts w:cstheme="minorHAnsi"/>
          <w:bCs/>
          <w:color w:val="auto"/>
          <w:sz w:val="20"/>
          <w:szCs w:val="20"/>
          <w:lang w:val="ro-RO"/>
        </w:rPr>
      </w:pPr>
      <w:r w:rsidRPr="009370E9">
        <w:rPr>
          <w:rFonts w:eastAsia="Times New Roman" w:cstheme="minorHAnsi"/>
          <w:color w:val="auto"/>
          <w:sz w:val="20"/>
          <w:szCs w:val="20"/>
        </w:rPr>
        <w:t xml:space="preserve">Brândușa Dăscălescu - </w:t>
      </w:r>
      <w:r w:rsidR="00922341" w:rsidRPr="009370E9">
        <w:rPr>
          <w:rFonts w:eastAsia="Times New Roman" w:cstheme="minorHAnsi"/>
          <w:color w:val="auto"/>
          <w:sz w:val="20"/>
          <w:szCs w:val="20"/>
        </w:rPr>
        <w:t>Fundația Umanitară Clopot</w:t>
      </w:r>
    </w:p>
    <w:p w14:paraId="6D5466EC" w14:textId="77777777" w:rsidR="00922341" w:rsidRPr="009370E9" w:rsidRDefault="009370E9" w:rsidP="00F851B9">
      <w:pPr>
        <w:pStyle w:val="ListParagraph"/>
        <w:numPr>
          <w:ilvl w:val="0"/>
          <w:numId w:val="4"/>
        </w:numPr>
        <w:spacing w:before="120" w:after="100" w:afterAutospacing="1"/>
        <w:contextualSpacing/>
        <w:rPr>
          <w:rFonts w:cstheme="minorHAnsi"/>
          <w:bCs/>
          <w:color w:val="auto"/>
          <w:sz w:val="20"/>
          <w:szCs w:val="20"/>
          <w:lang w:val="ro-RO"/>
        </w:rPr>
      </w:pPr>
      <w:r>
        <w:rPr>
          <w:rFonts w:eastAsia="Times New Roman" w:cstheme="minorHAnsi"/>
          <w:color w:val="auto"/>
          <w:sz w:val="20"/>
          <w:szCs w:val="20"/>
        </w:rPr>
        <w:t>Ramona Ciucă - Grupul p</w:t>
      </w:r>
      <w:r w:rsidR="00922341" w:rsidRPr="009370E9">
        <w:rPr>
          <w:rFonts w:eastAsia="Times New Roman" w:cstheme="minorHAnsi"/>
          <w:color w:val="auto"/>
          <w:sz w:val="20"/>
          <w:szCs w:val="20"/>
        </w:rPr>
        <w:t>entru Integrare Europeană</w:t>
      </w:r>
    </w:p>
    <w:p w14:paraId="59FD5D53" w14:textId="77777777" w:rsidR="00922341" w:rsidRPr="009370E9" w:rsidRDefault="00922341" w:rsidP="00F851B9">
      <w:pPr>
        <w:pStyle w:val="ListParagraph"/>
        <w:numPr>
          <w:ilvl w:val="0"/>
          <w:numId w:val="4"/>
        </w:numPr>
        <w:spacing w:before="120" w:after="100" w:afterAutospacing="1"/>
        <w:contextualSpacing/>
        <w:rPr>
          <w:rFonts w:cstheme="minorHAnsi"/>
          <w:bCs/>
          <w:color w:val="auto"/>
          <w:sz w:val="20"/>
          <w:szCs w:val="20"/>
          <w:lang w:val="ro-RO"/>
        </w:rPr>
      </w:pPr>
      <w:r w:rsidRPr="009370E9">
        <w:rPr>
          <w:rFonts w:eastAsia="Times New Roman" w:cstheme="minorHAnsi"/>
          <w:color w:val="auto"/>
          <w:sz w:val="20"/>
          <w:szCs w:val="20"/>
        </w:rPr>
        <w:t>Alexandru Vâneață - Asociația de Dezvoltare Intercomunitară Zona Metropolitană Craiova</w:t>
      </w:r>
    </w:p>
    <w:p w14:paraId="67F22113" w14:textId="77777777" w:rsidR="00922341" w:rsidRPr="00F851B9" w:rsidRDefault="00922341" w:rsidP="00F851B9">
      <w:pPr>
        <w:spacing w:before="120" w:after="100" w:afterAutospacing="1" w:line="240" w:lineRule="auto"/>
        <w:contextualSpacing/>
        <w:rPr>
          <w:rFonts w:cstheme="minorHAnsi"/>
          <w:b/>
          <w:bCs/>
          <w:sz w:val="20"/>
          <w:szCs w:val="20"/>
          <w:lang w:val="ro-RO"/>
        </w:rPr>
      </w:pPr>
    </w:p>
    <w:p w14:paraId="4EEBD3A2" w14:textId="77777777" w:rsidR="005821EE" w:rsidRPr="00F851B9" w:rsidRDefault="005821EE" w:rsidP="00F851B9">
      <w:pPr>
        <w:spacing w:before="120" w:after="100" w:afterAutospacing="1" w:line="240" w:lineRule="auto"/>
        <w:contextualSpacing/>
        <w:rPr>
          <w:rFonts w:cstheme="minorHAnsi"/>
          <w:b/>
          <w:bCs/>
          <w:sz w:val="20"/>
          <w:szCs w:val="20"/>
          <w:lang w:val="ro-RO"/>
        </w:rPr>
      </w:pPr>
      <w:r w:rsidRPr="00F851B9">
        <w:rPr>
          <w:rFonts w:cstheme="minorHAnsi"/>
          <w:b/>
          <w:bCs/>
          <w:sz w:val="20"/>
          <w:szCs w:val="20"/>
          <w:lang w:val="ro-RO"/>
        </w:rPr>
        <w:t>Introducere</w:t>
      </w:r>
    </w:p>
    <w:p w14:paraId="4822BFBF" w14:textId="77777777" w:rsidR="005821EE" w:rsidRPr="00F851B9" w:rsidRDefault="00981798" w:rsidP="00F851B9">
      <w:pPr>
        <w:spacing w:before="120" w:after="100" w:afterAutospacing="1" w:line="240" w:lineRule="auto"/>
        <w:contextualSpacing/>
        <w:jc w:val="both"/>
        <w:rPr>
          <w:rFonts w:cstheme="minorHAnsi"/>
          <w:sz w:val="20"/>
          <w:szCs w:val="20"/>
          <w:lang w:val="ro-RO"/>
        </w:rPr>
      </w:pPr>
      <w:r w:rsidRPr="00F851B9">
        <w:rPr>
          <w:rFonts w:cstheme="minorHAnsi"/>
          <w:sz w:val="20"/>
          <w:szCs w:val="20"/>
          <w:lang w:val="ro-RO"/>
        </w:rPr>
        <w:t>Panelul</w:t>
      </w:r>
      <w:r w:rsidR="005821EE" w:rsidRPr="00F851B9">
        <w:rPr>
          <w:rFonts w:cstheme="minorHAnsi"/>
          <w:sz w:val="20"/>
          <w:szCs w:val="20"/>
          <w:lang w:val="ro-RO"/>
        </w:rPr>
        <w:t xml:space="preserve"> de expe</w:t>
      </w:r>
      <w:r w:rsidR="00276069">
        <w:rPr>
          <w:rFonts w:cstheme="minorHAnsi"/>
          <w:sz w:val="20"/>
          <w:szCs w:val="20"/>
          <w:lang w:val="ro-RO"/>
        </w:rPr>
        <w:t>r</w:t>
      </w:r>
      <w:r w:rsidR="005821EE" w:rsidRPr="00F851B9">
        <w:rPr>
          <w:rFonts w:cstheme="minorHAnsi"/>
          <w:sz w:val="20"/>
          <w:szCs w:val="20"/>
          <w:lang w:val="ro-RO"/>
        </w:rPr>
        <w:t>ți a fost realizat la comun pe axa 6, pe cele trei DMI-uri: 6.1, 6.2, 6.3. Moder</w:t>
      </w:r>
      <w:r w:rsidR="007B5CD8" w:rsidRPr="00F851B9">
        <w:rPr>
          <w:rFonts w:cstheme="minorHAnsi"/>
          <w:sz w:val="20"/>
          <w:szCs w:val="20"/>
          <w:lang w:val="ro-RO"/>
        </w:rPr>
        <w:t xml:space="preserve">atorul </w:t>
      </w:r>
      <w:r w:rsidR="005821EE" w:rsidRPr="00F851B9">
        <w:rPr>
          <w:rFonts w:cstheme="minorHAnsi"/>
          <w:sz w:val="20"/>
          <w:szCs w:val="20"/>
          <w:lang w:val="ro-RO"/>
        </w:rPr>
        <w:t>(liderul echipei de lucru) a făcut o scurtă prezentare a con</w:t>
      </w:r>
      <w:r w:rsidR="009370E9">
        <w:rPr>
          <w:rFonts w:cstheme="minorHAnsi"/>
          <w:sz w:val="20"/>
          <w:szCs w:val="20"/>
          <w:lang w:val="ro-RO"/>
        </w:rPr>
        <w:t>tractului, a scopului evaluării</w:t>
      </w:r>
      <w:r w:rsidR="005821EE" w:rsidRPr="00F851B9">
        <w:rPr>
          <w:rFonts w:cstheme="minorHAnsi"/>
          <w:sz w:val="20"/>
          <w:szCs w:val="20"/>
          <w:lang w:val="ro-RO"/>
        </w:rPr>
        <w:t xml:space="preserve"> celor 3 DMI-uri aferente Axei 6 și a </w:t>
      </w:r>
      <w:r w:rsidR="007B5CD8" w:rsidRPr="00F851B9">
        <w:rPr>
          <w:rFonts w:cstheme="minorHAnsi"/>
          <w:sz w:val="20"/>
          <w:szCs w:val="20"/>
          <w:lang w:val="ro-RO"/>
        </w:rPr>
        <w:t>panelului.</w:t>
      </w:r>
      <w:r w:rsidR="005821EE" w:rsidRPr="00F851B9">
        <w:rPr>
          <w:rFonts w:cstheme="minorHAnsi"/>
          <w:sz w:val="20"/>
          <w:szCs w:val="20"/>
          <w:lang w:val="ro-RO"/>
        </w:rPr>
        <w:t xml:space="preserve"> </w:t>
      </w:r>
      <w:r w:rsidR="007B5CD8" w:rsidRPr="00F851B9">
        <w:rPr>
          <w:rFonts w:cstheme="minorHAnsi"/>
          <w:sz w:val="20"/>
          <w:szCs w:val="20"/>
          <w:lang w:val="ro-RO"/>
        </w:rPr>
        <w:t>În introducere</w:t>
      </w:r>
      <w:r w:rsidR="005821EE" w:rsidRPr="00F851B9">
        <w:rPr>
          <w:rFonts w:cstheme="minorHAnsi"/>
          <w:sz w:val="20"/>
          <w:szCs w:val="20"/>
          <w:lang w:val="ro-RO"/>
        </w:rPr>
        <w:t xml:space="preserve"> a</w:t>
      </w:r>
      <w:r w:rsidR="007B5CD8" w:rsidRPr="00F851B9">
        <w:rPr>
          <w:rFonts w:cstheme="minorHAnsi"/>
          <w:sz w:val="20"/>
          <w:szCs w:val="20"/>
          <w:lang w:val="ro-RO"/>
        </w:rPr>
        <w:t>u fost prezentați</w:t>
      </w:r>
      <w:r w:rsidR="005821EE" w:rsidRPr="00F851B9">
        <w:rPr>
          <w:rFonts w:cstheme="minorHAnsi"/>
          <w:sz w:val="20"/>
          <w:szCs w:val="20"/>
          <w:lang w:val="ro-RO"/>
        </w:rPr>
        <w:t xml:space="preserve"> și membrii echipei de proiect implicați în evaluarea DMI 6.1, 6.2 și 6.3. </w:t>
      </w:r>
    </w:p>
    <w:p w14:paraId="7822F0AE" w14:textId="77777777" w:rsidR="00981798" w:rsidRPr="00F851B9" w:rsidRDefault="00981798" w:rsidP="00F851B9">
      <w:pPr>
        <w:spacing w:after="100" w:afterAutospacing="1" w:line="240" w:lineRule="auto"/>
        <w:contextualSpacing/>
        <w:jc w:val="both"/>
        <w:rPr>
          <w:rFonts w:cstheme="minorHAnsi"/>
          <w:sz w:val="20"/>
          <w:szCs w:val="20"/>
          <w:lang w:val="ro-RO" w:bidi="ne-NP"/>
        </w:rPr>
      </w:pPr>
      <w:r w:rsidRPr="00F851B9">
        <w:rPr>
          <w:rFonts w:cstheme="minorHAnsi"/>
          <w:sz w:val="20"/>
          <w:szCs w:val="20"/>
          <w:lang w:val="ro-RO" w:bidi="ne-NP"/>
        </w:rPr>
        <w:t>Panelul</w:t>
      </w:r>
      <w:r w:rsidR="007B5CD8" w:rsidRPr="00F851B9">
        <w:rPr>
          <w:rFonts w:cstheme="minorHAnsi"/>
          <w:sz w:val="20"/>
          <w:szCs w:val="20"/>
          <w:lang w:val="ro-RO" w:bidi="ne-NP"/>
        </w:rPr>
        <w:t xml:space="preserve"> a avut ca rol</w:t>
      </w:r>
      <w:r w:rsidRPr="00F851B9">
        <w:rPr>
          <w:rFonts w:cstheme="minorHAnsi"/>
          <w:sz w:val="20"/>
          <w:szCs w:val="20"/>
          <w:lang w:val="ro-RO" w:bidi="ne-NP"/>
        </w:rPr>
        <w:t xml:space="preserve"> validare</w:t>
      </w:r>
      <w:r w:rsidR="007B5CD8" w:rsidRPr="00F851B9">
        <w:rPr>
          <w:rFonts w:cstheme="minorHAnsi"/>
          <w:sz w:val="20"/>
          <w:szCs w:val="20"/>
          <w:lang w:val="ro-RO" w:bidi="ne-NP"/>
        </w:rPr>
        <w:t>a și completare</w:t>
      </w:r>
      <w:r w:rsidRPr="00F851B9">
        <w:rPr>
          <w:rFonts w:cstheme="minorHAnsi"/>
          <w:sz w:val="20"/>
          <w:szCs w:val="20"/>
          <w:lang w:val="ro-RO" w:bidi="ne-NP"/>
        </w:rPr>
        <w:t xml:space="preserve">a informațiilor </w:t>
      </w:r>
      <w:r w:rsidR="006C20AB" w:rsidRPr="00F851B9">
        <w:rPr>
          <w:rFonts w:cstheme="minorHAnsi"/>
          <w:sz w:val="20"/>
          <w:szCs w:val="20"/>
          <w:lang w:val="ro-RO" w:bidi="ne-NP"/>
        </w:rPr>
        <w:t>obținute în etapele anterioare</w:t>
      </w:r>
      <w:r w:rsidR="00E770E3" w:rsidRPr="00F851B9">
        <w:rPr>
          <w:rFonts w:cstheme="minorHAnsi"/>
          <w:sz w:val="20"/>
          <w:szCs w:val="20"/>
          <w:lang w:val="ro-RO" w:bidi="ne-NP"/>
        </w:rPr>
        <w:t xml:space="preserve"> ale procesului de evaluare.</w:t>
      </w:r>
      <w:r w:rsidR="006C20AB" w:rsidRPr="00F851B9">
        <w:rPr>
          <w:rFonts w:cstheme="minorHAnsi"/>
          <w:sz w:val="20"/>
          <w:szCs w:val="20"/>
          <w:lang w:val="ro-RO" w:bidi="ne-NP"/>
        </w:rPr>
        <w:t xml:space="preserve"> La discuție au participat </w:t>
      </w:r>
      <w:r w:rsidRPr="00F851B9">
        <w:rPr>
          <w:rFonts w:cstheme="minorHAnsi"/>
          <w:sz w:val="20"/>
          <w:szCs w:val="20"/>
          <w:lang w:val="ro-RO" w:bidi="ne-NP"/>
        </w:rPr>
        <w:t>experți în domeniul incluziunii sociale, cu focus pe domeniul educației.</w:t>
      </w:r>
      <w:r w:rsidR="007B5CD8" w:rsidRPr="00F851B9">
        <w:rPr>
          <w:rFonts w:cstheme="minorHAnsi"/>
          <w:sz w:val="20"/>
          <w:szCs w:val="20"/>
          <w:lang w:val="ro-RO" w:bidi="ne-NP"/>
        </w:rPr>
        <w:t xml:space="preserve"> </w:t>
      </w:r>
      <w:r w:rsidR="007B5CD8" w:rsidRPr="00F851B9">
        <w:rPr>
          <w:rFonts w:cstheme="minorHAnsi"/>
          <w:sz w:val="20"/>
          <w:szCs w:val="20"/>
          <w:lang w:val="ro-RO"/>
        </w:rPr>
        <w:t xml:space="preserve">Obiectivul </w:t>
      </w:r>
      <w:r w:rsidR="006C20AB" w:rsidRPr="00F851B9">
        <w:rPr>
          <w:rFonts w:cstheme="minorHAnsi"/>
          <w:sz w:val="20"/>
          <w:szCs w:val="20"/>
          <w:lang w:val="ro-RO"/>
        </w:rPr>
        <w:t>panelului a fost</w:t>
      </w:r>
      <w:r w:rsidR="007B5CD8" w:rsidRPr="00F851B9">
        <w:rPr>
          <w:rFonts w:cstheme="minorHAnsi"/>
          <w:sz w:val="20"/>
          <w:szCs w:val="20"/>
          <w:lang w:val="ro-RO"/>
        </w:rPr>
        <w:t xml:space="preserve"> acela de a colecta părerile experților din domeniul incluziunii sociale, opinia participanților fiind foarte valoroasă pentru</w:t>
      </w:r>
      <w:r w:rsidR="006C20AB" w:rsidRPr="00F851B9">
        <w:rPr>
          <w:rFonts w:cstheme="minorHAnsi"/>
          <w:sz w:val="20"/>
          <w:szCs w:val="20"/>
          <w:lang w:val="ro-RO"/>
        </w:rPr>
        <w:t xml:space="preserve"> întreaga echipă</w:t>
      </w:r>
      <w:r w:rsidR="007B5CD8" w:rsidRPr="00F851B9">
        <w:rPr>
          <w:rFonts w:cstheme="minorHAnsi"/>
          <w:sz w:val="20"/>
          <w:szCs w:val="20"/>
          <w:lang w:val="ro-RO"/>
        </w:rPr>
        <w:t xml:space="preserve"> de evaluare.  </w:t>
      </w:r>
    </w:p>
    <w:p w14:paraId="6F782B6F" w14:textId="77777777" w:rsidR="005821EE" w:rsidRPr="00F851B9" w:rsidRDefault="005821EE" w:rsidP="00F851B9">
      <w:pPr>
        <w:spacing w:before="120" w:after="100" w:afterAutospacing="1" w:line="240" w:lineRule="auto"/>
        <w:contextualSpacing/>
        <w:jc w:val="both"/>
        <w:rPr>
          <w:rFonts w:cstheme="minorHAnsi"/>
          <w:sz w:val="20"/>
          <w:szCs w:val="20"/>
          <w:lang w:val="ro-RO"/>
        </w:rPr>
      </w:pPr>
      <w:r w:rsidRPr="00F851B9">
        <w:rPr>
          <w:rFonts w:cstheme="minorHAnsi"/>
          <w:sz w:val="20"/>
          <w:szCs w:val="20"/>
          <w:lang w:val="ro-RO"/>
        </w:rPr>
        <w:t>A fost solicitată permi</w:t>
      </w:r>
      <w:r w:rsidR="006C20AB" w:rsidRPr="00F851B9">
        <w:rPr>
          <w:rFonts w:cstheme="minorHAnsi"/>
          <w:sz w:val="20"/>
          <w:szCs w:val="20"/>
          <w:lang w:val="ro-RO"/>
        </w:rPr>
        <w:t>siunea de a înregistra panelul</w:t>
      </w:r>
      <w:r w:rsidRPr="00F851B9">
        <w:rPr>
          <w:rFonts w:cstheme="minorHAnsi"/>
          <w:sz w:val="20"/>
          <w:szCs w:val="20"/>
          <w:lang w:val="ro-RO"/>
        </w:rPr>
        <w:t xml:space="preserve"> cu scopul realizării minutei evenimentului și cu respectarea prevederilor în vigoare în ceea ce privește GDPR, asigurând confidențialitatea și anonimizarea datelor cu caracter personal. Participanții au fost de acord.</w:t>
      </w:r>
    </w:p>
    <w:p w14:paraId="702734A3" w14:textId="77777777" w:rsidR="005821EE" w:rsidRPr="00F851B9" w:rsidRDefault="005821EE" w:rsidP="00F851B9">
      <w:pPr>
        <w:spacing w:before="120" w:after="100" w:afterAutospacing="1" w:line="240" w:lineRule="auto"/>
        <w:contextualSpacing/>
        <w:jc w:val="both"/>
        <w:rPr>
          <w:rFonts w:cstheme="minorHAnsi"/>
          <w:sz w:val="20"/>
          <w:szCs w:val="20"/>
          <w:lang w:val="ro-RO"/>
        </w:rPr>
      </w:pPr>
      <w:r w:rsidRPr="00F851B9">
        <w:rPr>
          <w:rFonts w:cstheme="minorHAnsi"/>
          <w:sz w:val="20"/>
          <w:szCs w:val="20"/>
          <w:lang w:val="ro-RO"/>
        </w:rPr>
        <w:t xml:space="preserve">  </w:t>
      </w:r>
    </w:p>
    <w:p w14:paraId="2B1B4009" w14:textId="77777777" w:rsidR="005821EE" w:rsidRPr="00F851B9" w:rsidRDefault="005821EE" w:rsidP="00F851B9">
      <w:pPr>
        <w:spacing w:before="120" w:after="100" w:afterAutospacing="1" w:line="240" w:lineRule="auto"/>
        <w:contextualSpacing/>
        <w:jc w:val="both"/>
        <w:rPr>
          <w:rFonts w:cstheme="minorHAnsi"/>
          <w:b/>
          <w:bCs/>
          <w:sz w:val="20"/>
          <w:szCs w:val="20"/>
          <w:lang w:val="ro-RO"/>
        </w:rPr>
      </w:pPr>
      <w:r w:rsidRPr="00F851B9">
        <w:rPr>
          <w:rFonts w:cstheme="minorHAnsi"/>
          <w:b/>
          <w:bCs/>
          <w:sz w:val="20"/>
          <w:szCs w:val="20"/>
          <w:lang w:val="ro-RO"/>
        </w:rPr>
        <w:t>Desfășurarea atelierului</w:t>
      </w:r>
    </w:p>
    <w:p w14:paraId="4F74659F" w14:textId="77777777" w:rsidR="005821EE" w:rsidRPr="00F851B9" w:rsidRDefault="005821EE" w:rsidP="00F851B9">
      <w:pPr>
        <w:spacing w:before="120" w:after="100" w:afterAutospacing="1" w:line="240" w:lineRule="auto"/>
        <w:contextualSpacing/>
        <w:jc w:val="both"/>
        <w:rPr>
          <w:rFonts w:cstheme="minorHAnsi"/>
          <w:sz w:val="20"/>
          <w:szCs w:val="20"/>
          <w:lang w:val="ro-RO"/>
        </w:rPr>
      </w:pPr>
      <w:r w:rsidRPr="00F851B9">
        <w:rPr>
          <w:rFonts w:cstheme="minorHAnsi"/>
          <w:sz w:val="20"/>
          <w:szCs w:val="20"/>
          <w:lang w:val="ro-RO"/>
        </w:rPr>
        <w:t xml:space="preserve">Evenimentul a continuat </w:t>
      </w:r>
      <w:r w:rsidR="00C660CA" w:rsidRPr="00F851B9">
        <w:rPr>
          <w:rFonts w:cstheme="minorHAnsi"/>
          <w:sz w:val="20"/>
          <w:szCs w:val="20"/>
          <w:lang w:val="ro-RO"/>
        </w:rPr>
        <w:t>prin prezentarea principalelor concluzii obținute pe fiecare DMI, în urma prezentării fiecărui set de concluzii fiind lansate teme de discuție care au vizat soluționarea principalelor aspecte problem</w:t>
      </w:r>
      <w:r w:rsidR="00904057">
        <w:rPr>
          <w:rFonts w:cstheme="minorHAnsi"/>
          <w:sz w:val="20"/>
          <w:szCs w:val="20"/>
          <w:lang w:val="ro-RO"/>
        </w:rPr>
        <w:t>atic</w:t>
      </w:r>
      <w:r w:rsidR="00C660CA" w:rsidRPr="00F851B9">
        <w:rPr>
          <w:rFonts w:cstheme="minorHAnsi"/>
          <w:sz w:val="20"/>
          <w:szCs w:val="20"/>
          <w:lang w:val="ro-RO"/>
        </w:rPr>
        <w:t xml:space="preserve">e care țin atât de domeniul incluziunii sociale, cât și de programul operațional.  </w:t>
      </w:r>
    </w:p>
    <w:p w14:paraId="3F6B621F" w14:textId="77777777" w:rsidR="00C660CA" w:rsidRPr="00F851B9" w:rsidRDefault="00C660CA" w:rsidP="00F851B9">
      <w:pPr>
        <w:spacing w:before="120" w:after="100" w:afterAutospacing="1" w:line="240" w:lineRule="auto"/>
        <w:contextualSpacing/>
        <w:jc w:val="both"/>
        <w:rPr>
          <w:rFonts w:cstheme="minorHAnsi"/>
          <w:sz w:val="20"/>
          <w:szCs w:val="20"/>
          <w:lang w:val="ro-RO"/>
        </w:rPr>
      </w:pPr>
    </w:p>
    <w:p w14:paraId="15A0258B" w14:textId="77777777" w:rsidR="00090108" w:rsidRPr="00F851B9" w:rsidRDefault="00090108" w:rsidP="00AA6C33">
      <w:pPr>
        <w:spacing w:before="120" w:after="100" w:afterAutospacing="1" w:line="240" w:lineRule="auto"/>
        <w:contextualSpacing/>
        <w:jc w:val="both"/>
        <w:rPr>
          <w:rFonts w:cstheme="minorHAnsi"/>
          <w:sz w:val="20"/>
          <w:szCs w:val="20"/>
          <w:lang w:val="ro-RO"/>
        </w:rPr>
      </w:pPr>
      <w:r w:rsidRPr="00F851B9">
        <w:rPr>
          <w:rFonts w:cstheme="minorHAnsi"/>
          <w:sz w:val="20"/>
          <w:szCs w:val="20"/>
          <w:lang w:val="ro-RO"/>
        </w:rPr>
        <w:t>Intervențiile pe DMI 6.3 s-au focusat în jurul temei de discuție care vizează</w:t>
      </w:r>
      <w:r w:rsidRPr="00F851B9">
        <w:rPr>
          <w:rFonts w:cstheme="minorHAnsi"/>
          <w:b/>
          <w:sz w:val="20"/>
          <w:szCs w:val="20"/>
          <w:lang w:val="ro-RO"/>
        </w:rPr>
        <w:t xml:space="preserve"> </w:t>
      </w:r>
      <w:r w:rsidRPr="009370E9">
        <w:rPr>
          <w:rFonts w:cstheme="minorHAnsi"/>
          <w:sz w:val="20"/>
          <w:szCs w:val="20"/>
          <w:lang w:val="ro-RO"/>
        </w:rPr>
        <w:t>reconfigurarea / configurarea pentru următoarea perioadă de programare a intervențiilor în ceea ce privește inegalitate</w:t>
      </w:r>
      <w:r w:rsidR="00AA6C33" w:rsidRPr="009370E9">
        <w:rPr>
          <w:rFonts w:cstheme="minorHAnsi"/>
          <w:sz w:val="20"/>
          <w:szCs w:val="20"/>
          <w:lang w:val="ro-RO"/>
        </w:rPr>
        <w:t>a</w:t>
      </w:r>
      <w:r w:rsidRPr="009370E9">
        <w:rPr>
          <w:rFonts w:cstheme="minorHAnsi"/>
          <w:sz w:val="20"/>
          <w:szCs w:val="20"/>
          <w:lang w:val="ro-RO"/>
        </w:rPr>
        <w:t xml:space="preserve"> de șanse pe piața forței de muncă? Cele mai importante intervenții ale experților </w:t>
      </w:r>
      <w:r w:rsidR="00C46DC5" w:rsidRPr="009370E9">
        <w:rPr>
          <w:rFonts w:cstheme="minorHAnsi"/>
          <w:sz w:val="20"/>
          <w:szCs w:val="20"/>
          <w:lang w:val="ro-RO"/>
        </w:rPr>
        <w:t>în domeniu au vizat următoarele</w:t>
      </w:r>
      <w:r w:rsidR="00C46DC5" w:rsidRPr="00F851B9">
        <w:rPr>
          <w:rFonts w:cstheme="minorHAnsi"/>
          <w:sz w:val="20"/>
          <w:szCs w:val="20"/>
          <w:lang w:val="ro-RO"/>
        </w:rPr>
        <w:t xml:space="preserve"> aspecte:</w:t>
      </w:r>
    </w:p>
    <w:p w14:paraId="3BCCF6A6" w14:textId="77777777" w:rsidR="009370E9" w:rsidRPr="009370E9" w:rsidRDefault="00F7769F" w:rsidP="00EF61E6">
      <w:pPr>
        <w:pStyle w:val="ListParagraph"/>
        <w:numPr>
          <w:ilvl w:val="0"/>
          <w:numId w:val="8"/>
        </w:numPr>
        <w:spacing w:before="120" w:after="100" w:afterAutospacing="1"/>
        <w:contextualSpacing/>
        <w:rPr>
          <w:rFonts w:eastAsia="Times New Roman" w:cstheme="minorHAnsi"/>
          <w:color w:val="auto"/>
          <w:sz w:val="20"/>
          <w:szCs w:val="20"/>
          <w:lang w:val="en-US"/>
        </w:rPr>
      </w:pPr>
      <w:r w:rsidRPr="009370E9">
        <w:rPr>
          <w:rFonts w:eastAsia="Times New Roman" w:cstheme="minorHAnsi"/>
          <w:b/>
          <w:i/>
          <w:color w:val="auto"/>
          <w:sz w:val="20"/>
          <w:szCs w:val="20"/>
        </w:rPr>
        <w:t>Regândirea legii educației, prin includerea învățământului profesional</w:t>
      </w:r>
      <w:r w:rsidRPr="009370E9">
        <w:rPr>
          <w:rFonts w:eastAsia="Times New Roman" w:cstheme="minorHAnsi"/>
          <w:color w:val="auto"/>
          <w:sz w:val="20"/>
          <w:szCs w:val="20"/>
        </w:rPr>
        <w:t xml:space="preserve"> pentru asigurarea unui anumit tip de meserii necesare pe piața muncii, care ar coincide unui anumit nivel de pregătire profesională a persoanelor. </w:t>
      </w:r>
      <w:r w:rsidR="00AA6C33" w:rsidRPr="009370E9">
        <w:rPr>
          <w:rFonts w:eastAsia="Times New Roman" w:cstheme="minorHAnsi"/>
          <w:color w:val="auto"/>
          <w:sz w:val="20"/>
          <w:szCs w:val="20"/>
        </w:rPr>
        <w:t>Î</w:t>
      </w:r>
      <w:r w:rsidR="00C46DC5" w:rsidRPr="009370E9">
        <w:rPr>
          <w:rFonts w:eastAsia="Times New Roman" w:cstheme="minorHAnsi"/>
          <w:color w:val="auto"/>
          <w:sz w:val="20"/>
          <w:szCs w:val="20"/>
        </w:rPr>
        <w:t>n sistemul educațional există mai multe tipuri de discriminare, începând de la salarizarea diferită (există o grilă de salarizare diferită pentru femei și bărbați), până la accesul la serviciile educaționale, ca</w:t>
      </w:r>
      <w:r w:rsidR="00DD5A9D" w:rsidRPr="009370E9">
        <w:rPr>
          <w:rFonts w:eastAsia="Times New Roman" w:cstheme="minorHAnsi"/>
          <w:color w:val="auto"/>
          <w:sz w:val="20"/>
          <w:szCs w:val="20"/>
        </w:rPr>
        <w:t>re ține de egalitatea de șanse (</w:t>
      </w:r>
      <w:r w:rsidR="00C46DC5" w:rsidRPr="009370E9">
        <w:rPr>
          <w:rFonts w:eastAsia="Times New Roman" w:cstheme="minorHAnsi"/>
          <w:color w:val="auto"/>
          <w:sz w:val="20"/>
          <w:szCs w:val="20"/>
        </w:rPr>
        <w:t>discrepanța care există între copiii din mediul rural și urban</w:t>
      </w:r>
      <w:r w:rsidR="00DD5A9D" w:rsidRPr="009370E9">
        <w:rPr>
          <w:rFonts w:eastAsia="Times New Roman" w:cstheme="minorHAnsi"/>
          <w:color w:val="auto"/>
          <w:sz w:val="20"/>
          <w:szCs w:val="20"/>
        </w:rPr>
        <w:t>)</w:t>
      </w:r>
      <w:r w:rsidR="00C46DC5" w:rsidRPr="009370E9">
        <w:rPr>
          <w:rFonts w:eastAsia="Times New Roman" w:cstheme="minorHAnsi"/>
          <w:color w:val="auto"/>
          <w:sz w:val="20"/>
          <w:szCs w:val="20"/>
        </w:rPr>
        <w:t xml:space="preserve">. Pentru integrarea mai ușoară a copiilor din mediul rural </w:t>
      </w:r>
      <w:r w:rsidR="00AA6C33" w:rsidRPr="009370E9">
        <w:rPr>
          <w:rFonts w:eastAsia="Times New Roman" w:cstheme="minorHAnsi"/>
          <w:color w:val="auto"/>
          <w:sz w:val="20"/>
          <w:szCs w:val="20"/>
        </w:rPr>
        <w:t>și eliminarea disparită</w:t>
      </w:r>
      <w:r w:rsidR="00DD5A9D" w:rsidRPr="009370E9">
        <w:rPr>
          <w:rFonts w:eastAsia="Times New Roman" w:cstheme="minorHAnsi"/>
          <w:color w:val="auto"/>
          <w:sz w:val="20"/>
          <w:szCs w:val="20"/>
        </w:rPr>
        <w:t xml:space="preserve">ților, </w:t>
      </w:r>
      <w:r w:rsidR="00C46DC5" w:rsidRPr="009370E9">
        <w:rPr>
          <w:rFonts w:eastAsia="Times New Roman" w:cstheme="minorHAnsi"/>
          <w:color w:val="auto"/>
          <w:sz w:val="20"/>
          <w:szCs w:val="20"/>
        </w:rPr>
        <w:t xml:space="preserve">alocațiile bugetare </w:t>
      </w:r>
      <w:r w:rsidR="00DD5A9D" w:rsidRPr="009370E9">
        <w:rPr>
          <w:rFonts w:eastAsia="Times New Roman" w:cstheme="minorHAnsi"/>
          <w:color w:val="auto"/>
          <w:sz w:val="20"/>
          <w:szCs w:val="20"/>
        </w:rPr>
        <w:t>sunt văzute ca o soluție, iar acestea ar trebui</w:t>
      </w:r>
      <w:r w:rsidR="00C46DC5" w:rsidRPr="009370E9">
        <w:rPr>
          <w:rFonts w:eastAsia="Times New Roman" w:cstheme="minorHAnsi"/>
          <w:color w:val="auto"/>
          <w:sz w:val="20"/>
          <w:szCs w:val="20"/>
        </w:rPr>
        <w:t xml:space="preserve"> să fie corespunzătoare legii</w:t>
      </w:r>
      <w:r w:rsidR="00740E89" w:rsidRPr="009370E9">
        <w:rPr>
          <w:rFonts w:eastAsia="Times New Roman" w:cstheme="minorHAnsi"/>
          <w:color w:val="auto"/>
          <w:sz w:val="20"/>
          <w:szCs w:val="20"/>
        </w:rPr>
        <w:t>.</w:t>
      </w:r>
      <w:r w:rsidR="00DD5A9D" w:rsidRPr="009370E9">
        <w:rPr>
          <w:rFonts w:eastAsia="Times New Roman" w:cstheme="minorHAnsi"/>
          <w:color w:val="auto"/>
          <w:sz w:val="20"/>
          <w:szCs w:val="20"/>
        </w:rPr>
        <w:t xml:space="preserve"> </w:t>
      </w:r>
    </w:p>
    <w:p w14:paraId="411F1E23" w14:textId="77777777" w:rsidR="009A2C21" w:rsidRPr="009370E9" w:rsidRDefault="003B26E3" w:rsidP="00EF61E6">
      <w:pPr>
        <w:pStyle w:val="ListParagraph"/>
        <w:numPr>
          <w:ilvl w:val="0"/>
          <w:numId w:val="8"/>
        </w:numPr>
        <w:spacing w:before="120" w:after="100" w:afterAutospacing="1"/>
        <w:contextualSpacing/>
        <w:rPr>
          <w:rFonts w:eastAsia="Times New Roman" w:cstheme="minorHAnsi"/>
          <w:color w:val="auto"/>
          <w:sz w:val="20"/>
          <w:szCs w:val="20"/>
          <w:lang w:val="en-US"/>
        </w:rPr>
      </w:pPr>
      <w:r w:rsidRPr="009370E9">
        <w:rPr>
          <w:rFonts w:cstheme="minorHAnsi"/>
          <w:b/>
          <w:i/>
          <w:color w:val="auto"/>
          <w:sz w:val="20"/>
          <w:szCs w:val="20"/>
          <w:lang w:val="ro-RO"/>
        </w:rPr>
        <w:t>Accent pe pregătirea educațională a femeilor din mediul rural</w:t>
      </w:r>
      <w:r w:rsidRPr="009370E9">
        <w:rPr>
          <w:rFonts w:cstheme="minorHAnsi"/>
          <w:color w:val="auto"/>
          <w:sz w:val="20"/>
          <w:szCs w:val="20"/>
          <w:lang w:val="ro-RO"/>
        </w:rPr>
        <w:t>. P</w:t>
      </w:r>
      <w:r w:rsidR="00DD5A9D" w:rsidRPr="009370E9">
        <w:rPr>
          <w:rFonts w:cstheme="minorHAnsi"/>
          <w:color w:val="auto"/>
          <w:sz w:val="20"/>
          <w:szCs w:val="20"/>
          <w:lang w:val="ro-RO"/>
        </w:rPr>
        <w:t>roiectele sunt foarte bine venite pe ideea egalității de șanse doar că în primul rând ar trebui să se fa</w:t>
      </w:r>
      <w:r w:rsidR="009A2C21" w:rsidRPr="009370E9">
        <w:rPr>
          <w:rFonts w:cstheme="minorHAnsi"/>
          <w:color w:val="auto"/>
          <w:sz w:val="20"/>
          <w:szCs w:val="20"/>
          <w:lang w:val="ro-RO"/>
        </w:rPr>
        <w:t>că o cartografiere a domeniilor de activitate cerute atât pe piața muncii, dar și o cartografiere</w:t>
      </w:r>
      <w:r w:rsidR="00DD5A9D" w:rsidRPr="009370E9">
        <w:rPr>
          <w:rFonts w:cstheme="minorHAnsi"/>
          <w:color w:val="auto"/>
          <w:sz w:val="20"/>
          <w:szCs w:val="20"/>
          <w:lang w:val="ro-RO"/>
        </w:rPr>
        <w:t xml:space="preserve"> din perspectiva femeilor. Există un decalaj</w:t>
      </w:r>
      <w:r w:rsidR="00AA65B4" w:rsidRPr="009370E9">
        <w:rPr>
          <w:rFonts w:cstheme="minorHAnsi"/>
          <w:color w:val="auto"/>
          <w:sz w:val="20"/>
          <w:szCs w:val="20"/>
          <w:lang w:val="ro-RO"/>
        </w:rPr>
        <w:t xml:space="preserve"> </w:t>
      </w:r>
      <w:r w:rsidR="009A2C21" w:rsidRPr="009370E9">
        <w:rPr>
          <w:rFonts w:cstheme="minorHAnsi"/>
          <w:color w:val="auto"/>
          <w:sz w:val="20"/>
          <w:szCs w:val="20"/>
          <w:lang w:val="ro-RO"/>
        </w:rPr>
        <w:t>educațional</w:t>
      </w:r>
      <w:r w:rsidR="00DD5A9D" w:rsidRPr="009370E9">
        <w:rPr>
          <w:rFonts w:cstheme="minorHAnsi"/>
          <w:color w:val="auto"/>
          <w:sz w:val="20"/>
          <w:szCs w:val="20"/>
          <w:lang w:val="ro-RO"/>
        </w:rPr>
        <w:t xml:space="preserve"> foarte mare de pregătire în rândul femeilor, sunt foarte mult</w:t>
      </w:r>
      <w:r w:rsidR="009A2C21" w:rsidRPr="009370E9">
        <w:rPr>
          <w:rFonts w:cstheme="minorHAnsi"/>
          <w:color w:val="auto"/>
          <w:sz w:val="20"/>
          <w:szCs w:val="20"/>
          <w:lang w:val="ro-RO"/>
        </w:rPr>
        <w:t>e</w:t>
      </w:r>
      <w:r w:rsidR="00DD5A9D" w:rsidRPr="009370E9">
        <w:rPr>
          <w:rFonts w:cstheme="minorHAnsi"/>
          <w:color w:val="auto"/>
          <w:sz w:val="20"/>
          <w:szCs w:val="20"/>
          <w:lang w:val="ro-RO"/>
        </w:rPr>
        <w:t xml:space="preserve"> femei care nu au pregătirea minim</w:t>
      </w:r>
      <w:r w:rsidR="009A2C21" w:rsidRPr="009370E9">
        <w:rPr>
          <w:rFonts w:cstheme="minorHAnsi"/>
          <w:color w:val="auto"/>
          <w:sz w:val="20"/>
          <w:szCs w:val="20"/>
          <w:lang w:val="ro-RO"/>
        </w:rPr>
        <w:t>ă necesară pentru a fi acceptate</w:t>
      </w:r>
      <w:r w:rsidR="00DD5A9D" w:rsidRPr="009370E9">
        <w:rPr>
          <w:rFonts w:cstheme="minorHAnsi"/>
          <w:color w:val="auto"/>
          <w:sz w:val="20"/>
          <w:szCs w:val="20"/>
          <w:lang w:val="ro-RO"/>
        </w:rPr>
        <w:t xml:space="preserve"> la un curs, </w:t>
      </w:r>
      <w:r w:rsidR="009A2C21" w:rsidRPr="009370E9">
        <w:rPr>
          <w:rFonts w:cstheme="minorHAnsi"/>
          <w:color w:val="auto"/>
          <w:sz w:val="20"/>
          <w:szCs w:val="20"/>
          <w:lang w:val="ro-RO"/>
        </w:rPr>
        <w:t>aspect care este influențat și de mentalitatea care există pe teritoriul țării, în special în mediul rural</w:t>
      </w:r>
      <w:r w:rsidR="00DD5A9D" w:rsidRPr="009370E9">
        <w:rPr>
          <w:rFonts w:cstheme="minorHAnsi"/>
          <w:color w:val="auto"/>
          <w:sz w:val="20"/>
          <w:szCs w:val="20"/>
          <w:lang w:val="ro-RO"/>
        </w:rPr>
        <w:t>.</w:t>
      </w:r>
      <w:r w:rsidR="009A2C21" w:rsidRPr="009370E9">
        <w:rPr>
          <w:rFonts w:cstheme="minorHAnsi"/>
          <w:color w:val="auto"/>
          <w:sz w:val="20"/>
          <w:szCs w:val="20"/>
          <w:lang w:val="ro-RO"/>
        </w:rPr>
        <w:t xml:space="preserve"> Strict legat de această componentă ar trebui să se pună un acent foarte mare pe pregătirea educațională a femeilor și în special a femeilor din mediul rural, pentru stoparea decalajului de pregătire educațională</w:t>
      </w:r>
      <w:r w:rsidRPr="009370E9">
        <w:rPr>
          <w:rFonts w:cstheme="minorHAnsi"/>
          <w:color w:val="auto"/>
          <w:sz w:val="20"/>
          <w:szCs w:val="20"/>
          <w:lang w:val="ro-RO"/>
        </w:rPr>
        <w:t>.</w:t>
      </w:r>
      <w:r w:rsidR="00F7769F" w:rsidRPr="009370E9">
        <w:rPr>
          <w:rFonts w:cstheme="minorHAnsi"/>
          <w:color w:val="auto"/>
          <w:sz w:val="20"/>
          <w:szCs w:val="20"/>
          <w:lang w:val="ro-RO"/>
        </w:rPr>
        <w:t xml:space="preserve"> Corelația între gen ș</w:t>
      </w:r>
      <w:r w:rsidR="00D26D0A" w:rsidRPr="009370E9">
        <w:rPr>
          <w:rFonts w:cstheme="minorHAnsi"/>
          <w:color w:val="auto"/>
          <w:sz w:val="20"/>
          <w:szCs w:val="20"/>
          <w:lang w:val="ro-RO"/>
        </w:rPr>
        <w:t>i educație este</w:t>
      </w:r>
      <w:r w:rsidR="00F7769F" w:rsidRPr="009370E9">
        <w:rPr>
          <w:rFonts w:cstheme="minorHAnsi"/>
          <w:color w:val="auto"/>
          <w:sz w:val="20"/>
          <w:szCs w:val="20"/>
          <w:lang w:val="ro-RO"/>
        </w:rPr>
        <w:t xml:space="preserve"> semnificativ</w:t>
      </w:r>
      <w:r w:rsidR="00D26D0A" w:rsidRPr="009370E9">
        <w:rPr>
          <w:rFonts w:cstheme="minorHAnsi"/>
          <w:color w:val="auto"/>
          <w:sz w:val="20"/>
          <w:szCs w:val="20"/>
          <w:lang w:val="ro-RO"/>
        </w:rPr>
        <w:t>ă</w:t>
      </w:r>
      <w:r w:rsidR="00F7769F" w:rsidRPr="009370E9">
        <w:rPr>
          <w:rFonts w:cstheme="minorHAnsi"/>
          <w:color w:val="auto"/>
          <w:sz w:val="20"/>
          <w:szCs w:val="20"/>
          <w:lang w:val="ro-RO"/>
        </w:rPr>
        <w:t xml:space="preserve">, de unde putem deduce că nu poate exista egalitate de șanse pe piața muncii fără educație, propunând într-o oarecare măsură și includerea în programa școalară a acestui domeniu. </w:t>
      </w:r>
    </w:p>
    <w:p w14:paraId="61D40AC4" w14:textId="77777777" w:rsidR="00F57708" w:rsidRPr="00F57708" w:rsidRDefault="003B26E3" w:rsidP="007B4CC7">
      <w:pPr>
        <w:pStyle w:val="ListParagraph"/>
        <w:numPr>
          <w:ilvl w:val="0"/>
          <w:numId w:val="8"/>
        </w:numPr>
        <w:spacing w:before="120" w:after="100" w:afterAutospacing="1"/>
        <w:contextualSpacing/>
        <w:rPr>
          <w:rFonts w:eastAsia="Times New Roman" w:cstheme="minorHAnsi"/>
          <w:color w:val="auto"/>
          <w:sz w:val="20"/>
          <w:szCs w:val="20"/>
        </w:rPr>
      </w:pPr>
      <w:r w:rsidRPr="00F57708">
        <w:rPr>
          <w:rFonts w:cstheme="minorHAnsi"/>
          <w:b/>
          <w:i/>
          <w:color w:val="auto"/>
          <w:sz w:val="20"/>
          <w:szCs w:val="20"/>
          <w:lang w:val="ro-RO"/>
        </w:rPr>
        <w:t>Dezvoltarea antreprenoriatului feminin și facilități de creștere a copiilor.</w:t>
      </w:r>
      <w:r w:rsidRPr="00F57708">
        <w:rPr>
          <w:rFonts w:cstheme="minorHAnsi"/>
          <w:i/>
          <w:color w:val="auto"/>
          <w:sz w:val="20"/>
          <w:szCs w:val="20"/>
          <w:lang w:val="ro-RO"/>
        </w:rPr>
        <w:t xml:space="preserve"> </w:t>
      </w:r>
      <w:r w:rsidR="00DD5A9D" w:rsidRPr="00F57708">
        <w:rPr>
          <w:rFonts w:cstheme="minorHAnsi"/>
          <w:color w:val="auto"/>
          <w:sz w:val="20"/>
          <w:szCs w:val="20"/>
          <w:lang w:val="ro-RO"/>
        </w:rPr>
        <w:t xml:space="preserve">Dat fiind faptul că femeile se adaptează foarte ușor în anumite situații și depășesc </w:t>
      </w:r>
      <w:r w:rsidR="009A2C21" w:rsidRPr="00F57708">
        <w:rPr>
          <w:rFonts w:cstheme="minorHAnsi"/>
          <w:color w:val="auto"/>
          <w:sz w:val="20"/>
          <w:szCs w:val="20"/>
          <w:lang w:val="ro-RO"/>
        </w:rPr>
        <w:t xml:space="preserve">ușor </w:t>
      </w:r>
      <w:r w:rsidR="00DD5A9D" w:rsidRPr="00F57708">
        <w:rPr>
          <w:rFonts w:cstheme="minorHAnsi"/>
          <w:color w:val="auto"/>
          <w:sz w:val="20"/>
          <w:szCs w:val="20"/>
          <w:lang w:val="ro-RO"/>
        </w:rPr>
        <w:t xml:space="preserve">situații problematice, ar trebui să se </w:t>
      </w:r>
      <w:r w:rsidR="009A2C21" w:rsidRPr="00F57708">
        <w:rPr>
          <w:rFonts w:cstheme="minorHAnsi"/>
          <w:color w:val="auto"/>
          <w:sz w:val="20"/>
          <w:szCs w:val="20"/>
          <w:lang w:val="ro-RO"/>
        </w:rPr>
        <w:t xml:space="preserve">pună accent </w:t>
      </w:r>
      <w:r w:rsidR="009A2C21" w:rsidRPr="00F57708">
        <w:rPr>
          <w:rFonts w:cstheme="minorHAnsi"/>
          <w:color w:val="auto"/>
          <w:sz w:val="20"/>
          <w:szCs w:val="20"/>
          <w:lang w:val="ro-RO"/>
        </w:rPr>
        <w:lastRenderedPageBreak/>
        <w:t>pe</w:t>
      </w:r>
      <w:r w:rsidR="00DD5A9D" w:rsidRPr="00F57708">
        <w:rPr>
          <w:rFonts w:cstheme="minorHAnsi"/>
          <w:color w:val="auto"/>
          <w:sz w:val="20"/>
          <w:szCs w:val="20"/>
          <w:lang w:val="ro-RO"/>
        </w:rPr>
        <w:t xml:space="preserve"> acele meserii care țin de capitolul freelancer și mai puțin de meserii cu ser</w:t>
      </w:r>
      <w:r w:rsidR="009370E9" w:rsidRPr="00F57708">
        <w:rPr>
          <w:rFonts w:cstheme="minorHAnsi"/>
          <w:color w:val="auto"/>
          <w:sz w:val="20"/>
          <w:szCs w:val="20"/>
          <w:lang w:val="ro-RO"/>
        </w:rPr>
        <w:t>viciu care necesită un anumit pr</w:t>
      </w:r>
      <w:r w:rsidR="00DD5A9D" w:rsidRPr="00F57708">
        <w:rPr>
          <w:rFonts w:cstheme="minorHAnsi"/>
          <w:color w:val="auto"/>
          <w:sz w:val="20"/>
          <w:szCs w:val="20"/>
          <w:lang w:val="ro-RO"/>
        </w:rPr>
        <w:t xml:space="preserve">ogram fix. </w:t>
      </w:r>
      <w:r w:rsidR="009A2C21" w:rsidRPr="00F57708">
        <w:rPr>
          <w:rFonts w:cstheme="minorHAnsi"/>
          <w:color w:val="auto"/>
          <w:sz w:val="20"/>
          <w:szCs w:val="20"/>
          <w:lang w:val="ro-RO"/>
        </w:rPr>
        <w:t xml:space="preserve"> Această măsură este necesară pentru că femeilor sunt mai mult implicate decât bărbații în creșterea copiilor, situație confirmată și în perioada actuală, când mamele s-au ocupat mai mult decât bărbații cu educația copiilor care au desfășurat cursuri în mediul online. </w:t>
      </w:r>
      <w:r w:rsidR="00DD5A9D" w:rsidRPr="00F57708">
        <w:rPr>
          <w:rFonts w:cstheme="minorHAnsi"/>
          <w:color w:val="auto"/>
          <w:sz w:val="20"/>
          <w:szCs w:val="20"/>
          <w:lang w:val="ro-RO"/>
        </w:rPr>
        <w:t xml:space="preserve">Aceasta </w:t>
      </w:r>
      <w:r w:rsidR="009370E9" w:rsidRPr="00F57708">
        <w:rPr>
          <w:rFonts w:cstheme="minorHAnsi"/>
          <w:color w:val="auto"/>
          <w:sz w:val="20"/>
          <w:szCs w:val="20"/>
          <w:lang w:val="ro-RO"/>
        </w:rPr>
        <w:t>vine în contradicție</w:t>
      </w:r>
      <w:r w:rsidR="00DD5A9D" w:rsidRPr="00F57708">
        <w:rPr>
          <w:rFonts w:cstheme="minorHAnsi"/>
          <w:color w:val="auto"/>
          <w:sz w:val="20"/>
          <w:szCs w:val="20"/>
          <w:lang w:val="ro-RO"/>
        </w:rPr>
        <w:t xml:space="preserve"> cu ceea ce</w:t>
      </w:r>
      <w:r w:rsidR="003D485F" w:rsidRPr="00F57708">
        <w:rPr>
          <w:rFonts w:cstheme="minorHAnsi"/>
          <w:color w:val="auto"/>
          <w:sz w:val="20"/>
          <w:szCs w:val="20"/>
          <w:lang w:val="ro-RO"/>
        </w:rPr>
        <w:t xml:space="preserve"> ultimul</w:t>
      </w:r>
      <w:r w:rsidR="00DD5A9D" w:rsidRPr="00F57708">
        <w:rPr>
          <w:rFonts w:cstheme="minorHAnsi"/>
          <w:color w:val="auto"/>
          <w:sz w:val="20"/>
          <w:szCs w:val="20"/>
          <w:lang w:val="ro-RO"/>
        </w:rPr>
        <w:t xml:space="preserve"> Eurobarometru arată că femeilor au lucrat în mai mică măsură de acasă decât bărbații, dar cu toate acestea bărbații s-au ocupat mai puțin de educația și îngrijirea copiilor</w:t>
      </w:r>
      <w:r w:rsidR="00F57708">
        <w:rPr>
          <w:rFonts w:cstheme="minorHAnsi"/>
          <w:color w:val="auto"/>
          <w:sz w:val="20"/>
          <w:szCs w:val="20"/>
          <w:lang w:val="ro-RO"/>
        </w:rPr>
        <w:t>.</w:t>
      </w:r>
    </w:p>
    <w:p w14:paraId="1EADEA2E" w14:textId="77777777" w:rsidR="005647E1" w:rsidRPr="00F57708" w:rsidRDefault="005647E1" w:rsidP="007B4CC7">
      <w:pPr>
        <w:pStyle w:val="ListParagraph"/>
        <w:numPr>
          <w:ilvl w:val="0"/>
          <w:numId w:val="8"/>
        </w:numPr>
        <w:spacing w:before="120" w:after="100" w:afterAutospacing="1"/>
        <w:contextualSpacing/>
        <w:rPr>
          <w:rFonts w:eastAsia="Times New Roman" w:cstheme="minorHAnsi"/>
          <w:color w:val="auto"/>
          <w:sz w:val="20"/>
          <w:szCs w:val="20"/>
        </w:rPr>
      </w:pPr>
      <w:r w:rsidRPr="00F57708">
        <w:rPr>
          <w:rFonts w:eastAsia="Times New Roman" w:cstheme="minorHAnsi"/>
          <w:b/>
          <w:i/>
          <w:color w:val="auto"/>
          <w:sz w:val="20"/>
          <w:szCs w:val="20"/>
        </w:rPr>
        <w:t>Reali</w:t>
      </w:r>
      <w:r w:rsidR="008867FD">
        <w:rPr>
          <w:rFonts w:eastAsia="Times New Roman" w:cstheme="minorHAnsi"/>
          <w:b/>
          <w:i/>
          <w:color w:val="auto"/>
          <w:sz w:val="20"/>
          <w:szCs w:val="20"/>
        </w:rPr>
        <w:t>zarea unui program de integrare pe piața muncii</w:t>
      </w:r>
      <w:r w:rsidRPr="00F57708">
        <w:rPr>
          <w:rFonts w:eastAsia="Times New Roman" w:cstheme="minorHAnsi"/>
          <w:b/>
          <w:i/>
          <w:color w:val="auto"/>
          <w:sz w:val="20"/>
          <w:szCs w:val="20"/>
        </w:rPr>
        <w:t xml:space="preserve"> a femeilor victime ale traficului de persoane</w:t>
      </w:r>
      <w:r w:rsidRPr="00F57708">
        <w:rPr>
          <w:rFonts w:eastAsia="Times New Roman" w:cstheme="minorHAnsi"/>
          <w:color w:val="auto"/>
          <w:sz w:val="20"/>
          <w:szCs w:val="20"/>
        </w:rPr>
        <w:t xml:space="preserve">. </w:t>
      </w:r>
      <w:r w:rsidR="000D090F" w:rsidRPr="00F57708">
        <w:rPr>
          <w:rFonts w:eastAsia="Times New Roman" w:cstheme="minorHAnsi"/>
          <w:color w:val="auto"/>
          <w:sz w:val="20"/>
          <w:szCs w:val="20"/>
        </w:rPr>
        <w:t xml:space="preserve">În acest grup se poate vorbi de două categorii de persoane. Din prima categorie fac parte fete de 18 ani care au părinții în afară și rămân cu bunicii, situație în care nu mai reușesc să distingă ce este bine și ce este rău. A doua categorie sunt fete care au o vârstă foarte mică cu copii și nu mai reușesc să se angajeze din mai multe motive: nu au suficinetă pregătire pentru a putea fi incluse în cadrul unui curs de pregătire profesională. Aceste persoane se află în imposibilitatea finalizării studiilor din cauza copilului, de care trebuie să aibă grijă. </w:t>
      </w:r>
      <w:r w:rsidRPr="00F57708">
        <w:rPr>
          <w:rFonts w:eastAsia="Times New Roman" w:cstheme="minorHAnsi"/>
          <w:color w:val="auto"/>
          <w:sz w:val="20"/>
          <w:szCs w:val="20"/>
        </w:rPr>
        <w:t>Statul trebuie să asigure o parte din necesarul creșterii copilului</w:t>
      </w:r>
      <w:r w:rsidR="00571A2B">
        <w:rPr>
          <w:rFonts w:eastAsia="Times New Roman" w:cstheme="minorHAnsi"/>
          <w:color w:val="auto"/>
          <w:sz w:val="20"/>
          <w:szCs w:val="20"/>
        </w:rPr>
        <w:t>,</w:t>
      </w:r>
      <w:r w:rsidRPr="00F57708">
        <w:rPr>
          <w:rFonts w:eastAsia="Times New Roman" w:cstheme="minorHAnsi"/>
          <w:color w:val="auto"/>
          <w:sz w:val="20"/>
          <w:szCs w:val="20"/>
        </w:rPr>
        <w:t xml:space="preserve"> pentru ca femeile să</w:t>
      </w:r>
      <w:r w:rsidR="00571A2B">
        <w:rPr>
          <w:rFonts w:eastAsia="Times New Roman" w:cstheme="minorHAnsi"/>
          <w:color w:val="auto"/>
          <w:sz w:val="20"/>
          <w:szCs w:val="20"/>
        </w:rPr>
        <w:t xml:space="preserve"> urmeze un curs de pregătire </w:t>
      </w:r>
      <w:r w:rsidRPr="00F57708">
        <w:rPr>
          <w:rFonts w:eastAsia="Times New Roman" w:cstheme="minorHAnsi"/>
          <w:color w:val="auto"/>
          <w:sz w:val="20"/>
          <w:szCs w:val="20"/>
        </w:rPr>
        <w:t>în</w:t>
      </w:r>
      <w:r w:rsidR="000D090F" w:rsidRPr="00F57708">
        <w:rPr>
          <w:rFonts w:eastAsia="Times New Roman" w:cstheme="minorHAnsi"/>
          <w:color w:val="auto"/>
          <w:sz w:val="20"/>
          <w:szCs w:val="20"/>
        </w:rPr>
        <w:t>tr-un anumit</w:t>
      </w:r>
      <w:r w:rsidRPr="00F57708">
        <w:rPr>
          <w:rFonts w:eastAsia="Times New Roman" w:cstheme="minorHAnsi"/>
          <w:color w:val="auto"/>
          <w:sz w:val="20"/>
          <w:szCs w:val="20"/>
        </w:rPr>
        <w:t xml:space="preserve"> domeniu, sau se poate face o chestiune combinată, în care un angajator să acopere o parte din cheltuieli și să acopere o pregătire</w:t>
      </w:r>
      <w:r w:rsidR="00571A2B">
        <w:rPr>
          <w:rFonts w:eastAsia="Times New Roman" w:cstheme="minorHAnsi"/>
          <w:color w:val="auto"/>
          <w:sz w:val="20"/>
          <w:szCs w:val="20"/>
        </w:rPr>
        <w:t>.</w:t>
      </w:r>
    </w:p>
    <w:p w14:paraId="10FDAC8C" w14:textId="77777777" w:rsidR="00D26D0A" w:rsidRPr="00F851B9" w:rsidRDefault="00D26D0A" w:rsidP="00F851B9">
      <w:pPr>
        <w:pStyle w:val="ListParagraph"/>
        <w:numPr>
          <w:ilvl w:val="0"/>
          <w:numId w:val="8"/>
        </w:numPr>
        <w:spacing w:before="120" w:after="100" w:afterAutospacing="1"/>
        <w:contextualSpacing/>
        <w:rPr>
          <w:rFonts w:cstheme="minorHAnsi"/>
          <w:color w:val="auto"/>
          <w:sz w:val="20"/>
          <w:szCs w:val="20"/>
          <w:lang w:val="ro-RO"/>
        </w:rPr>
      </w:pPr>
      <w:r w:rsidRPr="00F851B9">
        <w:rPr>
          <w:rFonts w:cstheme="minorHAnsi"/>
          <w:b/>
          <w:i/>
          <w:color w:val="auto"/>
          <w:sz w:val="20"/>
          <w:szCs w:val="20"/>
          <w:lang w:val="ro-RO"/>
        </w:rPr>
        <w:t>Abordarea integrată este absolut necesară</w:t>
      </w:r>
      <w:r w:rsidRPr="00F851B9">
        <w:rPr>
          <w:rFonts w:cstheme="minorHAnsi"/>
          <w:color w:val="auto"/>
          <w:sz w:val="20"/>
          <w:szCs w:val="20"/>
          <w:lang w:val="ro-RO"/>
        </w:rPr>
        <w:t xml:space="preserve"> și este</w:t>
      </w:r>
      <w:r w:rsidR="0085397D" w:rsidRPr="00F851B9">
        <w:rPr>
          <w:rFonts w:cstheme="minorHAnsi"/>
          <w:color w:val="auto"/>
          <w:sz w:val="20"/>
          <w:szCs w:val="20"/>
          <w:lang w:val="ro-RO"/>
        </w:rPr>
        <w:t xml:space="preserve"> </w:t>
      </w:r>
      <w:r w:rsidRPr="00F851B9">
        <w:rPr>
          <w:rFonts w:cstheme="minorHAnsi"/>
          <w:color w:val="auto"/>
          <w:sz w:val="20"/>
          <w:szCs w:val="20"/>
          <w:lang w:val="ro-RO"/>
        </w:rPr>
        <w:t xml:space="preserve">necesar ca intervențiile să fie legate de strategiile de dezvoltare locală și perspectivele pe care o localitate le are în sensul ocupării forței de muncă. </w:t>
      </w:r>
      <w:r w:rsidR="0085397D" w:rsidRPr="00F851B9">
        <w:rPr>
          <w:rFonts w:cstheme="minorHAnsi"/>
          <w:color w:val="auto"/>
          <w:sz w:val="20"/>
          <w:szCs w:val="20"/>
          <w:lang w:val="ro-RO"/>
        </w:rPr>
        <w:t>În lipsa acestei abordări integrate există o neconcordanță între cursurile de calificare realizate femeilor și integrarea pe piața muncii.</w:t>
      </w:r>
    </w:p>
    <w:p w14:paraId="6ED1356C" w14:textId="77777777" w:rsidR="0085397D" w:rsidRPr="00F851B9" w:rsidRDefault="0085397D" w:rsidP="00F851B9">
      <w:pPr>
        <w:pStyle w:val="ListParagraph"/>
        <w:numPr>
          <w:ilvl w:val="0"/>
          <w:numId w:val="8"/>
        </w:numPr>
        <w:spacing w:before="120" w:after="100" w:afterAutospacing="1"/>
        <w:contextualSpacing/>
        <w:rPr>
          <w:rFonts w:cstheme="minorHAnsi"/>
          <w:color w:val="auto"/>
          <w:sz w:val="20"/>
          <w:szCs w:val="20"/>
          <w:lang w:val="ro-RO"/>
        </w:rPr>
      </w:pPr>
      <w:r w:rsidRPr="00F851B9">
        <w:rPr>
          <w:rFonts w:cstheme="minorHAnsi"/>
          <w:b/>
          <w:i/>
          <w:color w:val="auto"/>
          <w:sz w:val="20"/>
          <w:szCs w:val="20"/>
          <w:lang w:val="ro-RO"/>
        </w:rPr>
        <w:t xml:space="preserve">Susținerea ONG-urile și fundațiilor în domeniul egalității de șanse </w:t>
      </w:r>
      <w:r w:rsidRPr="00F851B9">
        <w:rPr>
          <w:rFonts w:cstheme="minorHAnsi"/>
          <w:color w:val="auto"/>
          <w:sz w:val="20"/>
          <w:szCs w:val="20"/>
          <w:lang w:val="ro-RO"/>
        </w:rPr>
        <w:t>și dezvoltarea componentei de lobby și activism social</w:t>
      </w:r>
      <w:r w:rsidR="008A2C12" w:rsidRPr="00F851B9">
        <w:rPr>
          <w:rFonts w:cstheme="minorHAnsi"/>
          <w:color w:val="auto"/>
          <w:sz w:val="20"/>
          <w:szCs w:val="20"/>
          <w:lang w:val="ro-RO"/>
        </w:rPr>
        <w:t xml:space="preserve">. </w:t>
      </w:r>
      <w:r w:rsidRPr="00F851B9">
        <w:rPr>
          <w:rFonts w:cstheme="minorHAnsi"/>
          <w:color w:val="auto"/>
          <w:sz w:val="20"/>
          <w:szCs w:val="20"/>
          <w:lang w:val="ro-RO"/>
        </w:rPr>
        <w:t xml:space="preserve">Datele la nivel european arată că mediul civic se degradează, din perspectiva ascensiuni unor valori mai puțin democratice, mai puțin acceptabile pentru un </w:t>
      </w:r>
      <w:r w:rsidR="005203DD" w:rsidRPr="00F851B9">
        <w:rPr>
          <w:rFonts w:cstheme="minorHAnsi"/>
          <w:color w:val="auto"/>
          <w:sz w:val="20"/>
          <w:szCs w:val="20"/>
          <w:lang w:val="ro-RO"/>
        </w:rPr>
        <w:t>context al egalității de șanse. M</w:t>
      </w:r>
      <w:r w:rsidRPr="00F851B9">
        <w:rPr>
          <w:rFonts w:cstheme="minorHAnsi"/>
          <w:color w:val="auto"/>
          <w:sz w:val="20"/>
          <w:szCs w:val="20"/>
          <w:lang w:val="ro-RO"/>
        </w:rPr>
        <w:t xml:space="preserve">enținerea tematicii </w:t>
      </w:r>
      <w:r w:rsidR="005203DD" w:rsidRPr="00F851B9">
        <w:rPr>
          <w:rFonts w:cstheme="minorHAnsi"/>
          <w:color w:val="auto"/>
          <w:sz w:val="20"/>
          <w:szCs w:val="20"/>
          <w:lang w:val="ro-RO"/>
        </w:rPr>
        <w:t xml:space="preserve">în spațiul public este </w:t>
      </w:r>
      <w:r w:rsidRPr="00F851B9">
        <w:rPr>
          <w:rFonts w:cstheme="minorHAnsi"/>
          <w:color w:val="auto"/>
          <w:sz w:val="20"/>
          <w:szCs w:val="20"/>
          <w:lang w:val="ro-RO"/>
        </w:rPr>
        <w:t xml:space="preserve">foarte importantă, dar și susținerea politică a </w:t>
      </w:r>
      <w:r w:rsidR="00F851B9" w:rsidRPr="00F851B9">
        <w:rPr>
          <w:rFonts w:cstheme="minorHAnsi"/>
          <w:color w:val="auto"/>
          <w:sz w:val="20"/>
          <w:szCs w:val="20"/>
          <w:lang w:val="ro-RO"/>
        </w:rPr>
        <w:t>principiului egalității de gen. D</w:t>
      </w:r>
      <w:r w:rsidRPr="00F851B9">
        <w:rPr>
          <w:rFonts w:cstheme="minorHAnsi"/>
          <w:color w:val="auto"/>
          <w:sz w:val="20"/>
          <w:szCs w:val="20"/>
          <w:lang w:val="ro-RO"/>
        </w:rPr>
        <w:t>eși a crescut num</w:t>
      </w:r>
      <w:r w:rsidR="00B26525" w:rsidRPr="00F851B9">
        <w:rPr>
          <w:rFonts w:cstheme="minorHAnsi"/>
          <w:color w:val="auto"/>
          <w:sz w:val="20"/>
          <w:szCs w:val="20"/>
          <w:lang w:val="ro-RO"/>
        </w:rPr>
        <w:t>ărul femeilor implicate în activ</w:t>
      </w:r>
      <w:r w:rsidRPr="00F851B9">
        <w:rPr>
          <w:rFonts w:cstheme="minorHAnsi"/>
          <w:color w:val="auto"/>
          <w:sz w:val="20"/>
          <w:szCs w:val="20"/>
          <w:lang w:val="ro-RO"/>
        </w:rPr>
        <w:t xml:space="preserve">itățile deciziționale, creșterea nu se datorează includerii pe scena politică, ci mai degrabă implicării femeilor în domeniul administrativ. </w:t>
      </w:r>
    </w:p>
    <w:p w14:paraId="6AFB63C6" w14:textId="77777777" w:rsidR="00511EAC" w:rsidRPr="00F851B9" w:rsidRDefault="00511EAC" w:rsidP="00F851B9">
      <w:pPr>
        <w:pStyle w:val="ListParagraph"/>
        <w:spacing w:before="120" w:after="100" w:afterAutospacing="1"/>
        <w:contextualSpacing/>
        <w:rPr>
          <w:rFonts w:eastAsia="Times New Roman" w:cstheme="minorHAnsi"/>
          <w:i/>
          <w:sz w:val="20"/>
          <w:szCs w:val="20"/>
        </w:rPr>
      </w:pPr>
    </w:p>
    <w:p w14:paraId="492F805D" w14:textId="77777777" w:rsidR="005203DD" w:rsidRPr="00F851B9" w:rsidRDefault="005203DD" w:rsidP="00F851B9">
      <w:pPr>
        <w:pStyle w:val="ListParagraph"/>
        <w:spacing w:before="120" w:after="100" w:afterAutospacing="1"/>
        <w:contextualSpacing/>
        <w:rPr>
          <w:rFonts w:cstheme="minorHAnsi"/>
          <w:color w:val="auto"/>
          <w:sz w:val="20"/>
          <w:szCs w:val="20"/>
          <w:lang w:val="ro-RO"/>
        </w:rPr>
      </w:pPr>
    </w:p>
    <w:p w14:paraId="3E5C5D1B" w14:textId="77777777" w:rsidR="005821EE" w:rsidRPr="00F851B9" w:rsidRDefault="005821EE" w:rsidP="00F851B9">
      <w:pPr>
        <w:keepNext/>
        <w:snapToGrid w:val="0"/>
        <w:spacing w:before="120" w:after="100" w:afterAutospacing="1" w:line="240" w:lineRule="auto"/>
        <w:ind w:left="720" w:hanging="360"/>
        <w:contextualSpacing/>
        <w:jc w:val="center"/>
        <w:outlineLvl w:val="0"/>
        <w:rPr>
          <w:rFonts w:cstheme="minorHAnsi"/>
          <w:b/>
          <w:bCs/>
          <w:color w:val="0070C0"/>
          <w:sz w:val="20"/>
          <w:szCs w:val="20"/>
          <w:lang w:val="ro-RO"/>
        </w:rPr>
      </w:pPr>
      <w:bookmarkStart w:id="1" w:name="_Toc59541307"/>
      <w:r w:rsidRPr="00F851B9">
        <w:rPr>
          <w:rFonts w:cstheme="minorHAnsi"/>
          <w:b/>
          <w:bCs/>
          <w:color w:val="0070C0"/>
          <w:sz w:val="20"/>
          <w:szCs w:val="20"/>
          <w:lang w:val="ro-RO"/>
        </w:rPr>
        <w:t xml:space="preserve">METODOLOGIA DE DERULARE A </w:t>
      </w:r>
      <w:bookmarkEnd w:id="1"/>
      <w:r w:rsidR="00C660CA" w:rsidRPr="00F851B9">
        <w:rPr>
          <w:rFonts w:cstheme="minorHAnsi"/>
          <w:b/>
          <w:bCs/>
          <w:color w:val="0070C0"/>
          <w:sz w:val="20"/>
          <w:szCs w:val="20"/>
          <w:lang w:val="ro-RO"/>
        </w:rPr>
        <w:t>PANELULUI DE EXPERȚI</w:t>
      </w:r>
    </w:p>
    <w:p w14:paraId="786CAF2B" w14:textId="77777777" w:rsidR="005821EE" w:rsidRPr="00F851B9" w:rsidRDefault="005821EE" w:rsidP="00F851B9">
      <w:pPr>
        <w:keepNext/>
        <w:snapToGrid w:val="0"/>
        <w:spacing w:before="120" w:after="100" w:afterAutospacing="1" w:line="240" w:lineRule="auto"/>
        <w:ind w:left="720" w:hanging="360"/>
        <w:contextualSpacing/>
        <w:jc w:val="center"/>
        <w:outlineLvl w:val="0"/>
        <w:rPr>
          <w:rFonts w:cstheme="minorHAnsi"/>
          <w:b/>
          <w:bCs/>
          <w:color w:val="0070C0"/>
          <w:sz w:val="20"/>
          <w:szCs w:val="20"/>
          <w:lang w:val="ro-RO"/>
        </w:rPr>
      </w:pPr>
    </w:p>
    <w:p w14:paraId="7C890711" w14:textId="77777777" w:rsidR="005203DD" w:rsidRPr="00F851B9" w:rsidRDefault="005203DD" w:rsidP="00F851B9">
      <w:pPr>
        <w:keepNext/>
        <w:snapToGrid w:val="0"/>
        <w:spacing w:before="120" w:after="100" w:afterAutospacing="1" w:line="240" w:lineRule="auto"/>
        <w:ind w:left="720" w:hanging="360"/>
        <w:contextualSpacing/>
        <w:jc w:val="center"/>
        <w:outlineLvl w:val="0"/>
        <w:rPr>
          <w:rFonts w:cstheme="minorHAnsi"/>
          <w:b/>
          <w:bCs/>
          <w:color w:val="0070C0"/>
          <w:sz w:val="20"/>
          <w:szCs w:val="20"/>
          <w:lang w:val="ro-RO"/>
        </w:rPr>
      </w:pPr>
    </w:p>
    <w:p w14:paraId="2FE12085" w14:textId="77777777" w:rsidR="005821EE" w:rsidRPr="00F851B9" w:rsidRDefault="005821EE" w:rsidP="00F851B9">
      <w:pPr>
        <w:keepNext/>
        <w:snapToGrid w:val="0"/>
        <w:spacing w:before="120" w:after="100" w:afterAutospacing="1" w:line="240" w:lineRule="auto"/>
        <w:ind w:left="720"/>
        <w:contextualSpacing/>
        <w:jc w:val="both"/>
        <w:outlineLvl w:val="0"/>
        <w:rPr>
          <w:rFonts w:eastAsia="SimSun" w:cstheme="minorHAnsi"/>
          <w:caps/>
          <w:color w:val="44546A" w:themeColor="text2"/>
          <w:sz w:val="20"/>
          <w:szCs w:val="20"/>
          <w:lang w:val="ro-RO" w:bidi="ne-NP"/>
        </w:rPr>
      </w:pPr>
      <w:bookmarkStart w:id="2" w:name="_Toc39748362"/>
      <w:bookmarkStart w:id="3" w:name="_Toc52220853"/>
      <w:bookmarkStart w:id="4" w:name="_Toc59541308"/>
      <w:r w:rsidRPr="00F851B9">
        <w:rPr>
          <w:rFonts w:eastAsia="SimSun" w:cstheme="minorHAnsi"/>
          <w:caps/>
          <w:color w:val="44546A" w:themeColor="text2"/>
          <w:sz w:val="20"/>
          <w:szCs w:val="20"/>
          <w:lang w:val="ro-RO" w:bidi="ne-NP"/>
        </w:rPr>
        <w:t>Abordare</w:t>
      </w:r>
      <w:bookmarkEnd w:id="2"/>
      <w:bookmarkEnd w:id="3"/>
      <w:bookmarkEnd w:id="4"/>
    </w:p>
    <w:p w14:paraId="6AA96634" w14:textId="77777777" w:rsidR="005821EE" w:rsidRPr="00F851B9" w:rsidRDefault="00C660CA" w:rsidP="00F851B9">
      <w:pPr>
        <w:spacing w:before="120" w:after="100" w:afterAutospacing="1" w:line="240" w:lineRule="auto"/>
        <w:contextualSpacing/>
        <w:jc w:val="both"/>
        <w:rPr>
          <w:rFonts w:cstheme="minorHAnsi"/>
          <w:sz w:val="20"/>
          <w:szCs w:val="20"/>
          <w:lang w:val="ro-RO" w:bidi="ne-NP"/>
        </w:rPr>
      </w:pPr>
      <w:r w:rsidRPr="00F851B9">
        <w:rPr>
          <w:rFonts w:cstheme="minorHAnsi"/>
          <w:b/>
          <w:bCs/>
          <w:i/>
          <w:iCs/>
          <w:sz w:val="20"/>
          <w:szCs w:val="20"/>
          <w:lang w:val="ro-RO" w:bidi="ne-NP"/>
        </w:rPr>
        <w:t>Panelul de experți</w:t>
      </w:r>
      <w:r w:rsidR="005821EE" w:rsidRPr="00F851B9">
        <w:rPr>
          <w:rFonts w:cstheme="minorHAnsi"/>
          <w:sz w:val="20"/>
          <w:szCs w:val="20"/>
          <w:lang w:val="ro-RO" w:bidi="ne-NP"/>
        </w:rPr>
        <w:t xml:space="preserve"> a avut</w:t>
      </w:r>
      <w:r w:rsidR="00F271CE" w:rsidRPr="00F851B9">
        <w:rPr>
          <w:rFonts w:cstheme="minorHAnsi"/>
          <w:sz w:val="20"/>
          <w:szCs w:val="20"/>
          <w:lang w:val="ro-RO" w:bidi="ne-NP"/>
        </w:rPr>
        <w:t xml:space="preserve"> ro</w:t>
      </w:r>
      <w:r w:rsidR="00B74A44" w:rsidRPr="00F851B9">
        <w:rPr>
          <w:rFonts w:cstheme="minorHAnsi"/>
          <w:sz w:val="20"/>
          <w:szCs w:val="20"/>
          <w:lang w:val="ro-RO" w:bidi="ne-NP"/>
        </w:rPr>
        <w:t>lul de a valida informațiile obț</w:t>
      </w:r>
      <w:r w:rsidR="00F271CE" w:rsidRPr="00F851B9">
        <w:rPr>
          <w:rFonts w:cstheme="minorHAnsi"/>
          <w:sz w:val="20"/>
          <w:szCs w:val="20"/>
          <w:lang w:val="ro-RO" w:bidi="ne-NP"/>
        </w:rPr>
        <w:t xml:space="preserve">inute </w:t>
      </w:r>
      <w:r w:rsidR="00B74A44" w:rsidRPr="00F851B9">
        <w:rPr>
          <w:rFonts w:cstheme="minorHAnsi"/>
          <w:sz w:val="20"/>
          <w:szCs w:val="20"/>
          <w:lang w:val="ro-RO" w:bidi="ne-NP"/>
        </w:rPr>
        <w:t xml:space="preserve">anterior în procesul de evaluare, fiind invitați experți în domeniul incluziunii sociale. Panelul de experți a fost organizat cu 10-15 persoane, </w:t>
      </w:r>
      <w:r w:rsidR="000A2C02" w:rsidRPr="00F851B9">
        <w:rPr>
          <w:rFonts w:cstheme="minorHAnsi"/>
          <w:sz w:val="20"/>
          <w:szCs w:val="20"/>
          <w:lang w:val="ro-RO" w:bidi="ne-NP"/>
        </w:rPr>
        <w:t>din parte</w:t>
      </w:r>
      <w:r w:rsidR="00571A2B">
        <w:rPr>
          <w:rFonts w:cstheme="minorHAnsi"/>
          <w:sz w:val="20"/>
          <w:szCs w:val="20"/>
          <w:lang w:val="ro-RO" w:bidi="ne-NP"/>
        </w:rPr>
        <w:t>a</w:t>
      </w:r>
      <w:r w:rsidR="000A2C02" w:rsidRPr="00F851B9">
        <w:rPr>
          <w:rFonts w:cstheme="minorHAnsi"/>
          <w:sz w:val="20"/>
          <w:szCs w:val="20"/>
          <w:lang w:val="ro-RO" w:bidi="ne-NP"/>
        </w:rPr>
        <w:t xml:space="preserve"> DMI 6.3 fiind invitați 6 reprezenați care conduc organizații în domeniul egalității de șanse, eliminarea discriminării și promovarea drepturilor omului. </w:t>
      </w:r>
      <w:r w:rsidR="00B74A44" w:rsidRPr="00F851B9">
        <w:rPr>
          <w:rFonts w:cstheme="minorHAnsi"/>
          <w:sz w:val="20"/>
          <w:szCs w:val="20"/>
          <w:lang w:val="ro-RO" w:bidi="ne-NP"/>
        </w:rPr>
        <w:t xml:space="preserve"> </w:t>
      </w:r>
    </w:p>
    <w:p w14:paraId="7FC2DB90" w14:textId="77777777" w:rsidR="005203DD" w:rsidRPr="00F851B9" w:rsidRDefault="005203DD" w:rsidP="00F851B9">
      <w:pPr>
        <w:spacing w:before="120" w:after="100" w:afterAutospacing="1" w:line="240" w:lineRule="auto"/>
        <w:contextualSpacing/>
        <w:jc w:val="both"/>
        <w:rPr>
          <w:rFonts w:cstheme="minorHAnsi"/>
          <w:sz w:val="20"/>
          <w:szCs w:val="20"/>
          <w:lang w:val="ro-RO" w:bidi="ne-NP"/>
        </w:rPr>
      </w:pPr>
    </w:p>
    <w:p w14:paraId="716E1B1F" w14:textId="77777777" w:rsidR="005821EE" w:rsidRPr="00F851B9" w:rsidRDefault="005821EE" w:rsidP="00F851B9">
      <w:pPr>
        <w:keepNext/>
        <w:snapToGrid w:val="0"/>
        <w:spacing w:before="120" w:after="100" w:afterAutospacing="1" w:line="240" w:lineRule="auto"/>
        <w:ind w:left="720"/>
        <w:contextualSpacing/>
        <w:outlineLvl w:val="0"/>
        <w:rPr>
          <w:rFonts w:eastAsia="SimSun" w:cstheme="minorHAnsi"/>
          <w:caps/>
          <w:color w:val="44546A" w:themeColor="text2"/>
          <w:sz w:val="20"/>
          <w:szCs w:val="20"/>
          <w:lang w:val="ro-RO" w:bidi="ne-NP"/>
        </w:rPr>
      </w:pPr>
      <w:bookmarkStart w:id="5" w:name="_Toc39748363"/>
      <w:bookmarkStart w:id="6" w:name="_Toc52220854"/>
      <w:bookmarkStart w:id="7" w:name="_Toc59541309"/>
      <w:r w:rsidRPr="00F851B9">
        <w:rPr>
          <w:rFonts w:eastAsia="SimSun" w:cstheme="minorHAnsi"/>
          <w:caps/>
          <w:color w:val="44546A" w:themeColor="text2"/>
          <w:sz w:val="20"/>
          <w:szCs w:val="20"/>
          <w:lang w:val="ro-RO" w:bidi="ne-NP"/>
        </w:rPr>
        <w:t>Modalitatea de derulare a ateliereor regionale</w:t>
      </w:r>
      <w:bookmarkEnd w:id="5"/>
      <w:bookmarkEnd w:id="6"/>
      <w:bookmarkEnd w:id="7"/>
    </w:p>
    <w:p w14:paraId="28135F30" w14:textId="77777777" w:rsidR="005821EE" w:rsidRPr="00F851B9" w:rsidRDefault="005821EE" w:rsidP="00F851B9">
      <w:pPr>
        <w:spacing w:before="120" w:after="100" w:afterAutospacing="1" w:line="240" w:lineRule="auto"/>
        <w:contextualSpacing/>
        <w:jc w:val="both"/>
        <w:rPr>
          <w:rFonts w:cstheme="minorHAnsi"/>
          <w:sz w:val="20"/>
          <w:szCs w:val="20"/>
          <w:lang w:val="ro-RO"/>
        </w:rPr>
      </w:pPr>
      <w:r w:rsidRPr="00F851B9">
        <w:rPr>
          <w:rFonts w:cstheme="minorHAnsi"/>
          <w:sz w:val="20"/>
          <w:szCs w:val="20"/>
          <w:lang w:val="ro-RO"/>
        </w:rPr>
        <w:t>Dată fiind situația generată de pandemia Covid-19 , atelierele de lucru s-au desfășurat online, prin intermediul unei platforme comun agreate cu participanții (Zoom). S-a solicitat permisiunea participanților pentru înregistrarea discuțiilor</w:t>
      </w:r>
      <w:r w:rsidRPr="00F851B9">
        <w:rPr>
          <w:rFonts w:cstheme="minorHAnsi"/>
          <w:sz w:val="20"/>
          <w:szCs w:val="20"/>
          <w:lang w:val="ro-RO" w:bidi="ne-NP"/>
        </w:rPr>
        <w:t xml:space="preserve"> cu respectarea aspectelor legate de confidențialitate</w:t>
      </w:r>
      <w:r w:rsidRPr="00F851B9">
        <w:rPr>
          <w:rFonts w:cstheme="minorHAnsi"/>
          <w:sz w:val="20"/>
          <w:szCs w:val="20"/>
          <w:lang w:val="ro-RO"/>
        </w:rPr>
        <w:t>; niciun participant nu a declinat această permisiune.</w:t>
      </w:r>
    </w:p>
    <w:p w14:paraId="0A376FB6" w14:textId="77777777" w:rsidR="005821EE" w:rsidRPr="00F851B9" w:rsidRDefault="005821EE" w:rsidP="00F851B9">
      <w:pPr>
        <w:spacing w:before="120" w:after="100" w:afterAutospacing="1" w:line="240" w:lineRule="auto"/>
        <w:contextualSpacing/>
        <w:jc w:val="both"/>
        <w:rPr>
          <w:rFonts w:cstheme="minorHAnsi"/>
          <w:sz w:val="20"/>
          <w:szCs w:val="20"/>
          <w:lang w:val="ro-RO"/>
        </w:rPr>
      </w:pPr>
    </w:p>
    <w:p w14:paraId="0BC5403C" w14:textId="77777777" w:rsidR="005821EE" w:rsidRDefault="005821EE" w:rsidP="00F851B9">
      <w:pPr>
        <w:spacing w:before="120" w:after="100" w:afterAutospacing="1" w:line="240" w:lineRule="auto"/>
        <w:contextualSpacing/>
        <w:jc w:val="both"/>
        <w:rPr>
          <w:rFonts w:cstheme="minorHAnsi"/>
          <w:sz w:val="20"/>
          <w:szCs w:val="20"/>
          <w:lang w:val="ro-RO"/>
        </w:rPr>
      </w:pPr>
      <w:r w:rsidRPr="00F851B9">
        <w:rPr>
          <w:rFonts w:cstheme="minorHAnsi"/>
          <w:sz w:val="20"/>
          <w:szCs w:val="20"/>
          <w:lang w:val="ro-RO"/>
        </w:rPr>
        <w:t>Discuția a început printr-o scurtă prezentare, susținută de</w:t>
      </w:r>
      <w:r w:rsidR="00B716FD" w:rsidRPr="00F851B9">
        <w:rPr>
          <w:rFonts w:cstheme="minorHAnsi"/>
          <w:sz w:val="20"/>
          <w:szCs w:val="20"/>
          <w:lang w:val="ro-RO"/>
        </w:rPr>
        <w:t xml:space="preserve"> liderul de echipă </w:t>
      </w:r>
      <w:r w:rsidR="00571A2B">
        <w:rPr>
          <w:rFonts w:cstheme="minorHAnsi"/>
          <w:sz w:val="20"/>
          <w:szCs w:val="20"/>
          <w:lang w:val="ro-RO"/>
        </w:rPr>
        <w:t>cu privire la impactul</w:t>
      </w:r>
      <w:r w:rsidRPr="00F851B9">
        <w:rPr>
          <w:rFonts w:cstheme="minorHAnsi"/>
          <w:sz w:val="20"/>
          <w:szCs w:val="20"/>
          <w:lang w:val="ro-RO"/>
        </w:rPr>
        <w:t xml:space="preserve"> intervențiilor finanțate prin POSDRU, în domeniul incluziunii sociale, </w:t>
      </w:r>
      <w:r w:rsidRPr="00F851B9">
        <w:rPr>
          <w:rFonts w:cstheme="minorHAnsi"/>
          <w:sz w:val="20"/>
          <w:szCs w:val="20"/>
          <w:lang w:val="ro-RO" w:bidi="ne-NP"/>
        </w:rPr>
        <w:t xml:space="preserve">contextul studiului </w:t>
      </w:r>
      <w:r w:rsidR="00B716FD" w:rsidRPr="00F851B9">
        <w:rPr>
          <w:rFonts w:cstheme="minorHAnsi"/>
          <w:sz w:val="20"/>
          <w:szCs w:val="20"/>
          <w:lang w:val="ro-RO" w:bidi="ne-NP"/>
        </w:rPr>
        <w:t xml:space="preserve">de evaluare, scopul panelului, </w:t>
      </w:r>
      <w:r w:rsidRPr="00F851B9">
        <w:rPr>
          <w:rFonts w:cstheme="minorHAnsi"/>
          <w:sz w:val="20"/>
          <w:szCs w:val="20"/>
          <w:lang w:val="ro-RO" w:bidi="ne-NP"/>
        </w:rPr>
        <w:t xml:space="preserve">precum și alte aspecte legate de modul de derulare a atelierului și temele de discuție. </w:t>
      </w:r>
      <w:r w:rsidRPr="00F851B9">
        <w:rPr>
          <w:rFonts w:cstheme="minorHAnsi"/>
          <w:sz w:val="20"/>
          <w:szCs w:val="20"/>
          <w:lang w:val="ro-RO"/>
        </w:rPr>
        <w:t>Ulterior, au fost</w:t>
      </w:r>
      <w:r w:rsidR="00B716FD" w:rsidRPr="00F851B9">
        <w:rPr>
          <w:rFonts w:cstheme="minorHAnsi"/>
          <w:sz w:val="20"/>
          <w:szCs w:val="20"/>
          <w:lang w:val="ro-RO"/>
        </w:rPr>
        <w:t xml:space="preserve"> prezentate de echipa aferentă fiecărui DMI principalele rezultate și concluzii obținute în urma procesului </w:t>
      </w:r>
      <w:r w:rsidR="002274C1" w:rsidRPr="00F851B9">
        <w:rPr>
          <w:rFonts w:cstheme="minorHAnsi"/>
          <w:sz w:val="20"/>
          <w:szCs w:val="20"/>
          <w:lang w:val="ro-RO"/>
        </w:rPr>
        <w:t xml:space="preserve">de evaluare, fiind discutate principalele teme și situații problematice care au rezultat în urma procesului de evaluare. </w:t>
      </w:r>
      <w:r w:rsidRPr="00F851B9">
        <w:rPr>
          <w:rFonts w:cstheme="minorHAnsi"/>
          <w:sz w:val="20"/>
          <w:szCs w:val="20"/>
          <w:lang w:val="ro-RO"/>
        </w:rPr>
        <w:t xml:space="preserve"> </w:t>
      </w:r>
    </w:p>
    <w:p w14:paraId="293DEA3B" w14:textId="77777777" w:rsidR="00571A2B" w:rsidRDefault="00571A2B" w:rsidP="00F851B9">
      <w:pPr>
        <w:spacing w:before="120" w:after="100" w:afterAutospacing="1" w:line="240" w:lineRule="auto"/>
        <w:contextualSpacing/>
        <w:jc w:val="both"/>
        <w:rPr>
          <w:rFonts w:cstheme="minorHAnsi"/>
          <w:sz w:val="20"/>
          <w:szCs w:val="20"/>
          <w:lang w:val="ro-RO"/>
        </w:rPr>
      </w:pPr>
    </w:p>
    <w:p w14:paraId="474FA842" w14:textId="77777777" w:rsidR="00571A2B" w:rsidRPr="00F851B9" w:rsidRDefault="00571A2B" w:rsidP="00F851B9">
      <w:pPr>
        <w:spacing w:before="120" w:after="100" w:afterAutospacing="1" w:line="240" w:lineRule="auto"/>
        <w:contextualSpacing/>
        <w:jc w:val="both"/>
        <w:rPr>
          <w:rFonts w:cstheme="minorHAnsi"/>
          <w:sz w:val="20"/>
          <w:szCs w:val="20"/>
          <w:lang w:val="ro-RO"/>
        </w:rPr>
      </w:pPr>
    </w:p>
    <w:p w14:paraId="55F6C91D" w14:textId="77777777" w:rsidR="002274C1" w:rsidRPr="00F851B9" w:rsidRDefault="002274C1" w:rsidP="00F851B9">
      <w:pPr>
        <w:spacing w:before="120" w:after="100" w:afterAutospacing="1" w:line="240" w:lineRule="auto"/>
        <w:contextualSpacing/>
        <w:jc w:val="both"/>
        <w:rPr>
          <w:rFonts w:cstheme="minorHAnsi"/>
          <w:sz w:val="20"/>
          <w:szCs w:val="20"/>
          <w:lang w:val="ro-RO"/>
        </w:rPr>
      </w:pPr>
    </w:p>
    <w:p w14:paraId="778E2EE7" w14:textId="77777777" w:rsidR="005821EE" w:rsidRPr="00F851B9" w:rsidRDefault="005821EE" w:rsidP="00F851B9">
      <w:pPr>
        <w:keepNext/>
        <w:snapToGrid w:val="0"/>
        <w:spacing w:before="120" w:after="100" w:afterAutospacing="1" w:line="240" w:lineRule="auto"/>
        <w:ind w:left="720"/>
        <w:contextualSpacing/>
        <w:outlineLvl w:val="0"/>
        <w:rPr>
          <w:rFonts w:eastAsia="SimSun" w:cstheme="minorHAnsi"/>
          <w:caps/>
          <w:color w:val="44546A" w:themeColor="text2"/>
          <w:sz w:val="20"/>
          <w:szCs w:val="20"/>
          <w:lang w:val="ro-RO" w:bidi="ne-NP"/>
        </w:rPr>
      </w:pPr>
      <w:bookmarkStart w:id="8" w:name="_Toc52220855"/>
      <w:bookmarkStart w:id="9" w:name="_Toc59541310"/>
      <w:r w:rsidRPr="00F851B9">
        <w:rPr>
          <w:rFonts w:eastAsia="SimSun" w:cstheme="minorHAnsi"/>
          <w:caps/>
          <w:color w:val="44546A" w:themeColor="text2"/>
          <w:sz w:val="20"/>
          <w:szCs w:val="20"/>
          <w:lang w:val="ro-RO" w:bidi="ne-NP"/>
        </w:rPr>
        <w:t>TEME DE DISCUȚIE</w:t>
      </w:r>
      <w:bookmarkEnd w:id="8"/>
      <w:r w:rsidR="002274C1" w:rsidRPr="00F851B9">
        <w:rPr>
          <w:rFonts w:eastAsia="SimSun" w:cstheme="minorHAnsi"/>
          <w:caps/>
          <w:color w:val="44546A" w:themeColor="text2"/>
          <w:sz w:val="20"/>
          <w:szCs w:val="20"/>
          <w:lang w:val="ro-RO" w:bidi="ne-NP"/>
        </w:rPr>
        <w:t xml:space="preserve"> DMI 6.3</w:t>
      </w:r>
      <w:r w:rsidRPr="00F851B9">
        <w:rPr>
          <w:rFonts w:eastAsia="SimSun" w:cstheme="minorHAnsi"/>
          <w:caps/>
          <w:color w:val="44546A" w:themeColor="text2"/>
          <w:sz w:val="20"/>
          <w:szCs w:val="20"/>
          <w:lang w:val="ro-RO" w:bidi="ne-NP"/>
        </w:rPr>
        <w:t xml:space="preserve"> – LISTĂ ORIENTATIVĂ</w:t>
      </w:r>
      <w:bookmarkEnd w:id="9"/>
    </w:p>
    <w:p w14:paraId="24AA5E2A" w14:textId="77777777" w:rsidR="003E27F5" w:rsidRPr="00F851B9" w:rsidRDefault="003E27F5" w:rsidP="00F851B9">
      <w:pPr>
        <w:pStyle w:val="ListParagraph"/>
        <w:spacing w:after="100" w:afterAutospacing="1"/>
        <w:ind w:left="360"/>
        <w:contextualSpacing/>
        <w:jc w:val="left"/>
        <w:rPr>
          <w:rFonts w:cstheme="minorHAnsi"/>
          <w:color w:val="000000" w:themeColor="text1"/>
          <w:sz w:val="20"/>
          <w:szCs w:val="20"/>
          <w:lang w:val="ro-RO"/>
        </w:rPr>
      </w:pPr>
      <w:r w:rsidRPr="00F851B9">
        <w:rPr>
          <w:rFonts w:cstheme="minorHAnsi"/>
          <w:color w:val="000000" w:themeColor="text1"/>
          <w:sz w:val="20"/>
          <w:szCs w:val="20"/>
          <w:lang w:val="ro-RO"/>
        </w:rPr>
        <w:t>Panelul s-a desfășurat având la bază următoarea agendă și teme de discuții:</w:t>
      </w:r>
    </w:p>
    <w:p w14:paraId="36EB29AE" w14:textId="77777777" w:rsidR="003E27F5" w:rsidRPr="00F851B9" w:rsidRDefault="003E27F5" w:rsidP="00F851B9">
      <w:pPr>
        <w:pStyle w:val="ListParagraph"/>
        <w:numPr>
          <w:ilvl w:val="0"/>
          <w:numId w:val="5"/>
        </w:numPr>
        <w:spacing w:after="100" w:afterAutospacing="1"/>
        <w:contextualSpacing/>
        <w:jc w:val="left"/>
        <w:rPr>
          <w:rFonts w:cstheme="minorHAnsi"/>
          <w:color w:val="000000" w:themeColor="text1"/>
          <w:sz w:val="20"/>
          <w:szCs w:val="20"/>
          <w:lang w:val="ro-RO"/>
        </w:rPr>
      </w:pPr>
      <w:r w:rsidRPr="00F851B9">
        <w:rPr>
          <w:rFonts w:cstheme="minorHAnsi"/>
          <w:color w:val="000000" w:themeColor="text1"/>
          <w:sz w:val="20"/>
          <w:szCs w:val="20"/>
          <w:lang w:val="ro-RO"/>
        </w:rPr>
        <w:t>Validarea concluziilor analizei efectuate în procesul de evaluare și principalele rezultate ale programului operațional</w:t>
      </w:r>
    </w:p>
    <w:p w14:paraId="76AAC96E" w14:textId="77777777" w:rsidR="003E27F5" w:rsidRPr="00F851B9" w:rsidRDefault="003E27F5" w:rsidP="00F851B9">
      <w:pPr>
        <w:pStyle w:val="ListParagraph"/>
        <w:numPr>
          <w:ilvl w:val="0"/>
          <w:numId w:val="5"/>
        </w:numPr>
        <w:spacing w:after="100" w:afterAutospacing="1"/>
        <w:contextualSpacing/>
        <w:jc w:val="left"/>
        <w:rPr>
          <w:rFonts w:cstheme="minorHAnsi"/>
          <w:color w:val="000000" w:themeColor="text1"/>
          <w:sz w:val="20"/>
          <w:szCs w:val="20"/>
          <w:lang w:val="ro-RO"/>
        </w:rPr>
      </w:pPr>
      <w:r w:rsidRPr="00F851B9">
        <w:rPr>
          <w:rFonts w:cstheme="minorHAnsi"/>
          <w:color w:val="000000" w:themeColor="text1"/>
          <w:sz w:val="20"/>
          <w:szCs w:val="20"/>
          <w:lang w:val="ro-RO"/>
        </w:rPr>
        <w:t xml:space="preserve">Validarea concluziilor privind </w:t>
      </w:r>
    </w:p>
    <w:p w14:paraId="10FE7D45" w14:textId="77777777" w:rsidR="003E27F5" w:rsidRPr="00F851B9" w:rsidRDefault="003E27F5" w:rsidP="00F851B9">
      <w:pPr>
        <w:pStyle w:val="ListParagraph"/>
        <w:numPr>
          <w:ilvl w:val="1"/>
          <w:numId w:val="5"/>
        </w:numPr>
        <w:spacing w:after="100" w:afterAutospacing="1"/>
        <w:contextualSpacing/>
        <w:jc w:val="left"/>
        <w:rPr>
          <w:rFonts w:cstheme="minorHAnsi"/>
          <w:color w:val="000000" w:themeColor="text1"/>
          <w:sz w:val="20"/>
          <w:szCs w:val="20"/>
          <w:lang w:val="ro-RO"/>
        </w:rPr>
      </w:pPr>
      <w:r w:rsidRPr="00F851B9">
        <w:rPr>
          <w:rFonts w:cstheme="minorHAnsi"/>
          <w:color w:val="000000" w:themeColor="text1"/>
          <w:sz w:val="20"/>
          <w:szCs w:val="20"/>
          <w:lang w:val="ro-RO"/>
        </w:rPr>
        <w:lastRenderedPageBreak/>
        <w:t>contribuția programului la evoluția sectorului</w:t>
      </w:r>
    </w:p>
    <w:p w14:paraId="0E1880BC" w14:textId="77777777" w:rsidR="003E27F5" w:rsidRPr="00F851B9" w:rsidRDefault="003E27F5" w:rsidP="00F851B9">
      <w:pPr>
        <w:pStyle w:val="ListParagraph"/>
        <w:numPr>
          <w:ilvl w:val="1"/>
          <w:numId w:val="5"/>
        </w:numPr>
        <w:spacing w:after="100" w:afterAutospacing="1"/>
        <w:contextualSpacing/>
        <w:jc w:val="left"/>
        <w:rPr>
          <w:rFonts w:cstheme="minorHAnsi"/>
          <w:color w:val="000000" w:themeColor="text1"/>
          <w:sz w:val="20"/>
          <w:szCs w:val="20"/>
          <w:lang w:val="ro-RO"/>
        </w:rPr>
      </w:pPr>
      <w:r w:rsidRPr="00F851B9">
        <w:rPr>
          <w:rFonts w:cstheme="minorHAnsi"/>
          <w:color w:val="000000" w:themeColor="text1"/>
          <w:sz w:val="20"/>
          <w:szCs w:val="20"/>
          <w:lang w:val="ro-RO"/>
        </w:rPr>
        <w:t>efectele produse, durabilitatea si progarea efectelor</w:t>
      </w:r>
    </w:p>
    <w:p w14:paraId="5D0F5668" w14:textId="77777777" w:rsidR="003E27F5" w:rsidRPr="00F851B9" w:rsidRDefault="003E27F5" w:rsidP="00F851B9">
      <w:pPr>
        <w:pStyle w:val="ListParagraph"/>
        <w:numPr>
          <w:ilvl w:val="0"/>
          <w:numId w:val="5"/>
        </w:numPr>
        <w:spacing w:after="100" w:afterAutospacing="1"/>
        <w:contextualSpacing/>
        <w:rPr>
          <w:rFonts w:cstheme="minorHAnsi"/>
          <w:color w:val="000000" w:themeColor="text1"/>
          <w:sz w:val="20"/>
          <w:szCs w:val="20"/>
          <w:lang w:val="ro-RO"/>
        </w:rPr>
      </w:pPr>
      <w:r w:rsidRPr="00F851B9">
        <w:rPr>
          <w:rFonts w:cstheme="minorHAnsi"/>
          <w:color w:val="000000" w:themeColor="text1"/>
          <w:sz w:val="20"/>
          <w:szCs w:val="20"/>
          <w:lang w:val="ro-RO"/>
        </w:rPr>
        <w:t>Validarea concluziilor privind factorii care au influențat producerea impactului si mecanismele de producere a efectelor</w:t>
      </w:r>
    </w:p>
    <w:p w14:paraId="3072B0C5" w14:textId="77777777" w:rsidR="003E27F5" w:rsidRPr="00F851B9" w:rsidRDefault="003E27F5" w:rsidP="00F851B9">
      <w:pPr>
        <w:pStyle w:val="ListParagraph"/>
        <w:numPr>
          <w:ilvl w:val="0"/>
          <w:numId w:val="5"/>
        </w:numPr>
        <w:spacing w:after="100" w:afterAutospacing="1"/>
        <w:contextualSpacing/>
        <w:jc w:val="left"/>
        <w:rPr>
          <w:rFonts w:cstheme="minorHAnsi"/>
          <w:color w:val="000000" w:themeColor="text1"/>
          <w:sz w:val="20"/>
          <w:szCs w:val="20"/>
          <w:lang w:val="ro-RO"/>
        </w:rPr>
      </w:pPr>
      <w:r w:rsidRPr="00F851B9">
        <w:rPr>
          <w:rFonts w:cstheme="minorHAnsi"/>
          <w:color w:val="000000" w:themeColor="text1"/>
          <w:sz w:val="20"/>
          <w:szCs w:val="20"/>
          <w:lang w:val="ro-RO"/>
        </w:rPr>
        <w:t xml:space="preserve">Lecții învățate, exemple de bune practici. </w:t>
      </w:r>
    </w:p>
    <w:p w14:paraId="3AF43901" w14:textId="77777777" w:rsidR="003E27F5" w:rsidRPr="00F851B9" w:rsidRDefault="003E27F5" w:rsidP="00F851B9">
      <w:pPr>
        <w:keepNext/>
        <w:snapToGrid w:val="0"/>
        <w:spacing w:before="120" w:after="100" w:afterAutospacing="1" w:line="240" w:lineRule="auto"/>
        <w:ind w:left="720"/>
        <w:contextualSpacing/>
        <w:outlineLvl w:val="0"/>
        <w:rPr>
          <w:rFonts w:eastAsia="SimSun" w:cstheme="minorHAnsi"/>
          <w:caps/>
          <w:color w:val="44546A" w:themeColor="text2"/>
          <w:sz w:val="20"/>
          <w:szCs w:val="20"/>
          <w:lang w:val="ro-RO" w:bidi="ne-NP"/>
        </w:rPr>
      </w:pPr>
    </w:p>
    <w:p w14:paraId="463BA11F" w14:textId="77777777" w:rsidR="005821EE" w:rsidRPr="00F851B9" w:rsidRDefault="005821EE" w:rsidP="00F851B9">
      <w:pPr>
        <w:keepNext/>
        <w:snapToGrid w:val="0"/>
        <w:spacing w:before="120" w:after="100" w:afterAutospacing="1" w:line="240" w:lineRule="auto"/>
        <w:ind w:left="360"/>
        <w:contextualSpacing/>
        <w:outlineLvl w:val="0"/>
        <w:rPr>
          <w:rFonts w:eastAsia="SimSun" w:cstheme="minorHAnsi"/>
          <w:caps/>
          <w:color w:val="44546A" w:themeColor="text2"/>
          <w:sz w:val="20"/>
          <w:szCs w:val="20"/>
          <w:lang w:val="ro-RO" w:bidi="ne-NP"/>
        </w:rPr>
      </w:pPr>
    </w:p>
    <w:sectPr w:rsidR="005821EE" w:rsidRPr="00F851B9" w:rsidSect="001F4A02">
      <w:pgSz w:w="11906" w:h="16838"/>
      <w:pgMar w:top="1440" w:right="107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D3622"/>
    <w:multiLevelType w:val="hybridMultilevel"/>
    <w:tmpl w:val="239C984C"/>
    <w:lvl w:ilvl="0" w:tplc="BFC6BC88">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15:restartNumberingAfterBreak="0">
    <w:nsid w:val="597531BB"/>
    <w:multiLevelType w:val="hybridMultilevel"/>
    <w:tmpl w:val="1B3C2C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16519A6"/>
    <w:multiLevelType w:val="hybridMultilevel"/>
    <w:tmpl w:val="92E4C650"/>
    <w:lvl w:ilvl="0" w:tplc="F702CEE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E71EA5"/>
    <w:multiLevelType w:val="hybridMultilevel"/>
    <w:tmpl w:val="B1AEE96A"/>
    <w:lvl w:ilvl="0" w:tplc="1A488E54">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8950DA"/>
    <w:multiLevelType w:val="hybridMultilevel"/>
    <w:tmpl w:val="E4BCB602"/>
    <w:lvl w:ilvl="0" w:tplc="04090005">
      <w:start w:val="1"/>
      <w:numFmt w:val="bullet"/>
      <w:lvlText w:val=""/>
      <w:lvlJc w:val="left"/>
      <w:pPr>
        <w:ind w:left="768" w:hanging="360"/>
      </w:pPr>
      <w:rPr>
        <w:rFonts w:ascii="Wingdings" w:hAnsi="Wingdings" w:hint="default"/>
      </w:rPr>
    </w:lvl>
    <w:lvl w:ilvl="1" w:tplc="04180003" w:tentative="1">
      <w:start w:val="1"/>
      <w:numFmt w:val="bullet"/>
      <w:lvlText w:val="o"/>
      <w:lvlJc w:val="left"/>
      <w:pPr>
        <w:ind w:left="1488" w:hanging="360"/>
      </w:pPr>
      <w:rPr>
        <w:rFonts w:ascii="Courier New" w:hAnsi="Courier New" w:cs="Courier New" w:hint="default"/>
      </w:rPr>
    </w:lvl>
    <w:lvl w:ilvl="2" w:tplc="04180005" w:tentative="1">
      <w:start w:val="1"/>
      <w:numFmt w:val="bullet"/>
      <w:lvlText w:val=""/>
      <w:lvlJc w:val="left"/>
      <w:pPr>
        <w:ind w:left="2208" w:hanging="360"/>
      </w:pPr>
      <w:rPr>
        <w:rFonts w:ascii="Wingdings" w:hAnsi="Wingdings" w:hint="default"/>
      </w:rPr>
    </w:lvl>
    <w:lvl w:ilvl="3" w:tplc="04180001" w:tentative="1">
      <w:start w:val="1"/>
      <w:numFmt w:val="bullet"/>
      <w:lvlText w:val=""/>
      <w:lvlJc w:val="left"/>
      <w:pPr>
        <w:ind w:left="2928" w:hanging="360"/>
      </w:pPr>
      <w:rPr>
        <w:rFonts w:ascii="Symbol" w:hAnsi="Symbol" w:hint="default"/>
      </w:rPr>
    </w:lvl>
    <w:lvl w:ilvl="4" w:tplc="04180003" w:tentative="1">
      <w:start w:val="1"/>
      <w:numFmt w:val="bullet"/>
      <w:lvlText w:val="o"/>
      <w:lvlJc w:val="left"/>
      <w:pPr>
        <w:ind w:left="3648" w:hanging="360"/>
      </w:pPr>
      <w:rPr>
        <w:rFonts w:ascii="Courier New" w:hAnsi="Courier New" w:cs="Courier New" w:hint="default"/>
      </w:rPr>
    </w:lvl>
    <w:lvl w:ilvl="5" w:tplc="04180005" w:tentative="1">
      <w:start w:val="1"/>
      <w:numFmt w:val="bullet"/>
      <w:lvlText w:val=""/>
      <w:lvlJc w:val="left"/>
      <w:pPr>
        <w:ind w:left="4368" w:hanging="360"/>
      </w:pPr>
      <w:rPr>
        <w:rFonts w:ascii="Wingdings" w:hAnsi="Wingdings" w:hint="default"/>
      </w:rPr>
    </w:lvl>
    <w:lvl w:ilvl="6" w:tplc="04180001" w:tentative="1">
      <w:start w:val="1"/>
      <w:numFmt w:val="bullet"/>
      <w:lvlText w:val=""/>
      <w:lvlJc w:val="left"/>
      <w:pPr>
        <w:ind w:left="5088" w:hanging="360"/>
      </w:pPr>
      <w:rPr>
        <w:rFonts w:ascii="Symbol" w:hAnsi="Symbol" w:hint="default"/>
      </w:rPr>
    </w:lvl>
    <w:lvl w:ilvl="7" w:tplc="04180003" w:tentative="1">
      <w:start w:val="1"/>
      <w:numFmt w:val="bullet"/>
      <w:lvlText w:val="o"/>
      <w:lvlJc w:val="left"/>
      <w:pPr>
        <w:ind w:left="5808" w:hanging="360"/>
      </w:pPr>
      <w:rPr>
        <w:rFonts w:ascii="Courier New" w:hAnsi="Courier New" w:cs="Courier New" w:hint="default"/>
      </w:rPr>
    </w:lvl>
    <w:lvl w:ilvl="8" w:tplc="04180005" w:tentative="1">
      <w:start w:val="1"/>
      <w:numFmt w:val="bullet"/>
      <w:lvlText w:val=""/>
      <w:lvlJc w:val="left"/>
      <w:pPr>
        <w:ind w:left="6528" w:hanging="360"/>
      </w:pPr>
      <w:rPr>
        <w:rFonts w:ascii="Wingdings" w:hAnsi="Wingdings" w:hint="default"/>
      </w:rPr>
    </w:lvl>
  </w:abstractNum>
  <w:abstractNum w:abstractNumId="5" w15:restartNumberingAfterBreak="0">
    <w:nsid w:val="7D964995"/>
    <w:multiLevelType w:val="hybridMultilevel"/>
    <w:tmpl w:val="B5947686"/>
    <w:lvl w:ilvl="0" w:tplc="9C16886A">
      <w:start w:val="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E642225"/>
    <w:multiLevelType w:val="hybridMultilevel"/>
    <w:tmpl w:val="3042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EE"/>
    <w:rsid w:val="00001338"/>
    <w:rsid w:val="00006092"/>
    <w:rsid w:val="000356BA"/>
    <w:rsid w:val="000531D4"/>
    <w:rsid w:val="00090108"/>
    <w:rsid w:val="000A2C02"/>
    <w:rsid w:val="000B131C"/>
    <w:rsid w:val="000B5896"/>
    <w:rsid w:val="000D090F"/>
    <w:rsid w:val="00110C25"/>
    <w:rsid w:val="001474E7"/>
    <w:rsid w:val="00195289"/>
    <w:rsid w:val="00196BD5"/>
    <w:rsid w:val="001F4A02"/>
    <w:rsid w:val="00225149"/>
    <w:rsid w:val="002274C1"/>
    <w:rsid w:val="00266B2D"/>
    <w:rsid w:val="0027499E"/>
    <w:rsid w:val="00276069"/>
    <w:rsid w:val="0033685C"/>
    <w:rsid w:val="00341844"/>
    <w:rsid w:val="003B26E3"/>
    <w:rsid w:val="003D485F"/>
    <w:rsid w:val="003E27F5"/>
    <w:rsid w:val="00436D1F"/>
    <w:rsid w:val="004863F1"/>
    <w:rsid w:val="004B3826"/>
    <w:rsid w:val="004F50FE"/>
    <w:rsid w:val="00511EAC"/>
    <w:rsid w:val="005203DD"/>
    <w:rsid w:val="005647E1"/>
    <w:rsid w:val="00571A2B"/>
    <w:rsid w:val="005731F5"/>
    <w:rsid w:val="005821EE"/>
    <w:rsid w:val="00611FA8"/>
    <w:rsid w:val="00612B8B"/>
    <w:rsid w:val="00652904"/>
    <w:rsid w:val="006846E0"/>
    <w:rsid w:val="006921A7"/>
    <w:rsid w:val="006B06D4"/>
    <w:rsid w:val="006C20AB"/>
    <w:rsid w:val="0072667A"/>
    <w:rsid w:val="00740E89"/>
    <w:rsid w:val="00760389"/>
    <w:rsid w:val="00795AAB"/>
    <w:rsid w:val="007B5CD8"/>
    <w:rsid w:val="007D33D8"/>
    <w:rsid w:val="00803646"/>
    <w:rsid w:val="00832B6D"/>
    <w:rsid w:val="008446BB"/>
    <w:rsid w:val="0085397D"/>
    <w:rsid w:val="00877E57"/>
    <w:rsid w:val="008867FD"/>
    <w:rsid w:val="008A2C12"/>
    <w:rsid w:val="00904057"/>
    <w:rsid w:val="00922341"/>
    <w:rsid w:val="00935687"/>
    <w:rsid w:val="00935C0B"/>
    <w:rsid w:val="009370E9"/>
    <w:rsid w:val="00942B2E"/>
    <w:rsid w:val="00974457"/>
    <w:rsid w:val="00981798"/>
    <w:rsid w:val="009A2C21"/>
    <w:rsid w:val="009D1BAB"/>
    <w:rsid w:val="00A57AA2"/>
    <w:rsid w:val="00A73319"/>
    <w:rsid w:val="00A95C2A"/>
    <w:rsid w:val="00AA65B4"/>
    <w:rsid w:val="00AA6C33"/>
    <w:rsid w:val="00B26525"/>
    <w:rsid w:val="00B716FD"/>
    <w:rsid w:val="00B74A44"/>
    <w:rsid w:val="00B82BAE"/>
    <w:rsid w:val="00B86799"/>
    <w:rsid w:val="00BF532A"/>
    <w:rsid w:val="00C46DC5"/>
    <w:rsid w:val="00C660CA"/>
    <w:rsid w:val="00CD5D9A"/>
    <w:rsid w:val="00D17A3A"/>
    <w:rsid w:val="00D23728"/>
    <w:rsid w:val="00D26D0A"/>
    <w:rsid w:val="00D35BFF"/>
    <w:rsid w:val="00D66069"/>
    <w:rsid w:val="00D7694E"/>
    <w:rsid w:val="00DD334C"/>
    <w:rsid w:val="00DD5A9D"/>
    <w:rsid w:val="00DF25CB"/>
    <w:rsid w:val="00E770E3"/>
    <w:rsid w:val="00F271CE"/>
    <w:rsid w:val="00F343E0"/>
    <w:rsid w:val="00F57708"/>
    <w:rsid w:val="00F7769F"/>
    <w:rsid w:val="00F851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5C01"/>
  <w15:chartTrackingRefBased/>
  <w15:docId w15:val="{86A17E33-FDD0-4EA1-84FA-4E8F8BCF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A02"/>
    <w:rPr>
      <w:lang w:val="en-GB"/>
    </w:rPr>
  </w:style>
  <w:style w:type="paragraph" w:styleId="Heading1">
    <w:name w:val="heading 1"/>
    <w:basedOn w:val="Normal"/>
    <w:next w:val="Normal"/>
    <w:link w:val="Heading1Char"/>
    <w:uiPriority w:val="9"/>
    <w:qFormat/>
    <w:rsid w:val="005821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1EE"/>
    <w:rPr>
      <w:rFonts w:asciiTheme="majorHAnsi" w:eastAsiaTheme="majorEastAsia" w:hAnsiTheme="majorHAnsi" w:cstheme="majorBidi"/>
      <w:color w:val="2E74B5" w:themeColor="accent1" w:themeShade="BF"/>
      <w:sz w:val="32"/>
      <w:szCs w:val="32"/>
      <w:lang w:val="en-GB"/>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5821EE"/>
    <w:pPr>
      <w:spacing w:line="240" w:lineRule="auto"/>
      <w:ind w:left="720"/>
      <w:jc w:val="both"/>
    </w:pPr>
    <w:rPr>
      <w:rFonts w:eastAsia="SimSun" w:cs="Cambria"/>
      <w:color w:val="134753"/>
      <w:lang w:val="lt-LT"/>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5821EE"/>
    <w:rPr>
      <w:rFonts w:eastAsia="SimSun" w:cs="Cambria"/>
      <w:color w:val="134753"/>
      <w:lang w:val="lt-LT"/>
    </w:rPr>
  </w:style>
  <w:style w:type="paragraph" w:styleId="CommentText">
    <w:name w:val="annotation text"/>
    <w:basedOn w:val="Normal"/>
    <w:link w:val="CommentTextChar"/>
    <w:uiPriority w:val="99"/>
    <w:semiHidden/>
    <w:unhideWhenUsed/>
    <w:rsid w:val="005821EE"/>
    <w:pPr>
      <w:spacing w:line="240" w:lineRule="auto"/>
      <w:jc w:val="both"/>
    </w:pPr>
    <w:rPr>
      <w:rFonts w:eastAsia="SimSun" w:cs="Cambria"/>
      <w:sz w:val="20"/>
      <w:szCs w:val="20"/>
      <w:lang w:val="lt-LT"/>
    </w:rPr>
  </w:style>
  <w:style w:type="character" w:customStyle="1" w:styleId="CommentTextChar">
    <w:name w:val="Comment Text Char"/>
    <w:basedOn w:val="DefaultParagraphFont"/>
    <w:link w:val="CommentText"/>
    <w:uiPriority w:val="99"/>
    <w:semiHidden/>
    <w:rsid w:val="005821EE"/>
    <w:rPr>
      <w:rFonts w:eastAsia="SimSun" w:cs="Cambria"/>
      <w:sz w:val="20"/>
      <w:szCs w:val="20"/>
      <w:lang w:val="lt-LT"/>
    </w:rPr>
  </w:style>
  <w:style w:type="table" w:styleId="GridTable2-Accent1">
    <w:name w:val="Grid Table 2 Accent 1"/>
    <w:basedOn w:val="TableNormal"/>
    <w:uiPriority w:val="47"/>
    <w:rsid w:val="005821EE"/>
    <w:pPr>
      <w:spacing w:after="0" w:line="240" w:lineRule="auto"/>
    </w:pPr>
    <w:rPr>
      <w:lang w:val="en-U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1299</Words>
  <Characters>7408</Characters>
  <Application>Microsoft Office Word</Application>
  <DocSecurity>0</DocSecurity>
  <Lines>61</Lines>
  <Paragraphs>17</Paragraphs>
  <ScaleCrop>false</ScaleCrop>
  <HeadingPairs>
    <vt:vector size="6" baseType="variant">
      <vt:variant>
        <vt:lpstr>Titlu</vt:lpstr>
      </vt:variant>
      <vt:variant>
        <vt:i4>1</vt:i4>
      </vt:variant>
      <vt:variant>
        <vt:lpstr>Title</vt:lpstr>
      </vt:variant>
      <vt:variant>
        <vt:i4>1</vt:i4>
      </vt:variant>
      <vt:variant>
        <vt:lpstr>Headings</vt:lpstr>
      </vt:variant>
      <vt:variant>
        <vt:i4>9</vt:i4>
      </vt:variant>
    </vt:vector>
  </HeadingPairs>
  <TitlesOfParts>
    <vt:vector size="11" baseType="lpstr">
      <vt:lpstr/>
      <vt:lpstr/>
      <vt:lpstr>Minută panel de experți DMI 6.3 </vt:lpstr>
      <vt:lpstr>METODOLOGIA DE DERULARE A PANELULUI DE EXPERȚI</vt:lpstr>
      <vt:lpstr/>
      <vt:lpstr/>
      <vt:lpstr>Abordare</vt:lpstr>
      <vt:lpstr>Modalitatea de derulare a ateliereor regionale</vt:lpstr>
      <vt:lpstr>TEME DE DISCUȚIE DMI 6.3 – LISTĂ ORIENTATIVĂ</vt:lpstr>
      <vt: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Alina Ionescu</cp:lastModifiedBy>
  <cp:revision>3</cp:revision>
  <dcterms:created xsi:type="dcterms:W3CDTF">2021-03-09T12:36:00Z</dcterms:created>
  <dcterms:modified xsi:type="dcterms:W3CDTF">2021-04-13T14:53:00Z</dcterms:modified>
</cp:coreProperties>
</file>