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3A9A" w14:textId="77777777" w:rsidR="00B74A8C" w:rsidRPr="00991E05" w:rsidRDefault="00B74A8C" w:rsidP="00B74A8C">
      <w:pPr>
        <w:ind w:right="-2"/>
        <w:jc w:val="center"/>
        <w:rPr>
          <w:rFonts w:ascii="Calibri" w:eastAsia="Calibri" w:hAnsi="Calibri" w:cs="Calibri"/>
          <w:b/>
          <w:bCs/>
          <w:color w:val="000000"/>
          <w:sz w:val="32"/>
          <w:szCs w:val="32"/>
        </w:rPr>
      </w:pPr>
    </w:p>
    <w:p w14:paraId="18471BF6" w14:textId="77777777" w:rsidR="00B74A8C" w:rsidRPr="00991E05" w:rsidRDefault="00B74A8C" w:rsidP="00B74A8C">
      <w:pPr>
        <w:ind w:right="-2"/>
        <w:jc w:val="center"/>
        <w:rPr>
          <w:rFonts w:ascii="Calibri" w:eastAsia="Calibri" w:hAnsi="Calibri" w:cs="Calibri"/>
          <w:b/>
          <w:bCs/>
          <w:color w:val="000000"/>
          <w:sz w:val="32"/>
          <w:szCs w:val="32"/>
        </w:rPr>
      </w:pPr>
    </w:p>
    <w:p w14:paraId="7B086310" w14:textId="77777777" w:rsidR="00B74A8C" w:rsidRPr="00991E05" w:rsidRDefault="00B74A8C" w:rsidP="00B74A8C">
      <w:pPr>
        <w:ind w:right="-2"/>
        <w:jc w:val="center"/>
        <w:rPr>
          <w:rFonts w:ascii="Calibri" w:eastAsia="Calibri" w:hAnsi="Calibri" w:cs="Calibri"/>
          <w:b/>
          <w:bCs/>
          <w:color w:val="000000"/>
          <w:sz w:val="32"/>
          <w:szCs w:val="32"/>
        </w:rPr>
      </w:pPr>
    </w:p>
    <w:p w14:paraId="0BCD4D95" w14:textId="77777777" w:rsidR="00B74A8C" w:rsidRPr="00991E05" w:rsidRDefault="00B74A8C" w:rsidP="00B74A8C">
      <w:pPr>
        <w:ind w:right="-2"/>
        <w:jc w:val="center"/>
        <w:rPr>
          <w:rFonts w:ascii="Calibri" w:eastAsia="Calibri" w:hAnsi="Calibri" w:cs="Calibri"/>
          <w:b/>
          <w:bCs/>
          <w:color w:val="000000"/>
          <w:sz w:val="32"/>
          <w:szCs w:val="32"/>
        </w:rPr>
      </w:pPr>
    </w:p>
    <w:p w14:paraId="5E260ED7" w14:textId="77777777" w:rsidR="00B74A8C" w:rsidRPr="00991E05" w:rsidRDefault="00B74A8C" w:rsidP="00B74A8C">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POSDRU în domeniul incluziunii sociale</w:t>
      </w:r>
    </w:p>
    <w:p w14:paraId="75143368" w14:textId="73FA0B3D" w:rsidR="00B74A8C" w:rsidRPr="00991E05" w:rsidRDefault="00B74A8C" w:rsidP="00B74A8C">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(DMI 6.</w:t>
      </w:r>
      <w:r>
        <w:rPr>
          <w:rFonts w:ascii="Calibri" w:eastAsia="Calibri" w:hAnsi="Calibri" w:cs="Calibri"/>
          <w:b/>
          <w:bCs/>
          <w:color w:val="3CA1BC"/>
          <w:sz w:val="32"/>
          <w:szCs w:val="32"/>
          <w:lang w:eastAsia="ar-SA"/>
        </w:rPr>
        <w:t>3</w:t>
      </w:r>
      <w:r w:rsidRPr="00991E05">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w:t>
      </w:r>
      <w:r w:rsidRPr="00991E05">
        <w:rPr>
          <w:rFonts w:ascii="Calibri" w:eastAsia="Calibri" w:hAnsi="Calibri" w:cs="Calibri"/>
          <w:b/>
          <w:bCs/>
          <w:color w:val="3CA1BC"/>
          <w:sz w:val="32"/>
          <w:szCs w:val="32"/>
          <w:lang w:eastAsia="ar-SA"/>
        </w:rPr>
        <w:t xml:space="preserve"> Anexa 1</w:t>
      </w:r>
      <w:r>
        <w:rPr>
          <w:rFonts w:ascii="Calibri" w:eastAsia="Calibri" w:hAnsi="Calibri" w:cs="Calibri"/>
          <w:b/>
          <w:bCs/>
          <w:color w:val="3CA1BC"/>
          <w:sz w:val="32"/>
          <w:szCs w:val="32"/>
          <w:lang w:eastAsia="ar-SA"/>
        </w:rPr>
        <w:t>1</w:t>
      </w:r>
      <w:r w:rsidRPr="00991E05">
        <w:rPr>
          <w:rFonts w:ascii="Calibri" w:eastAsia="Calibri" w:hAnsi="Calibri" w:cs="Calibri"/>
          <w:b/>
          <w:bCs/>
          <w:color w:val="3CA1BC"/>
          <w:sz w:val="32"/>
          <w:szCs w:val="32"/>
          <w:lang w:eastAsia="ar-SA"/>
        </w:rPr>
        <w:t xml:space="preserve">. </w:t>
      </w:r>
      <w:r w:rsidRPr="00857CC2">
        <w:rPr>
          <w:rFonts w:ascii="Calibri" w:eastAsia="Calibri" w:hAnsi="Calibri" w:cs="Calibri"/>
          <w:b/>
          <w:bCs/>
          <w:color w:val="3CA1BC"/>
          <w:sz w:val="32"/>
          <w:szCs w:val="32"/>
          <w:lang w:eastAsia="ar-SA"/>
        </w:rPr>
        <w:t>Tabel corelare constatări-concluzii-recomandări</w:t>
      </w:r>
    </w:p>
    <w:p w14:paraId="23050CCD" w14:textId="77777777" w:rsidR="00B74A8C" w:rsidRPr="00991E05" w:rsidRDefault="00B74A8C" w:rsidP="00B74A8C">
      <w:pPr>
        <w:rPr>
          <w:rFonts w:ascii="Calibri" w:eastAsiaTheme="majorEastAsia" w:hAnsi="Calibri" w:cs="Calibri"/>
          <w:i/>
          <w:spacing w:val="-10"/>
          <w:kern w:val="28"/>
        </w:rPr>
      </w:pPr>
    </w:p>
    <w:p w14:paraId="13C8DD3B" w14:textId="77777777" w:rsidR="00B74A8C" w:rsidRPr="00991E05" w:rsidRDefault="00B74A8C" w:rsidP="00B74A8C">
      <w:pPr>
        <w:rPr>
          <w:rFonts w:ascii="Calibri" w:eastAsiaTheme="majorEastAsia" w:hAnsi="Calibri" w:cs="Calibri"/>
          <w:i/>
          <w:spacing w:val="-10"/>
          <w:kern w:val="28"/>
        </w:rPr>
      </w:pPr>
    </w:p>
    <w:p w14:paraId="1BDBE239" w14:textId="77777777" w:rsidR="00B74A8C" w:rsidRPr="00991E05" w:rsidRDefault="00B74A8C" w:rsidP="00B74A8C">
      <w:pPr>
        <w:rPr>
          <w:rFonts w:ascii="Calibri" w:eastAsiaTheme="majorEastAsia" w:hAnsi="Calibri" w:cs="Calibri"/>
          <w:i/>
          <w:spacing w:val="-10"/>
          <w:kern w:val="28"/>
        </w:rPr>
      </w:pPr>
    </w:p>
    <w:p w14:paraId="5D826A9D" w14:textId="77777777" w:rsidR="00B74A8C" w:rsidRPr="00991E05" w:rsidRDefault="00B74A8C" w:rsidP="00B74A8C">
      <w:pPr>
        <w:rPr>
          <w:rFonts w:ascii="Calibri" w:eastAsiaTheme="majorEastAsia" w:hAnsi="Calibri" w:cs="Calibri"/>
          <w:i/>
          <w:spacing w:val="-10"/>
          <w:kern w:val="28"/>
        </w:rPr>
      </w:pPr>
    </w:p>
    <w:p w14:paraId="6F40F4EE" w14:textId="77777777" w:rsidR="00B74A8C" w:rsidRPr="00991E05" w:rsidRDefault="00B74A8C" w:rsidP="00B74A8C">
      <w:pPr>
        <w:rPr>
          <w:rFonts w:ascii="Calibri" w:eastAsiaTheme="majorEastAsia" w:hAnsi="Calibri" w:cs="Calibri"/>
          <w:i/>
          <w:spacing w:val="-10"/>
          <w:kern w:val="28"/>
        </w:rPr>
      </w:pPr>
    </w:p>
    <w:p w14:paraId="2A013DE2" w14:textId="77777777" w:rsidR="00B74A8C" w:rsidRPr="00991E05" w:rsidRDefault="00B74A8C" w:rsidP="00B74A8C">
      <w:pPr>
        <w:rPr>
          <w:rFonts w:ascii="Calibri" w:eastAsiaTheme="majorEastAsia" w:hAnsi="Calibri" w:cs="Calibri"/>
          <w:i/>
          <w:spacing w:val="-10"/>
          <w:kern w:val="28"/>
        </w:rPr>
      </w:pPr>
    </w:p>
    <w:p w14:paraId="0CAFBE7A" w14:textId="77777777" w:rsidR="00B74A8C" w:rsidRPr="00991E05" w:rsidRDefault="00B74A8C" w:rsidP="00B74A8C">
      <w:pPr>
        <w:rPr>
          <w:rFonts w:ascii="Calibri" w:eastAsiaTheme="majorEastAsia" w:hAnsi="Calibri" w:cs="Calibri"/>
          <w:i/>
          <w:spacing w:val="-10"/>
          <w:kern w:val="28"/>
        </w:rPr>
      </w:pPr>
    </w:p>
    <w:p w14:paraId="4D2B0AB6" w14:textId="77777777" w:rsidR="00B74A8C" w:rsidRPr="00991E05" w:rsidRDefault="00B74A8C" w:rsidP="00B74A8C">
      <w:pPr>
        <w:rPr>
          <w:rFonts w:ascii="Calibri" w:eastAsiaTheme="majorEastAsia" w:hAnsi="Calibri" w:cs="Calibri"/>
          <w:i/>
          <w:spacing w:val="-10"/>
          <w:kern w:val="28"/>
        </w:rPr>
      </w:pPr>
    </w:p>
    <w:p w14:paraId="0746D165" w14:textId="77777777" w:rsidR="00B74A8C" w:rsidRPr="00991E05" w:rsidRDefault="00B74A8C" w:rsidP="00B74A8C">
      <w:pPr>
        <w:rPr>
          <w:rFonts w:ascii="Calibri" w:eastAsiaTheme="majorEastAsia" w:hAnsi="Calibri" w:cs="Calibri"/>
          <w:i/>
          <w:spacing w:val="-10"/>
          <w:kern w:val="28"/>
        </w:rPr>
      </w:pPr>
    </w:p>
    <w:p w14:paraId="42DBCB09" w14:textId="77777777" w:rsidR="00B74A8C" w:rsidRPr="00991E05" w:rsidRDefault="00B74A8C" w:rsidP="00B74A8C">
      <w:pPr>
        <w:rPr>
          <w:rFonts w:ascii="Calibri" w:eastAsiaTheme="majorEastAsia" w:hAnsi="Calibri" w:cs="Calibri"/>
          <w:i/>
          <w:spacing w:val="-10"/>
          <w:kern w:val="28"/>
        </w:rPr>
      </w:pPr>
    </w:p>
    <w:p w14:paraId="0508ECB8" w14:textId="77777777" w:rsidR="00B74A8C" w:rsidRPr="00991E05" w:rsidRDefault="00B74A8C" w:rsidP="00B74A8C">
      <w:pPr>
        <w:rPr>
          <w:rFonts w:ascii="Calibri" w:eastAsiaTheme="majorEastAsia" w:hAnsi="Calibri" w:cs="Calibri"/>
          <w:i/>
          <w:spacing w:val="-10"/>
          <w:kern w:val="28"/>
        </w:rPr>
      </w:pPr>
    </w:p>
    <w:p w14:paraId="426DF728" w14:textId="77777777" w:rsidR="00B74A8C" w:rsidRPr="00991E05" w:rsidRDefault="00B74A8C" w:rsidP="00B74A8C">
      <w:pPr>
        <w:rPr>
          <w:rFonts w:ascii="Calibri" w:eastAsiaTheme="majorEastAsia" w:hAnsi="Calibri" w:cs="Calibri"/>
          <w:i/>
          <w:spacing w:val="-10"/>
          <w:kern w:val="28"/>
        </w:rPr>
      </w:pPr>
    </w:p>
    <w:p w14:paraId="0FAF88BC" w14:textId="77777777" w:rsidR="00B74A8C" w:rsidRPr="00991E05" w:rsidRDefault="00B74A8C" w:rsidP="00B74A8C">
      <w:pPr>
        <w:rPr>
          <w:rFonts w:ascii="Calibri" w:eastAsiaTheme="majorEastAsia" w:hAnsi="Calibri" w:cs="Calibri"/>
          <w:i/>
          <w:spacing w:val="-10"/>
          <w:kern w:val="28"/>
        </w:rPr>
      </w:pPr>
    </w:p>
    <w:p w14:paraId="5C1D478C" w14:textId="77777777" w:rsidR="00B74A8C" w:rsidRPr="00991E05" w:rsidRDefault="00B74A8C" w:rsidP="00B74A8C">
      <w:pPr>
        <w:spacing w:after="0"/>
        <w:jc w:val="center"/>
        <w:rPr>
          <w:rFonts w:ascii="Calibri" w:eastAsiaTheme="majorEastAsia" w:hAnsi="Calibri" w:cs="Calibri"/>
          <w:i/>
          <w:spacing w:val="-10"/>
          <w:kern w:val="28"/>
        </w:rPr>
      </w:pPr>
    </w:p>
    <w:p w14:paraId="4003C941" w14:textId="71FE70E2" w:rsidR="00B74A8C" w:rsidRDefault="00B74A8C">
      <w:pPr>
        <w:rPr>
          <w:b/>
          <w:bCs/>
        </w:rPr>
      </w:pPr>
    </w:p>
    <w:p w14:paraId="1FC3F005" w14:textId="77777777" w:rsidR="00B74A8C" w:rsidRDefault="00B74A8C">
      <w:pPr>
        <w:rPr>
          <w:b/>
          <w:bCs/>
        </w:rPr>
        <w:sectPr w:rsidR="00B74A8C" w:rsidSect="00B74A8C">
          <w:pgSz w:w="11906" w:h="16838"/>
          <w:pgMar w:top="1077" w:right="1440" w:bottom="1440" w:left="1440" w:header="708" w:footer="708" w:gutter="0"/>
          <w:cols w:space="708"/>
          <w:docGrid w:linePitch="360"/>
        </w:sectPr>
      </w:pPr>
    </w:p>
    <w:p w14:paraId="6D49CB4C" w14:textId="38152F4A" w:rsidR="008A05F8" w:rsidRPr="008A05F8" w:rsidRDefault="008A05F8">
      <w:pPr>
        <w:rPr>
          <w:b/>
        </w:rPr>
      </w:pPr>
      <w:r w:rsidRPr="008A05F8">
        <w:rPr>
          <w:b/>
          <w:bCs/>
        </w:rPr>
        <w:lastRenderedPageBreak/>
        <w:t>Tabel de corelație concluzii-recomandară POSDRU DMI 6.3.</w:t>
      </w:r>
    </w:p>
    <w:tbl>
      <w:tblPr>
        <w:tblStyle w:val="LightGrid-Accent31"/>
        <w:tblW w:w="14056" w:type="dxa"/>
        <w:tblLayout w:type="fixed"/>
        <w:tblLook w:val="04A0" w:firstRow="1" w:lastRow="0" w:firstColumn="1" w:lastColumn="0" w:noHBand="0" w:noVBand="1"/>
      </w:tblPr>
      <w:tblGrid>
        <w:gridCol w:w="5944"/>
        <w:gridCol w:w="5876"/>
        <w:gridCol w:w="1289"/>
        <w:gridCol w:w="947"/>
      </w:tblGrid>
      <w:tr w:rsidR="00A23852" w:rsidRPr="006D3C5B" w14:paraId="47A55088" w14:textId="77777777" w:rsidTr="008A0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hideMark/>
          </w:tcPr>
          <w:p w14:paraId="4309189F" w14:textId="77777777" w:rsidR="00A23852" w:rsidRPr="006D3C5B" w:rsidRDefault="00A23852" w:rsidP="004A2B5B">
            <w:pPr>
              <w:pStyle w:val="headingtable"/>
              <w:jc w:val="left"/>
              <w:rPr>
                <w:rFonts w:asciiTheme="minorHAnsi" w:hAnsiTheme="minorHAnsi" w:cstheme="minorHAnsi"/>
                <w:bCs w:val="0"/>
                <w:szCs w:val="18"/>
                <w:lang w:val="ro-RO"/>
              </w:rPr>
            </w:pPr>
            <w:r w:rsidRPr="006D3C5B">
              <w:rPr>
                <w:rFonts w:asciiTheme="minorHAnsi" w:hAnsiTheme="minorHAnsi" w:cstheme="minorHAnsi"/>
                <w:bCs w:val="0"/>
                <w:szCs w:val="18"/>
                <w:lang w:val="ro-RO"/>
              </w:rPr>
              <w:t>Concluzii</w:t>
            </w:r>
          </w:p>
        </w:tc>
        <w:tc>
          <w:tcPr>
            <w:tcW w:w="5876" w:type="dxa"/>
            <w:hideMark/>
          </w:tcPr>
          <w:p w14:paraId="4F0268E6" w14:textId="77777777" w:rsidR="00A23852" w:rsidRPr="006D3C5B" w:rsidRDefault="00A23852" w:rsidP="004A2B5B">
            <w:pPr>
              <w:pStyle w:val="headingtable"/>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18"/>
                <w:lang w:val="ro-RO"/>
              </w:rPr>
            </w:pPr>
            <w:r w:rsidRPr="006D3C5B">
              <w:rPr>
                <w:rFonts w:asciiTheme="minorHAnsi" w:hAnsiTheme="minorHAnsi" w:cstheme="minorHAnsi"/>
                <w:bCs w:val="0"/>
                <w:szCs w:val="18"/>
                <w:lang w:val="ro-RO"/>
              </w:rPr>
              <w:t>Recomandări</w:t>
            </w:r>
          </w:p>
        </w:tc>
        <w:tc>
          <w:tcPr>
            <w:tcW w:w="1289" w:type="dxa"/>
          </w:tcPr>
          <w:p w14:paraId="2A7F10EE" w14:textId="77777777" w:rsidR="00A23852" w:rsidRPr="006D3C5B" w:rsidRDefault="00A23852" w:rsidP="004A2B5B">
            <w:pPr>
              <w:pStyle w:val="headingtable"/>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Responsabil</w:t>
            </w:r>
          </w:p>
        </w:tc>
        <w:tc>
          <w:tcPr>
            <w:tcW w:w="947" w:type="dxa"/>
          </w:tcPr>
          <w:p w14:paraId="67B937FA" w14:textId="77777777" w:rsidR="00A23852" w:rsidRPr="006D3C5B" w:rsidRDefault="00A23852" w:rsidP="004A2B5B">
            <w:pPr>
              <w:pStyle w:val="headingtable"/>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Termen</w:t>
            </w:r>
          </w:p>
        </w:tc>
      </w:tr>
      <w:tr w:rsidR="003052DA" w:rsidRPr="006D3C5B" w14:paraId="5F709C75" w14:textId="77777777" w:rsidTr="00EB7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6" w:type="dxa"/>
            <w:gridSpan w:val="4"/>
          </w:tcPr>
          <w:p w14:paraId="2C0F3BA9" w14:textId="77777777" w:rsidR="009A7860" w:rsidRPr="006D3C5B" w:rsidRDefault="009A7860" w:rsidP="003052DA">
            <w:pPr>
              <w:rPr>
                <w:color w:val="000000" w:themeColor="text1"/>
                <w:sz w:val="18"/>
                <w:szCs w:val="18"/>
                <w:lang w:val="ro-RO"/>
              </w:rPr>
            </w:pPr>
            <w:r w:rsidRPr="006D3C5B">
              <w:rPr>
                <w:color w:val="000000" w:themeColor="text1"/>
                <w:sz w:val="18"/>
                <w:szCs w:val="18"/>
                <w:lang w:val="ro-RO"/>
              </w:rPr>
              <w:t>La nivel strategic și de reglementare</w:t>
            </w:r>
          </w:p>
        </w:tc>
      </w:tr>
      <w:tr w:rsidR="009A7860" w:rsidRPr="006D3C5B" w14:paraId="5773B475" w14:textId="77777777" w:rsidTr="008A05F8">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7E2F1B14" w14:textId="77777777" w:rsidR="009A7860" w:rsidRPr="006D3C5B" w:rsidRDefault="009A7860"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Accesul femeilor la puterea politică și administrativă s-a îmbunătățit constant, odată cu asumarea tematicilor din domeniul egalității de șanse la nivel strategic, național și instituțional.</w:t>
            </w:r>
          </w:p>
        </w:tc>
        <w:tc>
          <w:tcPr>
            <w:tcW w:w="5876" w:type="dxa"/>
            <w:shd w:val="clear" w:color="auto" w:fill="auto"/>
          </w:tcPr>
          <w:p w14:paraId="702EC1A7" w14:textId="77777777" w:rsidR="009A7860" w:rsidRPr="006D3C5B" w:rsidRDefault="009A7860" w:rsidP="00494DC6">
            <w:pPr>
              <w:pStyle w:val="BodyTabl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Continuare susținerii societății civile pentru dezvoltarea activismului social în domeniu (Susținerea de proiectelor menite să crească  transparentizarea raportului salarial, proiecte care să vizeze introducerea în sistemul educațional a educației pentru egalitate de șanse, proiecte privind reglementarea violenței online etc.)</w:t>
            </w:r>
          </w:p>
        </w:tc>
        <w:tc>
          <w:tcPr>
            <w:tcW w:w="1289" w:type="dxa"/>
            <w:shd w:val="clear" w:color="auto" w:fill="auto"/>
          </w:tcPr>
          <w:p w14:paraId="4CC81961" w14:textId="77777777" w:rsidR="009A7860" w:rsidRPr="006D3C5B" w:rsidRDefault="00C13826" w:rsidP="009A7860">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CDEP</w:t>
            </w:r>
            <w:r w:rsidR="00160B66" w:rsidRPr="006D3C5B">
              <w:rPr>
                <w:rFonts w:asciiTheme="minorHAnsi" w:hAnsiTheme="minorHAnsi" w:cstheme="minorHAnsi"/>
                <w:szCs w:val="18"/>
                <w:lang w:val="ro-RO"/>
              </w:rPr>
              <w:t>-CES</w:t>
            </w:r>
            <w:r w:rsidR="00DB71EF" w:rsidRPr="006D3C5B">
              <w:rPr>
                <w:rStyle w:val="FootnoteReference"/>
                <w:rFonts w:asciiTheme="minorHAnsi" w:hAnsiTheme="minorHAnsi" w:cstheme="minorHAnsi"/>
                <w:szCs w:val="18"/>
                <w:lang w:val="ro-RO"/>
              </w:rPr>
              <w:footnoteReference w:id="1"/>
            </w:r>
          </w:p>
          <w:p w14:paraId="338285DD" w14:textId="77777777" w:rsidR="00C13826" w:rsidRPr="006D3C5B" w:rsidRDefault="00C13826" w:rsidP="009A7860">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p>
        </w:tc>
        <w:tc>
          <w:tcPr>
            <w:tcW w:w="947" w:type="dxa"/>
            <w:shd w:val="clear" w:color="auto" w:fill="auto"/>
          </w:tcPr>
          <w:p w14:paraId="31565125" w14:textId="77777777" w:rsidR="009A7860" w:rsidRPr="006D3C5B" w:rsidRDefault="00C13826" w:rsidP="009A7860">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2024</w:t>
            </w:r>
          </w:p>
        </w:tc>
      </w:tr>
      <w:tr w:rsidR="00C13826" w:rsidRPr="006D3C5B" w14:paraId="07F67CE7" w14:textId="77777777" w:rsidTr="008A05F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0CDED94E" w14:textId="77777777" w:rsidR="00C13826" w:rsidRPr="006D3C5B" w:rsidRDefault="00C13826"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Intervențiile DMI 6.3. au contribuit la menținerea unei pol de presiune civică și socială pentru menținerea pe agenda publică a problemelor egalității de șanse susținând astfel efortul de schimbare legislativă și de creștere a reprezentării politice a femeilor în România</w:t>
            </w:r>
          </w:p>
        </w:tc>
        <w:tc>
          <w:tcPr>
            <w:tcW w:w="5876" w:type="dxa"/>
            <w:vMerge w:val="restart"/>
            <w:shd w:val="clear" w:color="auto" w:fill="auto"/>
          </w:tcPr>
          <w:p w14:paraId="5C432EEB" w14:textId="77777777" w:rsidR="00C13826" w:rsidRPr="006D3C5B" w:rsidRDefault="00C13826" w:rsidP="00494DC6">
            <w:pPr>
              <w:pStyle w:val="Body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Continuare susținerii societății civile pentru dezvoltarea activismului social în domeniu și pentru menținerea unui context cultural și social favorabil</w:t>
            </w:r>
          </w:p>
        </w:tc>
        <w:tc>
          <w:tcPr>
            <w:tcW w:w="1289" w:type="dxa"/>
            <w:vMerge w:val="restart"/>
            <w:shd w:val="clear" w:color="auto" w:fill="auto"/>
          </w:tcPr>
          <w:p w14:paraId="186BE64F" w14:textId="77777777" w:rsidR="00C13826" w:rsidRPr="006D3C5B" w:rsidRDefault="00C13826" w:rsidP="00C13826">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ANES</w:t>
            </w:r>
          </w:p>
        </w:tc>
        <w:tc>
          <w:tcPr>
            <w:tcW w:w="947" w:type="dxa"/>
            <w:vMerge w:val="restart"/>
            <w:shd w:val="clear" w:color="auto" w:fill="auto"/>
          </w:tcPr>
          <w:p w14:paraId="7E6F1E9E" w14:textId="77777777" w:rsidR="00C13826" w:rsidRPr="006D3C5B" w:rsidRDefault="009B4A9B" w:rsidP="00C13826">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2024</w:t>
            </w:r>
          </w:p>
        </w:tc>
      </w:tr>
      <w:tr w:rsidR="00EB77F2" w:rsidRPr="006D3C5B" w14:paraId="0CAA81ED" w14:textId="77777777" w:rsidTr="008A05F8">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162253CE" w14:textId="77777777" w:rsidR="00EB77F2" w:rsidRPr="006D3C5B" w:rsidRDefault="00EB77F2"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Intervențiile au avut o contribuție indirectă în creșterea integrării efective a femeilor pe piața forței de muncă prin susținerea unui context cultural și informațional favorabil;</w:t>
            </w:r>
          </w:p>
        </w:tc>
        <w:tc>
          <w:tcPr>
            <w:tcW w:w="5876" w:type="dxa"/>
            <w:vMerge/>
            <w:shd w:val="clear" w:color="auto" w:fill="auto"/>
          </w:tcPr>
          <w:p w14:paraId="3DF5CDEB" w14:textId="77777777" w:rsidR="00EB77F2" w:rsidRPr="006D3C5B" w:rsidRDefault="00EB77F2" w:rsidP="00494DC6">
            <w:pPr>
              <w:pStyle w:val="BodyTabl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p>
        </w:tc>
        <w:tc>
          <w:tcPr>
            <w:tcW w:w="1289" w:type="dxa"/>
            <w:vMerge/>
            <w:shd w:val="clear" w:color="auto" w:fill="auto"/>
          </w:tcPr>
          <w:p w14:paraId="19E9802C" w14:textId="77777777" w:rsidR="00EB77F2" w:rsidRPr="006D3C5B" w:rsidRDefault="00EB77F2" w:rsidP="009A7860">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p>
        </w:tc>
        <w:tc>
          <w:tcPr>
            <w:tcW w:w="947" w:type="dxa"/>
            <w:vMerge/>
            <w:shd w:val="clear" w:color="auto" w:fill="auto"/>
          </w:tcPr>
          <w:p w14:paraId="2DE6DC9F" w14:textId="77777777" w:rsidR="00EB77F2" w:rsidRPr="006D3C5B" w:rsidRDefault="00EB77F2" w:rsidP="009A7860">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p>
        </w:tc>
      </w:tr>
      <w:tr w:rsidR="009B4A9B" w:rsidRPr="006D3C5B" w14:paraId="028AAA25" w14:textId="77777777" w:rsidTr="008A05F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0447237D" w14:textId="77777777" w:rsidR="009B4A9B" w:rsidRPr="006D3C5B" w:rsidRDefault="009B4A9B"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Principalele efecte pozitive generate de intervenții s-au manifestat în aria dezvoltării expertizei în domeniul egalității de gen și a activismului social pentru susținerea egalității de șanse pe piața muncii;</w:t>
            </w:r>
          </w:p>
        </w:tc>
        <w:tc>
          <w:tcPr>
            <w:tcW w:w="5876" w:type="dxa"/>
            <w:shd w:val="clear" w:color="auto" w:fill="auto"/>
          </w:tcPr>
          <w:p w14:paraId="38292357" w14:textId="77777777" w:rsidR="009B4A9B" w:rsidRPr="006D3C5B" w:rsidRDefault="009B4A9B" w:rsidP="00494DC6">
            <w:pPr>
              <w:pStyle w:val="Body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Creșterea parteneriatului instituțional în domeniu; Indexarea rezultatelor de cercetare și utilizarea acestora în regim deschis; Dezvoltarea unei rețele de expertiza în domeniul egalității de gen la nivel național</w:t>
            </w:r>
          </w:p>
        </w:tc>
        <w:tc>
          <w:tcPr>
            <w:tcW w:w="1289" w:type="dxa"/>
            <w:shd w:val="clear" w:color="auto" w:fill="auto"/>
          </w:tcPr>
          <w:p w14:paraId="1D3D8B89" w14:textId="77777777" w:rsidR="009B4A9B" w:rsidRPr="006D3C5B" w:rsidRDefault="009B4A9B" w:rsidP="009B4A9B">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ANES</w:t>
            </w:r>
          </w:p>
        </w:tc>
        <w:tc>
          <w:tcPr>
            <w:tcW w:w="947" w:type="dxa"/>
            <w:shd w:val="clear" w:color="auto" w:fill="auto"/>
          </w:tcPr>
          <w:p w14:paraId="5D1ED2D2" w14:textId="77777777" w:rsidR="009B4A9B" w:rsidRPr="006D3C5B" w:rsidRDefault="009B4A9B" w:rsidP="009B4A9B">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2024</w:t>
            </w:r>
          </w:p>
        </w:tc>
      </w:tr>
      <w:tr w:rsidR="009B4A9B" w:rsidRPr="006D3C5B" w14:paraId="5008A29A" w14:textId="77777777" w:rsidTr="008A05F8">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1CADF77B" w14:textId="77777777" w:rsidR="009B4A9B" w:rsidRPr="006D3C5B" w:rsidRDefault="009B4A9B"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Efectele obținute ar fi putut fi amplificate printr-un parteneriat mai consistent între societatea civilă și sectorul public în vederea reintegrării sociale a victimelor și printr-o susținere politică și legislativă mai consistentă.</w:t>
            </w:r>
          </w:p>
        </w:tc>
        <w:tc>
          <w:tcPr>
            <w:tcW w:w="5876" w:type="dxa"/>
            <w:shd w:val="clear" w:color="auto" w:fill="auto"/>
          </w:tcPr>
          <w:p w14:paraId="58FBD957" w14:textId="77777777" w:rsidR="009B4A9B" w:rsidRPr="006D3C5B" w:rsidRDefault="009B4A9B" w:rsidP="00494DC6">
            <w:pPr>
              <w:pStyle w:val="BodyTabl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Dezvoltarea de instrumente de îmbunătățire a cadrului legislativ și de creștere a suportului politic pentru egalitatea de șanse pe piața forței de muncă</w:t>
            </w:r>
          </w:p>
        </w:tc>
        <w:tc>
          <w:tcPr>
            <w:tcW w:w="1289" w:type="dxa"/>
            <w:shd w:val="clear" w:color="auto" w:fill="auto"/>
          </w:tcPr>
          <w:p w14:paraId="50CDBD2A" w14:textId="77777777" w:rsidR="009B4A9B" w:rsidRPr="006D3C5B" w:rsidRDefault="00160B66" w:rsidP="009B4A9B">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CDEP-</w:t>
            </w:r>
            <w:r w:rsidR="009B4A9B" w:rsidRPr="006D3C5B">
              <w:rPr>
                <w:rFonts w:asciiTheme="minorHAnsi" w:hAnsiTheme="minorHAnsi" w:cstheme="minorHAnsi"/>
                <w:szCs w:val="18"/>
                <w:lang w:val="ro-RO"/>
              </w:rPr>
              <w:t>CES</w:t>
            </w:r>
          </w:p>
          <w:p w14:paraId="7FDED6EF" w14:textId="77777777" w:rsidR="009B4A9B" w:rsidRPr="006D3C5B" w:rsidRDefault="009B4A9B" w:rsidP="009B4A9B">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p>
        </w:tc>
        <w:tc>
          <w:tcPr>
            <w:tcW w:w="947" w:type="dxa"/>
            <w:shd w:val="clear" w:color="auto" w:fill="auto"/>
          </w:tcPr>
          <w:p w14:paraId="22E8977F" w14:textId="77777777" w:rsidR="009B4A9B" w:rsidRPr="006D3C5B" w:rsidRDefault="009B4A9B" w:rsidP="009B4A9B">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2024</w:t>
            </w:r>
          </w:p>
        </w:tc>
      </w:tr>
      <w:tr w:rsidR="003052DA" w:rsidRPr="006D3C5B" w14:paraId="5FE9E5A6" w14:textId="77777777" w:rsidTr="00EB77F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056" w:type="dxa"/>
            <w:gridSpan w:val="4"/>
            <w:shd w:val="clear" w:color="auto" w:fill="auto"/>
          </w:tcPr>
          <w:p w14:paraId="7652C203" w14:textId="77777777" w:rsidR="00EB77F2" w:rsidRPr="006D3C5B" w:rsidRDefault="00EB77F2" w:rsidP="00494DC6">
            <w:pPr>
              <w:tabs>
                <w:tab w:val="left" w:pos="360"/>
              </w:tabs>
              <w:jc w:val="both"/>
              <w:rPr>
                <w:b w:val="0"/>
                <w:color w:val="000000" w:themeColor="text1"/>
                <w:kern w:val="12"/>
                <w:sz w:val="18"/>
                <w:szCs w:val="18"/>
                <w:lang w:val="ro-RO"/>
              </w:rPr>
            </w:pPr>
            <w:r w:rsidRPr="006D3C5B">
              <w:rPr>
                <w:color w:val="000000" w:themeColor="text1"/>
                <w:kern w:val="12"/>
                <w:sz w:val="18"/>
                <w:szCs w:val="18"/>
                <w:lang w:val="ro-RO"/>
              </w:rPr>
              <w:t>La nivel de logică a intervenției și a sistemului de implementare</w:t>
            </w:r>
          </w:p>
        </w:tc>
      </w:tr>
      <w:tr w:rsidR="00EB77F2" w:rsidRPr="006D3C5B" w14:paraId="750BE659" w14:textId="77777777" w:rsidTr="00494DC6">
        <w:trPr>
          <w:cnfStyle w:val="000000010000" w:firstRow="0" w:lastRow="0" w:firstColumn="0" w:lastColumn="0" w:oddVBand="0" w:evenVBand="0" w:oddHBand="0" w:evenHBand="1"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2B1BF530" w14:textId="77777777" w:rsidR="00EB77F2" w:rsidRPr="006D3C5B" w:rsidRDefault="00EB77F2"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In majoritate, indicatorii de impact social ce caracterizează câmpul de intervenții finanțate prin DMI 6.3. s-au îmbunătățit semnificativ atât în perioada de intervenție a POSDRU, cât și după, în contextul menținerii și creșterii preocupării față de tematica egalității de șanse în spațiul public și decizional;</w:t>
            </w:r>
          </w:p>
        </w:tc>
        <w:tc>
          <w:tcPr>
            <w:tcW w:w="5876" w:type="dxa"/>
            <w:shd w:val="clear" w:color="auto" w:fill="auto"/>
          </w:tcPr>
          <w:p w14:paraId="6A99EAC8" w14:textId="77777777" w:rsidR="00EB77F2" w:rsidRPr="006D3C5B" w:rsidRDefault="00EB77F2" w:rsidP="00494DC6">
            <w:pPr>
              <w:pStyle w:val="BodyTabl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Continuarea eforturilor de promovare a egalității de șanse pe piața forței de muncă în special în cadrul grupurilor vulnerabile și al persoanelor cu vulnerabilități multiple;</w:t>
            </w:r>
          </w:p>
        </w:tc>
        <w:tc>
          <w:tcPr>
            <w:tcW w:w="1289" w:type="dxa"/>
            <w:shd w:val="clear" w:color="auto" w:fill="auto"/>
          </w:tcPr>
          <w:p w14:paraId="2DD0EB46" w14:textId="77777777" w:rsidR="00EB77F2" w:rsidRPr="006D3C5B" w:rsidRDefault="009E5629" w:rsidP="00EB77F2">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POEO</w:t>
            </w:r>
          </w:p>
        </w:tc>
        <w:tc>
          <w:tcPr>
            <w:tcW w:w="947" w:type="dxa"/>
            <w:shd w:val="clear" w:color="auto" w:fill="auto"/>
          </w:tcPr>
          <w:p w14:paraId="42DEB67E" w14:textId="77777777" w:rsidR="00EB77F2" w:rsidRPr="006D3C5B" w:rsidRDefault="009E5629" w:rsidP="00EB77F2">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2027</w:t>
            </w:r>
          </w:p>
        </w:tc>
      </w:tr>
      <w:tr w:rsidR="00EB77F2" w:rsidRPr="006D3C5B" w14:paraId="46C22572" w14:textId="77777777" w:rsidTr="008A05F8">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6490D7B8" w14:textId="77777777" w:rsidR="00EB77F2" w:rsidRPr="006D3C5B" w:rsidRDefault="00EB77F2"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Trendurile negative semnalate indică faptul că se înregistrează o tendință de creștere a disparităților între femeile aflate în situații de deficit social (educație, ocupație, acces la servicii) și media în populației ceea ce crește vulnerabilitatea acestora pe piața forței de muncă și riscul de a deveni victime ale violenței sociale;</w:t>
            </w:r>
          </w:p>
        </w:tc>
        <w:tc>
          <w:tcPr>
            <w:tcW w:w="5876" w:type="dxa"/>
            <w:shd w:val="clear" w:color="auto" w:fill="auto"/>
          </w:tcPr>
          <w:p w14:paraId="23B0A38F" w14:textId="77777777" w:rsidR="00EB77F2" w:rsidRPr="006D3C5B" w:rsidRDefault="00EB77F2" w:rsidP="00494DC6">
            <w:pPr>
              <w:pStyle w:val="Body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Corelarea intervențiilor în plan teritorial prin targetarea prioritară a zonelor marginalizate urbane si rurale</w:t>
            </w:r>
          </w:p>
        </w:tc>
        <w:tc>
          <w:tcPr>
            <w:tcW w:w="1289" w:type="dxa"/>
            <w:shd w:val="clear" w:color="auto" w:fill="auto"/>
          </w:tcPr>
          <w:p w14:paraId="4A7F6623" w14:textId="77777777" w:rsidR="00EB77F2" w:rsidRPr="006D3C5B" w:rsidRDefault="009E5629" w:rsidP="00EB77F2">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POEO</w:t>
            </w:r>
          </w:p>
        </w:tc>
        <w:tc>
          <w:tcPr>
            <w:tcW w:w="947" w:type="dxa"/>
            <w:shd w:val="clear" w:color="auto" w:fill="auto"/>
          </w:tcPr>
          <w:p w14:paraId="147E279B" w14:textId="77777777" w:rsidR="00EB77F2" w:rsidRPr="006D3C5B" w:rsidRDefault="009E5629" w:rsidP="00EB77F2">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2027</w:t>
            </w:r>
          </w:p>
        </w:tc>
      </w:tr>
      <w:tr w:rsidR="009E5629" w:rsidRPr="006D3C5B" w14:paraId="1660AE47" w14:textId="77777777" w:rsidTr="008A05F8">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212372D6" w14:textId="77777777" w:rsidR="009E5629" w:rsidRPr="006D3C5B" w:rsidRDefault="009E5629"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Intervențiile DMI 6.3 au sprijinit efortul de susținere valorică și atitudinală a egalității de șanse pe piața muncii în rândul participanților;</w:t>
            </w:r>
          </w:p>
        </w:tc>
        <w:tc>
          <w:tcPr>
            <w:tcW w:w="5876" w:type="dxa"/>
            <w:shd w:val="clear" w:color="auto" w:fill="auto"/>
          </w:tcPr>
          <w:p w14:paraId="67F94F36" w14:textId="77777777" w:rsidR="009E5629" w:rsidRPr="006D3C5B" w:rsidRDefault="009E5629" w:rsidP="00494DC6">
            <w:pPr>
              <w:pStyle w:val="BodyTabl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Continuarea eforturilor de promovare a egalității de șanse pe piața forței de muncă în special în cadrul grupurilor vulnerabile și al persoanelor cu vulnerabilități multiple;</w:t>
            </w:r>
          </w:p>
        </w:tc>
        <w:tc>
          <w:tcPr>
            <w:tcW w:w="1289" w:type="dxa"/>
            <w:shd w:val="clear" w:color="auto" w:fill="auto"/>
          </w:tcPr>
          <w:p w14:paraId="6260B1CB" w14:textId="77777777" w:rsidR="009E5629" w:rsidRPr="006D3C5B" w:rsidRDefault="009E5629" w:rsidP="009E5629">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POEO</w:t>
            </w:r>
          </w:p>
        </w:tc>
        <w:tc>
          <w:tcPr>
            <w:tcW w:w="947" w:type="dxa"/>
            <w:shd w:val="clear" w:color="auto" w:fill="auto"/>
          </w:tcPr>
          <w:p w14:paraId="32919728" w14:textId="77777777" w:rsidR="009E5629" w:rsidRPr="006D3C5B" w:rsidRDefault="009E5629" w:rsidP="009E5629">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2027</w:t>
            </w:r>
          </w:p>
        </w:tc>
      </w:tr>
      <w:tr w:rsidR="009E5629" w:rsidRPr="006D3C5B" w14:paraId="67040250" w14:textId="77777777" w:rsidTr="008A05F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160A9DFB" w14:textId="77777777" w:rsidR="009E5629" w:rsidRPr="006D3C5B" w:rsidRDefault="009E5629"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lastRenderedPageBreak/>
              <w:t>Mecanismele care au susținut intervențiile au generat, punctual o diluare a motivației personale, inflație de ofertă educațională și deficit de încredere</w:t>
            </w:r>
          </w:p>
        </w:tc>
        <w:tc>
          <w:tcPr>
            <w:tcW w:w="5876" w:type="dxa"/>
            <w:shd w:val="clear" w:color="auto" w:fill="auto"/>
          </w:tcPr>
          <w:p w14:paraId="305B64E6" w14:textId="77777777" w:rsidR="009E5629" w:rsidRPr="006D3C5B" w:rsidRDefault="009E5629" w:rsidP="00494DC6">
            <w:pPr>
              <w:pStyle w:val="Body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Abordare integrată a intervențiilor în domeniu; Introducerea unor sisteme de evaluare a performanței și calității sesiunilor de pregătire</w:t>
            </w:r>
          </w:p>
        </w:tc>
        <w:tc>
          <w:tcPr>
            <w:tcW w:w="1289" w:type="dxa"/>
            <w:shd w:val="clear" w:color="auto" w:fill="auto"/>
          </w:tcPr>
          <w:p w14:paraId="3D3AA6AB" w14:textId="77777777" w:rsidR="009E5629" w:rsidRPr="006D3C5B" w:rsidRDefault="009E5629" w:rsidP="009E5629">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POEO</w:t>
            </w:r>
          </w:p>
        </w:tc>
        <w:tc>
          <w:tcPr>
            <w:tcW w:w="947" w:type="dxa"/>
            <w:shd w:val="clear" w:color="auto" w:fill="auto"/>
          </w:tcPr>
          <w:p w14:paraId="0E18C32B" w14:textId="77777777" w:rsidR="009E5629" w:rsidRPr="006D3C5B" w:rsidRDefault="009E5629" w:rsidP="009E5629">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2027</w:t>
            </w:r>
          </w:p>
        </w:tc>
      </w:tr>
      <w:tr w:rsidR="009E5629" w:rsidRPr="006D3C5B" w14:paraId="54574554" w14:textId="77777777" w:rsidTr="008A05F8">
        <w:trPr>
          <w:cnfStyle w:val="000000010000" w:firstRow="0" w:lastRow="0" w:firstColumn="0" w:lastColumn="0" w:oddVBand="0" w:evenVBand="0" w:oddHBand="0" w:evenHBand="1"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1FD9B206" w14:textId="77777777" w:rsidR="009E5629" w:rsidRPr="006D3C5B" w:rsidRDefault="009E5629"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Efectele s-au resimțit în toate domeniile, cu o probabilitate semnificativă în economie, administrație, educație/cultură, societate civilă, dezvoltare personală. Campaniile de comunicare au generat o creștere a vizibilității fenomenelor vizate manifestat prin ”scoaterea la lumină a acestora”.</w:t>
            </w:r>
          </w:p>
        </w:tc>
        <w:tc>
          <w:tcPr>
            <w:tcW w:w="5876" w:type="dxa"/>
            <w:shd w:val="clear" w:color="auto" w:fill="auto"/>
          </w:tcPr>
          <w:p w14:paraId="7D8F466D" w14:textId="77777777" w:rsidR="009E5629" w:rsidRPr="006D3C5B" w:rsidRDefault="009E5629" w:rsidP="00494DC6">
            <w:pPr>
              <w:pStyle w:val="BodyTabl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Abordare integrată a intervențiilor în domeniu. Corelarea intervențiilor în plan teritorial prin targetarea prioritară a zonelor marginalizate urbane si rurale;</w:t>
            </w:r>
          </w:p>
        </w:tc>
        <w:tc>
          <w:tcPr>
            <w:tcW w:w="1289" w:type="dxa"/>
            <w:shd w:val="clear" w:color="auto" w:fill="auto"/>
          </w:tcPr>
          <w:p w14:paraId="7C8DB0EA" w14:textId="77777777" w:rsidR="009E5629" w:rsidRPr="006D3C5B" w:rsidRDefault="009E5629" w:rsidP="009E5629">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POEO</w:t>
            </w:r>
          </w:p>
        </w:tc>
        <w:tc>
          <w:tcPr>
            <w:tcW w:w="947" w:type="dxa"/>
            <w:shd w:val="clear" w:color="auto" w:fill="auto"/>
          </w:tcPr>
          <w:p w14:paraId="62C901CF" w14:textId="77777777" w:rsidR="009E5629" w:rsidRPr="006D3C5B" w:rsidRDefault="009E5629" w:rsidP="009E5629">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2027</w:t>
            </w:r>
          </w:p>
        </w:tc>
      </w:tr>
      <w:tr w:rsidR="00EB77F2" w:rsidRPr="006D3C5B" w14:paraId="6C8A4AA9" w14:textId="77777777" w:rsidTr="008A05F8">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330B8D45" w14:textId="77777777" w:rsidR="00EB77F2" w:rsidRPr="006D3C5B" w:rsidRDefault="00EB77F2"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Implicarea societății civile, parteneriatul instituțional, axarea pe calitate, caracterul integrat al intervențiilor și diversitatea grupurilor țintă  sunt principalele mecanisme care facilitează efectele. Aceste mecanisme depind însă de un context economic și social favorabil, în special sub aspectul transparenței, și îmbunătățirii accesului la infrastructurile necesare dezvoltării.</w:t>
            </w:r>
          </w:p>
        </w:tc>
        <w:tc>
          <w:tcPr>
            <w:tcW w:w="5876" w:type="dxa"/>
            <w:shd w:val="clear" w:color="auto" w:fill="auto"/>
          </w:tcPr>
          <w:p w14:paraId="5D375D2B" w14:textId="77777777" w:rsidR="00EB77F2" w:rsidRPr="006D3C5B" w:rsidRDefault="00EB77F2" w:rsidP="00494DC6">
            <w:pPr>
              <w:pStyle w:val="Body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Indexarea lecțiilor de bună practică și utilizarea lor în proiectarea viitoarei perioade de programare</w:t>
            </w:r>
          </w:p>
        </w:tc>
        <w:tc>
          <w:tcPr>
            <w:tcW w:w="1289" w:type="dxa"/>
            <w:shd w:val="clear" w:color="auto" w:fill="auto"/>
          </w:tcPr>
          <w:p w14:paraId="2FFE10F1" w14:textId="77777777" w:rsidR="00EB77F2" w:rsidRPr="006D3C5B" w:rsidRDefault="009E5629" w:rsidP="00EB77F2">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POCU</w:t>
            </w:r>
          </w:p>
        </w:tc>
        <w:tc>
          <w:tcPr>
            <w:tcW w:w="947" w:type="dxa"/>
            <w:shd w:val="clear" w:color="auto" w:fill="auto"/>
          </w:tcPr>
          <w:p w14:paraId="40DCAA9E" w14:textId="77777777" w:rsidR="00EB77F2" w:rsidRPr="006D3C5B" w:rsidRDefault="009E5629" w:rsidP="00EB77F2">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2023</w:t>
            </w:r>
          </w:p>
        </w:tc>
      </w:tr>
      <w:tr w:rsidR="009E5629" w:rsidRPr="006D3C5B" w14:paraId="0E83D5FB" w14:textId="77777777" w:rsidTr="008A05F8">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105F1861" w14:textId="77777777" w:rsidR="009E5629" w:rsidRPr="006D3C5B" w:rsidRDefault="009E5629"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Efectele obținute ar fi putut fi amplificate de  un nivel mai bun de adaptare al sesiunilor la specificul educației pentru adulți, printr-o monitorizare care să includă indicatori privind efectele măsurate la nivelul grupurilor țintă</w:t>
            </w:r>
          </w:p>
        </w:tc>
        <w:tc>
          <w:tcPr>
            <w:tcW w:w="5876" w:type="dxa"/>
            <w:shd w:val="clear" w:color="auto" w:fill="auto"/>
          </w:tcPr>
          <w:p w14:paraId="2B36F2C4" w14:textId="77777777" w:rsidR="009E5629" w:rsidRPr="006D3C5B" w:rsidRDefault="009E5629" w:rsidP="00494DC6">
            <w:pPr>
              <w:pStyle w:val="BodyTable"/>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Dezvoltare unui sistem de evaluare a calității în toate etapele implementării unui proiect, ca parte a monitorizării și evaluării acestuia</w:t>
            </w:r>
          </w:p>
        </w:tc>
        <w:tc>
          <w:tcPr>
            <w:tcW w:w="1289" w:type="dxa"/>
            <w:shd w:val="clear" w:color="auto" w:fill="auto"/>
          </w:tcPr>
          <w:p w14:paraId="760C2583" w14:textId="77777777" w:rsidR="009E5629" w:rsidRPr="006D3C5B" w:rsidRDefault="009E5629" w:rsidP="009E5629">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POCU</w:t>
            </w:r>
          </w:p>
        </w:tc>
        <w:tc>
          <w:tcPr>
            <w:tcW w:w="947" w:type="dxa"/>
            <w:shd w:val="clear" w:color="auto" w:fill="auto"/>
          </w:tcPr>
          <w:p w14:paraId="4B080A66" w14:textId="77777777" w:rsidR="009E5629" w:rsidRPr="006D3C5B" w:rsidRDefault="009E5629" w:rsidP="009E5629">
            <w:pPr>
              <w:pStyle w:val="BodyTable"/>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2023</w:t>
            </w:r>
          </w:p>
        </w:tc>
      </w:tr>
      <w:tr w:rsidR="009E5629" w:rsidRPr="006D3C5B" w14:paraId="73F16991" w14:textId="77777777" w:rsidTr="008A05F8">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944" w:type="dxa"/>
            <w:shd w:val="clear" w:color="auto" w:fill="auto"/>
          </w:tcPr>
          <w:p w14:paraId="72B4B960" w14:textId="77777777" w:rsidR="009E5629" w:rsidRPr="006D3C5B" w:rsidRDefault="009E5629" w:rsidP="00494DC6">
            <w:pPr>
              <w:pStyle w:val="BodyTable"/>
              <w:rPr>
                <w:rFonts w:asciiTheme="minorHAnsi" w:hAnsiTheme="minorHAnsi" w:cstheme="minorHAnsi"/>
                <w:b w:val="0"/>
                <w:szCs w:val="18"/>
                <w:lang w:val="ro-RO"/>
              </w:rPr>
            </w:pPr>
            <w:r w:rsidRPr="006D3C5B">
              <w:rPr>
                <w:rFonts w:asciiTheme="minorHAnsi" w:hAnsiTheme="minorHAnsi" w:cstheme="minorHAnsi"/>
                <w:b w:val="0"/>
                <w:szCs w:val="18"/>
                <w:lang w:val="ro-RO"/>
              </w:rPr>
              <w:t>In condițiile unui mediu social și cultural favorabil majoritatea efectelor s-au păstrat și chiar s-au amplificat în timp, însă tendințele pozitive înregistrate până în prezent își pot schimba oricând traiectoria</w:t>
            </w:r>
          </w:p>
        </w:tc>
        <w:tc>
          <w:tcPr>
            <w:tcW w:w="5876" w:type="dxa"/>
            <w:shd w:val="clear" w:color="auto" w:fill="auto"/>
          </w:tcPr>
          <w:p w14:paraId="1A3884C0" w14:textId="77777777" w:rsidR="009E5629" w:rsidRPr="006D3C5B" w:rsidRDefault="009E5629" w:rsidP="00494DC6">
            <w:pPr>
              <w:pStyle w:val="BodyTab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Stabilirea unor indicatori de rezultat adecvați, la nivelul populației, și monitorizarea constantă/ anuală a valorilor înregistrați de aceștia la nivel național și la nivel european și implementarea unui plan de acțiuni de redresare a eventualelor tendințe negative.</w:t>
            </w:r>
          </w:p>
        </w:tc>
        <w:tc>
          <w:tcPr>
            <w:tcW w:w="1289" w:type="dxa"/>
            <w:shd w:val="clear" w:color="auto" w:fill="auto"/>
          </w:tcPr>
          <w:p w14:paraId="05496A62" w14:textId="77777777" w:rsidR="009E5629" w:rsidRPr="006D3C5B" w:rsidRDefault="009E5629" w:rsidP="009E5629">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POCU</w:t>
            </w:r>
          </w:p>
        </w:tc>
        <w:tc>
          <w:tcPr>
            <w:tcW w:w="947" w:type="dxa"/>
            <w:shd w:val="clear" w:color="auto" w:fill="auto"/>
          </w:tcPr>
          <w:p w14:paraId="6C82E0A7" w14:textId="77777777" w:rsidR="009E5629" w:rsidRPr="006D3C5B" w:rsidRDefault="009E5629" w:rsidP="009E5629">
            <w:pPr>
              <w:pStyle w:val="BodyTable"/>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lang w:val="ro-RO"/>
              </w:rPr>
            </w:pPr>
            <w:r w:rsidRPr="006D3C5B">
              <w:rPr>
                <w:rFonts w:asciiTheme="minorHAnsi" w:hAnsiTheme="minorHAnsi" w:cstheme="minorHAnsi"/>
                <w:szCs w:val="18"/>
                <w:lang w:val="ro-RO"/>
              </w:rPr>
              <w:t>2023</w:t>
            </w:r>
          </w:p>
        </w:tc>
      </w:tr>
    </w:tbl>
    <w:p w14:paraId="0F6BC61B" w14:textId="77777777" w:rsidR="00C23AC1" w:rsidRPr="00BF759F" w:rsidRDefault="00C23AC1" w:rsidP="00EB77F2"/>
    <w:sectPr w:rsidR="00C23AC1" w:rsidRPr="00BF759F" w:rsidSect="00B74A8C">
      <w:pgSz w:w="16838" w:h="11906" w:orient="landscape"/>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5D19" w14:textId="77777777" w:rsidR="00C2285D" w:rsidRDefault="00C2285D" w:rsidP="00440103">
      <w:pPr>
        <w:spacing w:after="0" w:line="240" w:lineRule="auto"/>
      </w:pPr>
      <w:r>
        <w:separator/>
      </w:r>
    </w:p>
  </w:endnote>
  <w:endnote w:type="continuationSeparator" w:id="0">
    <w:p w14:paraId="779BA56B" w14:textId="77777777" w:rsidR="00C2285D" w:rsidRDefault="00C2285D" w:rsidP="0044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713ED" w14:textId="77777777" w:rsidR="00C2285D" w:rsidRDefault="00C2285D" w:rsidP="00440103">
      <w:pPr>
        <w:spacing w:after="0" w:line="240" w:lineRule="auto"/>
      </w:pPr>
      <w:r>
        <w:separator/>
      </w:r>
    </w:p>
  </w:footnote>
  <w:footnote w:type="continuationSeparator" w:id="0">
    <w:p w14:paraId="1D517479" w14:textId="77777777" w:rsidR="00C2285D" w:rsidRDefault="00C2285D" w:rsidP="00440103">
      <w:pPr>
        <w:spacing w:after="0" w:line="240" w:lineRule="auto"/>
      </w:pPr>
      <w:r>
        <w:continuationSeparator/>
      </w:r>
    </w:p>
  </w:footnote>
  <w:footnote w:id="1">
    <w:p w14:paraId="50D8E37C" w14:textId="77777777" w:rsidR="00DB71EF" w:rsidRDefault="00DB71EF">
      <w:pPr>
        <w:pStyle w:val="FootnoteText"/>
      </w:pPr>
      <w:r>
        <w:rPr>
          <w:rStyle w:val="FootnoteReference"/>
        </w:rPr>
        <w:footnoteRef/>
      </w:r>
      <w:r>
        <w:t xml:space="preserve"> </w:t>
      </w:r>
      <w:r w:rsidRPr="006D3C5B">
        <w:rPr>
          <w:sz w:val="16"/>
          <w:szCs w:val="16"/>
        </w:rPr>
        <w:t>Camera Deputaților-Comisia pentru Egalitate de Șanse între femei si bărbați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C4509"/>
    <w:multiLevelType w:val="hybridMultilevel"/>
    <w:tmpl w:val="2C4CB8E0"/>
    <w:lvl w:ilvl="0" w:tplc="DFA8E86C">
      <w:start w:val="2"/>
      <w:numFmt w:val="bullet"/>
      <w:lvlText w:val="-"/>
      <w:lvlJc w:val="left"/>
      <w:pPr>
        <w:ind w:left="720" w:hanging="360"/>
      </w:pPr>
      <w:rPr>
        <w:rFonts w:ascii="Calibri" w:eastAsia="MS Mincho"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1CF6922"/>
    <w:multiLevelType w:val="hybridMultilevel"/>
    <w:tmpl w:val="347022FC"/>
    <w:lvl w:ilvl="0" w:tplc="4A8EA2FC">
      <w:start w:val="2"/>
      <w:numFmt w:val="bullet"/>
      <w:lvlText w:val="-"/>
      <w:lvlJc w:val="left"/>
      <w:pPr>
        <w:ind w:left="720" w:hanging="360"/>
      </w:pPr>
      <w:rPr>
        <w:rFonts w:ascii="Calibri" w:eastAsia="MS Mincho"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17"/>
    <w:rsid w:val="00012203"/>
    <w:rsid w:val="0006206A"/>
    <w:rsid w:val="000D58E1"/>
    <w:rsid w:val="00100E42"/>
    <w:rsid w:val="0014246F"/>
    <w:rsid w:val="00160B66"/>
    <w:rsid w:val="00177F8F"/>
    <w:rsid w:val="001F2F6A"/>
    <w:rsid w:val="00246B8E"/>
    <w:rsid w:val="002E3B9C"/>
    <w:rsid w:val="003046E7"/>
    <w:rsid w:val="003052DA"/>
    <w:rsid w:val="00325BFA"/>
    <w:rsid w:val="003306D2"/>
    <w:rsid w:val="00333F86"/>
    <w:rsid w:val="00335B55"/>
    <w:rsid w:val="00352F4B"/>
    <w:rsid w:val="00361DD5"/>
    <w:rsid w:val="003B2A78"/>
    <w:rsid w:val="003C77D8"/>
    <w:rsid w:val="003D290F"/>
    <w:rsid w:val="00436F3D"/>
    <w:rsid w:val="00440103"/>
    <w:rsid w:val="00443708"/>
    <w:rsid w:val="0046160B"/>
    <w:rsid w:val="00494DC6"/>
    <w:rsid w:val="0049785B"/>
    <w:rsid w:val="004A2B5B"/>
    <w:rsid w:val="004D23B1"/>
    <w:rsid w:val="004F54C0"/>
    <w:rsid w:val="0052408C"/>
    <w:rsid w:val="005254C4"/>
    <w:rsid w:val="00565E73"/>
    <w:rsid w:val="0059455E"/>
    <w:rsid w:val="005B1879"/>
    <w:rsid w:val="005C6009"/>
    <w:rsid w:val="005F43EB"/>
    <w:rsid w:val="0062162D"/>
    <w:rsid w:val="006C0581"/>
    <w:rsid w:val="006C0A2A"/>
    <w:rsid w:val="006C792A"/>
    <w:rsid w:val="006D3C5B"/>
    <w:rsid w:val="006E715B"/>
    <w:rsid w:val="00707DF8"/>
    <w:rsid w:val="0074416F"/>
    <w:rsid w:val="00796139"/>
    <w:rsid w:val="00830062"/>
    <w:rsid w:val="008579D1"/>
    <w:rsid w:val="008625ED"/>
    <w:rsid w:val="00866400"/>
    <w:rsid w:val="0086665C"/>
    <w:rsid w:val="00872547"/>
    <w:rsid w:val="008A05F8"/>
    <w:rsid w:val="008B1CC7"/>
    <w:rsid w:val="008D541C"/>
    <w:rsid w:val="00912EA5"/>
    <w:rsid w:val="00930C39"/>
    <w:rsid w:val="009A7860"/>
    <w:rsid w:val="009B2449"/>
    <w:rsid w:val="009B4A9B"/>
    <w:rsid w:val="009B6B9A"/>
    <w:rsid w:val="009C7B12"/>
    <w:rsid w:val="009E5629"/>
    <w:rsid w:val="00A2238A"/>
    <w:rsid w:val="00A23852"/>
    <w:rsid w:val="00A51C96"/>
    <w:rsid w:val="00A6697D"/>
    <w:rsid w:val="00AB6941"/>
    <w:rsid w:val="00B05F7C"/>
    <w:rsid w:val="00B13917"/>
    <w:rsid w:val="00B74A8C"/>
    <w:rsid w:val="00BF19B0"/>
    <w:rsid w:val="00BF759F"/>
    <w:rsid w:val="00C13826"/>
    <w:rsid w:val="00C2285D"/>
    <w:rsid w:val="00C23AC1"/>
    <w:rsid w:val="00C70E8A"/>
    <w:rsid w:val="00CB218E"/>
    <w:rsid w:val="00D10D23"/>
    <w:rsid w:val="00D63446"/>
    <w:rsid w:val="00D833D1"/>
    <w:rsid w:val="00DB71EF"/>
    <w:rsid w:val="00DD5397"/>
    <w:rsid w:val="00E157E2"/>
    <w:rsid w:val="00E5678C"/>
    <w:rsid w:val="00E602D5"/>
    <w:rsid w:val="00EB77F2"/>
    <w:rsid w:val="00ED3333"/>
    <w:rsid w:val="00EF4DC1"/>
    <w:rsid w:val="00F26A23"/>
    <w:rsid w:val="00FB1A93"/>
    <w:rsid w:val="00FF47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CF53"/>
  <w15:chartTrackingRefBased/>
  <w15:docId w15:val="{B2EEAC4F-30C3-4D11-B175-F3EC98C1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31">
    <w:name w:val="Light Grid - Accent 31"/>
    <w:basedOn w:val="TableNormal"/>
    <w:next w:val="LightGrid-Accent3"/>
    <w:uiPriority w:val="62"/>
    <w:rsid w:val="00B13917"/>
    <w:pPr>
      <w:spacing w:after="0" w:line="240" w:lineRule="auto"/>
    </w:pPr>
    <w:rPr>
      <w:rFonts w:eastAsia="MS Mincho"/>
      <w:sz w:val="24"/>
      <w:szCs w:val="24"/>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Table">
    <w:name w:val="Body Table"/>
    <w:basedOn w:val="Normal"/>
    <w:qFormat/>
    <w:rsid w:val="00B13917"/>
    <w:pPr>
      <w:spacing w:after="0" w:line="240" w:lineRule="auto"/>
      <w:jc w:val="both"/>
    </w:pPr>
    <w:rPr>
      <w:rFonts w:ascii="Arial" w:hAnsi="Arial"/>
      <w:bCs/>
      <w:sz w:val="18"/>
    </w:rPr>
  </w:style>
  <w:style w:type="paragraph" w:customStyle="1" w:styleId="headingtable">
    <w:name w:val="heading table"/>
    <w:basedOn w:val="Normal"/>
    <w:qFormat/>
    <w:rsid w:val="00B13917"/>
    <w:pPr>
      <w:spacing w:after="0" w:line="240" w:lineRule="auto"/>
      <w:jc w:val="both"/>
    </w:pPr>
    <w:rPr>
      <w:rFonts w:ascii="Arial" w:hAnsi="Arial"/>
      <w:b/>
      <w:sz w:val="18"/>
    </w:rPr>
  </w:style>
  <w:style w:type="table" w:styleId="LightGrid-Accent3">
    <w:name w:val="Light Grid Accent 3"/>
    <w:basedOn w:val="TableNormal"/>
    <w:uiPriority w:val="62"/>
    <w:semiHidden/>
    <w:unhideWhenUsed/>
    <w:rsid w:val="00B139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alloonText">
    <w:name w:val="Balloon Text"/>
    <w:basedOn w:val="Normal"/>
    <w:link w:val="BalloonTextChar"/>
    <w:uiPriority w:val="99"/>
    <w:semiHidden/>
    <w:unhideWhenUsed/>
    <w:rsid w:val="00BF1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B0"/>
    <w:rPr>
      <w:rFonts w:ascii="Segoe UI" w:hAnsi="Segoe UI" w:cs="Segoe UI"/>
      <w:sz w:val="18"/>
      <w:szCs w:val="18"/>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
    <w:basedOn w:val="Normal"/>
    <w:link w:val="FootnoteTextChar"/>
    <w:uiPriority w:val="99"/>
    <w:unhideWhenUsed/>
    <w:qFormat/>
    <w:rsid w:val="00440103"/>
    <w:pPr>
      <w:spacing w:after="0" w:line="240" w:lineRule="auto"/>
      <w:jc w:val="both"/>
    </w:pPr>
    <w:rPr>
      <w:rFonts w:eastAsiaTheme="minorEastAsia"/>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qFormat/>
    <w:rsid w:val="00440103"/>
    <w:rPr>
      <w:rFonts w:eastAsiaTheme="minorEastAsia"/>
      <w:sz w:val="20"/>
      <w:szCs w:val="20"/>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unhideWhenUsed/>
    <w:qFormat/>
    <w:rsid w:val="00440103"/>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440103"/>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A1A4-D11B-4CAD-915B-E76660F2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4925</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Bulai</dc:creator>
  <cp:keywords/>
  <dc:description/>
  <cp:lastModifiedBy>Alina Ionescu</cp:lastModifiedBy>
  <cp:revision>4</cp:revision>
  <dcterms:created xsi:type="dcterms:W3CDTF">2021-03-09T12:38:00Z</dcterms:created>
  <dcterms:modified xsi:type="dcterms:W3CDTF">2021-04-13T15:00:00Z</dcterms:modified>
</cp:coreProperties>
</file>