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1351" w14:textId="77777777" w:rsidR="003D477E" w:rsidRPr="0038051D" w:rsidRDefault="003D477E" w:rsidP="007E1BBD">
      <w:pPr>
        <w:jc w:val="center"/>
        <w:rPr>
          <w:rFonts w:cs="Tahoma"/>
          <w:b/>
          <w:bCs/>
          <w:sz w:val="36"/>
          <w:szCs w:val="40"/>
        </w:rPr>
      </w:pPr>
    </w:p>
    <w:p w14:paraId="3E8665AD" w14:textId="77777777" w:rsidR="003D477E" w:rsidRPr="0038051D" w:rsidRDefault="003D477E" w:rsidP="007E1BBD">
      <w:pPr>
        <w:jc w:val="center"/>
        <w:rPr>
          <w:rFonts w:cs="Tahoma"/>
          <w:b/>
          <w:bCs/>
          <w:sz w:val="36"/>
          <w:szCs w:val="40"/>
        </w:rPr>
      </w:pPr>
    </w:p>
    <w:p w14:paraId="6369FB9C" w14:textId="77777777" w:rsidR="003D477E" w:rsidRPr="0038051D" w:rsidRDefault="003D477E" w:rsidP="007E1BBD">
      <w:pPr>
        <w:jc w:val="center"/>
        <w:rPr>
          <w:rFonts w:cs="Tahoma"/>
          <w:b/>
          <w:bCs/>
          <w:sz w:val="36"/>
          <w:szCs w:val="40"/>
        </w:rPr>
      </w:pPr>
    </w:p>
    <w:p w14:paraId="6BFFBA84" w14:textId="77777777" w:rsidR="003D477E" w:rsidRPr="0038051D" w:rsidRDefault="003D477E" w:rsidP="007E1BBD">
      <w:pPr>
        <w:jc w:val="center"/>
        <w:rPr>
          <w:rFonts w:cs="Tahoma"/>
          <w:b/>
          <w:bCs/>
          <w:sz w:val="36"/>
          <w:szCs w:val="40"/>
        </w:rPr>
      </w:pPr>
    </w:p>
    <w:p w14:paraId="2DA4B1DF" w14:textId="77777777" w:rsidR="003D477E" w:rsidRPr="0038051D" w:rsidRDefault="003D477E" w:rsidP="007E1BBD">
      <w:pPr>
        <w:jc w:val="center"/>
        <w:rPr>
          <w:rFonts w:cs="Tahoma"/>
          <w:b/>
          <w:bCs/>
          <w:sz w:val="36"/>
          <w:szCs w:val="40"/>
        </w:rPr>
      </w:pPr>
    </w:p>
    <w:p w14:paraId="53585DA7" w14:textId="77777777" w:rsidR="003D477E" w:rsidRPr="0038051D" w:rsidRDefault="003D477E" w:rsidP="007E1BBD">
      <w:pPr>
        <w:jc w:val="center"/>
        <w:rPr>
          <w:rFonts w:cs="Tahoma"/>
          <w:b/>
          <w:bCs/>
          <w:sz w:val="36"/>
          <w:szCs w:val="40"/>
        </w:rPr>
      </w:pPr>
    </w:p>
    <w:p w14:paraId="4996FE7F" w14:textId="06005534" w:rsidR="000636D9" w:rsidRPr="0038051D" w:rsidRDefault="000636D9" w:rsidP="000636D9">
      <w:pPr>
        <w:spacing w:after="240" w:line="240" w:lineRule="auto"/>
        <w:jc w:val="center"/>
        <w:rPr>
          <w:rFonts w:eastAsia="Times New Roman" w:cs="Times New Roman"/>
          <w:b/>
          <w:bCs/>
          <w:color w:val="4F81BD"/>
          <w:kern w:val="1"/>
          <w:sz w:val="16"/>
          <w:szCs w:val="16"/>
          <w:lang w:eastAsia="ar-SA"/>
        </w:rPr>
      </w:pPr>
      <w:r w:rsidRPr="0038051D">
        <w:rPr>
          <w:rFonts w:eastAsia="Times New Roman" w:cs="Times New Roman"/>
          <w:b/>
          <w:sz w:val="44"/>
          <w:szCs w:val="44"/>
        </w:rPr>
        <w:t xml:space="preserve">Evaluarea retrospectivă a intervențiilor POSDRU 2007-2013 în domeniul </w:t>
      </w:r>
      <w:r w:rsidR="003A44DA">
        <w:rPr>
          <w:rFonts w:eastAsia="Times New Roman" w:cs="Times New Roman"/>
          <w:b/>
          <w:sz w:val="44"/>
          <w:szCs w:val="44"/>
        </w:rPr>
        <w:t>incluziunii sociale</w:t>
      </w:r>
    </w:p>
    <w:p w14:paraId="40AE30F8" w14:textId="115112CF" w:rsidR="000636D9" w:rsidRPr="0038051D" w:rsidRDefault="00682D36" w:rsidP="000636D9">
      <w:pPr>
        <w:pBdr>
          <w:top w:val="single" w:sz="4" w:space="10" w:color="4F81BD"/>
          <w:bottom w:val="single" w:sz="4" w:space="10" w:color="4F81BD"/>
        </w:pBdr>
        <w:spacing w:before="360" w:after="360" w:line="240" w:lineRule="auto"/>
        <w:ind w:left="864" w:right="864"/>
        <w:jc w:val="center"/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</w:pPr>
      <w:r w:rsidRPr="0038051D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>(</w:t>
      </w:r>
      <w:r w:rsidR="00525044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 xml:space="preserve">DMI </w:t>
      </w:r>
      <w:r w:rsidR="003A44DA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>2.2</w:t>
      </w:r>
      <w:r w:rsidRPr="0038051D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>).</w:t>
      </w:r>
      <w:r w:rsidR="00034F53" w:rsidRPr="00034F53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 xml:space="preserve"> </w:t>
      </w:r>
      <w:r w:rsidR="00034F53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>Anexa 1</w:t>
      </w:r>
      <w:r w:rsidR="004F16D4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>2</w:t>
      </w:r>
      <w:r w:rsidR="00A32734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>.</w:t>
      </w:r>
      <w:r w:rsidR="00525044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 xml:space="preserve"> </w:t>
      </w:r>
      <w:r w:rsidR="004F16D4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>Literatura de specialitate</w:t>
      </w:r>
      <w:r w:rsidR="00736720">
        <w:rPr>
          <w:rFonts w:eastAsia="Calibri" w:cs="Calibri"/>
          <w:b/>
          <w:i/>
          <w:iCs/>
          <w:color w:val="2D788C" w:themeColor="accent1" w:themeShade="BF"/>
          <w:sz w:val="36"/>
          <w:szCs w:val="24"/>
          <w:lang w:eastAsia="ar-SA"/>
        </w:rPr>
        <w:t xml:space="preserve"> și bibliografie</w:t>
      </w:r>
    </w:p>
    <w:p w14:paraId="759963F8" w14:textId="77777777" w:rsidR="000636D9" w:rsidRPr="0038051D" w:rsidRDefault="000636D9" w:rsidP="000636D9">
      <w:pPr>
        <w:suppressAutoHyphens/>
        <w:spacing w:line="240" w:lineRule="auto"/>
        <w:rPr>
          <w:rFonts w:eastAsia="Calibri" w:cs="Calibri"/>
          <w:color w:val="2D788C" w:themeColor="accent1" w:themeShade="BF"/>
          <w:szCs w:val="20"/>
          <w:lang w:eastAsia="ar-SA"/>
        </w:rPr>
      </w:pPr>
    </w:p>
    <w:p w14:paraId="6F9A3906" w14:textId="68F147B9" w:rsidR="00A71BBA" w:rsidRPr="0038051D" w:rsidRDefault="00A71BBA" w:rsidP="000636D9">
      <w:pPr>
        <w:suppressAutoHyphens/>
        <w:spacing w:line="240" w:lineRule="auto"/>
        <w:ind w:left="-1440" w:right="-1440"/>
        <w:jc w:val="center"/>
        <w:rPr>
          <w:rFonts w:eastAsia="Calibri" w:cs="Calibri"/>
          <w:b/>
          <w:color w:val="4F81BD"/>
          <w:sz w:val="36"/>
          <w:szCs w:val="24"/>
          <w:lang w:eastAsia="ar-SA"/>
        </w:rPr>
      </w:pPr>
      <w:r w:rsidRPr="0038051D">
        <w:rPr>
          <w:rFonts w:cs="Tahoma"/>
          <w:b/>
          <w:bCs/>
          <w:sz w:val="32"/>
          <w:szCs w:val="32"/>
        </w:rPr>
        <w:br w:type="page"/>
      </w:r>
    </w:p>
    <w:p w14:paraId="07CAE8BB" w14:textId="489EED5D" w:rsidR="00736720" w:rsidRDefault="00736720" w:rsidP="00E236A2">
      <w:pPr>
        <w:pStyle w:val="Heading1"/>
      </w:pPr>
      <w:r>
        <w:lastRenderedPageBreak/>
        <w:t>Lista baze de date accesate</w:t>
      </w:r>
    </w:p>
    <w:p w14:paraId="1404E6F9" w14:textId="1092ECF2" w:rsidR="00E236A2" w:rsidRPr="00E236A2" w:rsidRDefault="00E236A2" w:rsidP="00E236A2"/>
    <w:p w14:paraId="608BCB51" w14:textId="6F98BC74" w:rsidR="00736720" w:rsidRDefault="00736720" w:rsidP="00736720">
      <w:pPr>
        <w:pStyle w:val="ListParagraph"/>
        <w:numPr>
          <w:ilvl w:val="0"/>
          <w:numId w:val="18"/>
        </w:numPr>
      </w:pPr>
      <w:r w:rsidRPr="00736720">
        <w:t>POSDRU 2007-2013</w:t>
      </w:r>
      <w:r w:rsidR="0011364F">
        <w:t>:</w:t>
      </w:r>
      <w:r w:rsidRPr="00736720">
        <w:t xml:space="preserve"> </w:t>
      </w:r>
      <w:hyperlink r:id="rId8" w:history="1">
        <w:r w:rsidRPr="00021FFE">
          <w:rPr>
            <w:rStyle w:val="Hyperlink"/>
          </w:rPr>
          <w:t>http://old.fonduri-ue.ro/posdru/index.php/posdru/informatii-generale/informatii-pos-dru</w:t>
        </w:r>
      </w:hyperlink>
    </w:p>
    <w:p w14:paraId="0485321B" w14:textId="48BCDF81" w:rsidR="00E236A2" w:rsidRDefault="00B7302E" w:rsidP="00736720">
      <w:pPr>
        <w:pStyle w:val="ListParagraph"/>
        <w:numPr>
          <w:ilvl w:val="0"/>
          <w:numId w:val="18"/>
        </w:numPr>
      </w:pPr>
      <w:hyperlink r:id="rId9" w:history="1">
        <w:r w:rsidR="00E236A2" w:rsidRPr="00021FFE">
          <w:rPr>
            <w:rStyle w:val="Hyperlink"/>
          </w:rPr>
          <w:t>http://cdep.ro/proiecte/2019/600/30/8/em852.pdf</w:t>
        </w:r>
      </w:hyperlink>
    </w:p>
    <w:p w14:paraId="05E8C75A" w14:textId="761A6A13" w:rsidR="00E236A2" w:rsidRDefault="00C231DD" w:rsidP="00736720">
      <w:pPr>
        <w:pStyle w:val="ListParagraph"/>
        <w:numPr>
          <w:ilvl w:val="0"/>
          <w:numId w:val="18"/>
        </w:numPr>
      </w:pPr>
      <w:r>
        <w:t>D</w:t>
      </w:r>
      <w:r w:rsidRPr="00C231DD">
        <w:t>ate transmise de către</w:t>
      </w:r>
      <w:r>
        <w:t xml:space="preserve"> Ministerul Educației și Cercetării</w:t>
      </w:r>
      <w:r w:rsidRPr="00C231DD">
        <w:t xml:space="preserve"> </w:t>
      </w:r>
      <w:r>
        <w:t>(</w:t>
      </w:r>
      <w:r w:rsidRPr="00C231DD">
        <w:t>MEC</w:t>
      </w:r>
      <w:r>
        <w:t xml:space="preserve">) </w:t>
      </w:r>
    </w:p>
    <w:p w14:paraId="2FE0061F" w14:textId="22356ED2" w:rsidR="00C231DD" w:rsidRDefault="00E377E5" w:rsidP="00736720">
      <w:pPr>
        <w:pStyle w:val="ListParagraph"/>
        <w:numPr>
          <w:ilvl w:val="0"/>
          <w:numId w:val="18"/>
        </w:numPr>
      </w:pPr>
      <w:r>
        <w:t>D</w:t>
      </w:r>
      <w:r w:rsidRPr="00E377E5">
        <w:t>ate prelucrate din Action Web</w:t>
      </w:r>
    </w:p>
    <w:p w14:paraId="47156C13" w14:textId="2C1FFF02" w:rsidR="005E1E88" w:rsidRPr="005E1E88" w:rsidRDefault="005E1E88" w:rsidP="0011364F">
      <w:pPr>
        <w:pStyle w:val="ListParagraph"/>
        <w:numPr>
          <w:ilvl w:val="0"/>
          <w:numId w:val="18"/>
        </w:numPr>
      </w:pPr>
      <w:r w:rsidRPr="005E1E88">
        <w:t>European Commision, Directorate-General for Employment, Social Affairs and Inclusion, Study for the Evaluation of ESF support to Education and Training (Thematic Objective 10), Annex 1.3: Cost-benefit analysis</w:t>
      </w:r>
      <w:r w:rsidR="0011364F">
        <w:t xml:space="preserve">: </w:t>
      </w:r>
      <w:hyperlink r:id="rId10" w:history="1">
        <w:r w:rsidR="0011364F" w:rsidRPr="00021FFE">
          <w:rPr>
            <w:rStyle w:val="Hyperlink"/>
          </w:rPr>
          <w:t>https://ec.europa.eu/social/main.jsp?catId=738&amp;langId=en&amp;pubId=8346&amp;furtherPubs=yes</w:t>
        </w:r>
      </w:hyperlink>
    </w:p>
    <w:p w14:paraId="76E94354" w14:textId="5CBFCEAF" w:rsidR="00E377E5" w:rsidRDefault="005D33B1" w:rsidP="00736720">
      <w:pPr>
        <w:pStyle w:val="ListParagraph"/>
        <w:numPr>
          <w:ilvl w:val="0"/>
          <w:numId w:val="18"/>
        </w:numPr>
      </w:pPr>
      <w:r w:rsidRPr="005D33B1">
        <w:t>Eurostat</w:t>
      </w:r>
      <w:r w:rsidR="0011364F">
        <w:t>:</w:t>
      </w:r>
      <w:r w:rsidRPr="005D33B1">
        <w:t xml:space="preserve"> </w:t>
      </w:r>
      <w:hyperlink r:id="rId11" w:history="1">
        <w:r w:rsidRPr="00021FFE">
          <w:rPr>
            <w:rStyle w:val="Hyperlink"/>
          </w:rPr>
          <w:t>http://appsso.eurostat.ec.europa.eu/nui/show.do?dataset=ilc_di08</w:t>
        </w:r>
      </w:hyperlink>
    </w:p>
    <w:p w14:paraId="19A1F1FD" w14:textId="77777777" w:rsidR="005D33B1" w:rsidRDefault="005D33B1" w:rsidP="0011364F">
      <w:pPr>
        <w:pStyle w:val="ListParagraph"/>
      </w:pPr>
    </w:p>
    <w:p w14:paraId="78692F86" w14:textId="76CAE3A3" w:rsidR="003A44DA" w:rsidRPr="00D75794" w:rsidRDefault="003A44DA" w:rsidP="00736720">
      <w:pPr>
        <w:pStyle w:val="ListParagraph"/>
        <w:numPr>
          <w:ilvl w:val="0"/>
          <w:numId w:val="18"/>
        </w:numPr>
      </w:pPr>
      <w:r w:rsidRPr="00D75794">
        <w:br w:type="page"/>
      </w:r>
    </w:p>
    <w:bookmarkStart w:id="0" w:name="_Toc60127627" w:displacedByCustomXml="next"/>
    <w:sdt>
      <w:sdtPr>
        <w:rPr>
          <w:rFonts w:eastAsiaTheme="minorHAnsi" w:cstheme="minorBidi"/>
          <w:color w:val="auto"/>
          <w:sz w:val="22"/>
          <w:szCs w:val="22"/>
        </w:rPr>
        <w:id w:val="473961838"/>
        <w:docPartObj>
          <w:docPartGallery w:val="Bibliographies"/>
          <w:docPartUnique/>
        </w:docPartObj>
      </w:sdtPr>
      <w:sdtEndPr>
        <w:rPr>
          <w:rFonts w:eastAsiaTheme="majorEastAsia" w:cstheme="majorBidi"/>
          <w:color w:val="2D788C" w:themeColor="accent1" w:themeShade="BF"/>
          <w:sz w:val="32"/>
          <w:szCs w:val="32"/>
        </w:rPr>
      </w:sdtEndPr>
      <w:sdtContent>
        <w:p w14:paraId="5126B4AB" w14:textId="2AF5DA78" w:rsidR="003A44DA" w:rsidRPr="00E20C55" w:rsidRDefault="003A44DA" w:rsidP="00E236A2">
          <w:pPr>
            <w:pStyle w:val="Heading1"/>
          </w:pPr>
          <w:r w:rsidRPr="00E20C55">
            <w:t>Bibliografie</w:t>
          </w:r>
        </w:p>
        <w:bookmarkEnd w:id="0" w:displacedByCustomXml="next"/>
      </w:sdtContent>
    </w:sdt>
    <w:p w14:paraId="54EDD904" w14:textId="77777777" w:rsidR="003A44DA" w:rsidRPr="00E20C55" w:rsidRDefault="003A44DA" w:rsidP="00255360">
      <w:pPr>
        <w:jc w:val="both"/>
      </w:pPr>
    </w:p>
    <w:p w14:paraId="18E4AEA3" w14:textId="77777777" w:rsidR="00E236A2" w:rsidRPr="00E236A2" w:rsidRDefault="00E236A2" w:rsidP="00E236A2">
      <w:pPr>
        <w:jc w:val="both"/>
      </w:pPr>
      <w:r w:rsidRPr="00E236A2">
        <w:t>(2015). Strategia naţională pentru Învăţarea pe tot parcursul vieţii. București: Guvernul României.</w:t>
      </w:r>
    </w:p>
    <w:p w14:paraId="180C545F" w14:textId="77777777" w:rsidR="00E236A2" w:rsidRPr="00E236A2" w:rsidRDefault="00E236A2" w:rsidP="00E236A2">
      <w:pPr>
        <w:jc w:val="both"/>
      </w:pPr>
      <w:r w:rsidRPr="00E236A2">
        <w:t xml:space="preserve">Administrația Prezidențială. (2007). România educației, România cercetării. </w:t>
      </w:r>
    </w:p>
    <w:p w14:paraId="2C0D79FC" w14:textId="77777777" w:rsidR="00E236A2" w:rsidRPr="00E236A2" w:rsidRDefault="00E236A2" w:rsidP="00E236A2">
      <w:pPr>
        <w:jc w:val="both"/>
      </w:pPr>
      <w:r w:rsidRPr="00E236A2">
        <w:t>Administrația Prezidențială. (2008). Strategia Educație și cercetare pentru societatea cunoașterii. Administrația Prezidențială.</w:t>
      </w:r>
    </w:p>
    <w:p w14:paraId="1C0D783D" w14:textId="77777777" w:rsidR="00E236A2" w:rsidRPr="00E236A2" w:rsidRDefault="00E236A2" w:rsidP="00E236A2">
      <w:pPr>
        <w:jc w:val="both"/>
      </w:pPr>
      <w:r w:rsidRPr="00E236A2">
        <w:t>Administrația Prezidențială. (2018). România Educată - Viziune și Strategie 2018-2030. București.</w:t>
      </w:r>
    </w:p>
    <w:p w14:paraId="4BCA7EC5" w14:textId="1B1D9E4C" w:rsidR="00E236A2" w:rsidRDefault="00E236A2" w:rsidP="00E236A2">
      <w:pPr>
        <w:jc w:val="both"/>
      </w:pPr>
      <w:r w:rsidRPr="00E236A2">
        <w:t>Banca Mondială. (2017). Analiza multidimensională a educației și formării profesionale din perspectiva utilizării datelor în infrastructură. București: Ministerul Educației Naționale.</w:t>
      </w:r>
    </w:p>
    <w:p w14:paraId="5A4E9A28" w14:textId="2009695A" w:rsidR="00E236A2" w:rsidRPr="00136F79" w:rsidRDefault="00E236A2" w:rsidP="00E236A2">
      <w:pPr>
        <w:jc w:val="both"/>
      </w:pPr>
      <w:r w:rsidRPr="00136F79">
        <w:t>Banca Mondială. (2016). Studiul „Atlasul Zonelor Rurale Marginalizate și al Dezvoltării Umane Locale în România” București: Ministerul Educației Naționale.</w:t>
      </w:r>
    </w:p>
    <w:p w14:paraId="241B5D1E" w14:textId="0E4EE34B" w:rsidR="00E236A2" w:rsidRPr="00E236A2" w:rsidRDefault="00E236A2" w:rsidP="00E236A2">
      <w:pPr>
        <w:jc w:val="both"/>
      </w:pPr>
      <w:r w:rsidRPr="00136F79">
        <w:t xml:space="preserve">Banca Mondială. (2014). Studiul „Atlasul zonelor urbane marginalizate din România”, </w:t>
      </w:r>
      <w:r w:rsidR="00B07638" w:rsidRPr="00136F79">
        <w:t>Ministerului Dezvoltării Regionale  și Administrației Publice</w:t>
      </w:r>
    </w:p>
    <w:p w14:paraId="326E37C4" w14:textId="77777777" w:rsidR="00E236A2" w:rsidRPr="00E236A2" w:rsidRDefault="00E236A2" w:rsidP="00E236A2">
      <w:pPr>
        <w:jc w:val="both"/>
      </w:pPr>
      <w:r w:rsidRPr="00E236A2">
        <w:t>Celac, S., &amp; Vlădineanu, A. (2018). Strategia Națională pentru Dezvoltarea Durabilă a României 2030. București: Paideia.</w:t>
      </w:r>
    </w:p>
    <w:p w14:paraId="495E18C5" w14:textId="77777777" w:rsidR="00E236A2" w:rsidRPr="00E236A2" w:rsidRDefault="00E236A2" w:rsidP="00E236A2">
      <w:pPr>
        <w:jc w:val="both"/>
      </w:pPr>
      <w:r w:rsidRPr="00E236A2">
        <w:t xml:space="preserve">Comisia Europeană. (2010). Strategia europeană 2010-2020 pentru persoanele cu handicap. </w:t>
      </w:r>
    </w:p>
    <w:p w14:paraId="39E90ABE" w14:textId="77777777" w:rsidR="00E236A2" w:rsidRPr="00E236A2" w:rsidRDefault="00E236A2" w:rsidP="00E236A2">
      <w:pPr>
        <w:jc w:val="both"/>
      </w:pPr>
      <w:r w:rsidRPr="00E236A2">
        <w:t>Horga, I. (2016). Educație pentru toți și pentru fiecare: accesul și participarea la educație a copiilor cu dizabilități și/sau CES din școlile participante la Campania UNICEF Hai la Școală. Buzău: Editura Alpha MDN.</w:t>
      </w:r>
    </w:p>
    <w:p w14:paraId="3C4DF84F" w14:textId="77777777" w:rsidR="00E236A2" w:rsidRPr="00E236A2" w:rsidRDefault="00E236A2" w:rsidP="00E236A2">
      <w:pPr>
        <w:jc w:val="both"/>
      </w:pPr>
      <w:r w:rsidRPr="00E236A2">
        <w:t>MEC. (2019). Raport privind starea învățământului preuniversitar din România 2018-2019. București: Ministerul Educației și Cercetării.</w:t>
      </w:r>
    </w:p>
    <w:p w14:paraId="163BCE03" w14:textId="77777777" w:rsidR="00E236A2" w:rsidRPr="00E236A2" w:rsidRDefault="00E236A2" w:rsidP="00E236A2">
      <w:pPr>
        <w:jc w:val="both"/>
      </w:pPr>
      <w:r w:rsidRPr="00E236A2">
        <w:t>MECS. (2014). Raport privind starea învățământului preuniversitar din România. București: Ministerul Educației și Cercetării Științifice.</w:t>
      </w:r>
    </w:p>
    <w:p w14:paraId="0F5AFE5E" w14:textId="77777777" w:rsidR="00E236A2" w:rsidRPr="00E236A2" w:rsidRDefault="00E236A2" w:rsidP="00E236A2">
      <w:pPr>
        <w:jc w:val="both"/>
      </w:pPr>
      <w:r w:rsidRPr="00E236A2">
        <w:t>MECS. (2015). Strategia privind reducerea părăsirii timpurii a școlii în România. București: Ministerul Educației și Cercetării Științifice.</w:t>
      </w:r>
    </w:p>
    <w:p w14:paraId="30DD153F" w14:textId="77777777" w:rsidR="00E236A2" w:rsidRPr="00E236A2" w:rsidRDefault="00E236A2" w:rsidP="00E236A2">
      <w:pPr>
        <w:jc w:val="both"/>
      </w:pPr>
      <w:r w:rsidRPr="00E236A2">
        <w:t>MECT. (2007). Starea învățământului din România. București: Ministerul Educației Cercetării și Tineretului.</w:t>
      </w:r>
    </w:p>
    <w:p w14:paraId="2C84D519" w14:textId="77777777" w:rsidR="00E236A2" w:rsidRPr="00E236A2" w:rsidRDefault="00E236A2" w:rsidP="00E236A2">
      <w:pPr>
        <w:jc w:val="both"/>
      </w:pPr>
      <w:r w:rsidRPr="00E236A2">
        <w:t>MECT. (2008). Raport asupra stării sistemului național de învățământ. București: Ministerul educației, cercetării și tineretului.</w:t>
      </w:r>
    </w:p>
    <w:p w14:paraId="7EEFF74C" w14:textId="77777777" w:rsidR="00E236A2" w:rsidRPr="00E236A2" w:rsidRDefault="00E236A2" w:rsidP="00E236A2">
      <w:pPr>
        <w:jc w:val="both"/>
      </w:pPr>
      <w:r w:rsidRPr="00E236A2">
        <w:t>MECTS. (2010). Raport asupra stării sistemului național de învățământ în anul 2009-2010. București: Ministerul Educației, Cercetării, Tineretului și Sportului.</w:t>
      </w:r>
    </w:p>
    <w:p w14:paraId="56EF08EE" w14:textId="77777777" w:rsidR="00E236A2" w:rsidRPr="00E236A2" w:rsidRDefault="00E236A2" w:rsidP="00E236A2">
      <w:pPr>
        <w:jc w:val="both"/>
      </w:pPr>
      <w:r w:rsidRPr="00E236A2">
        <w:t>MECTS. (2011). Raport privind starea învățământului preuniversitar din România. București: Ministerul Educației, Cercetării, Tineretului și Sportului.</w:t>
      </w:r>
    </w:p>
    <w:p w14:paraId="2B368913" w14:textId="77777777" w:rsidR="00E236A2" w:rsidRPr="00E236A2" w:rsidRDefault="00E236A2" w:rsidP="00E236A2">
      <w:pPr>
        <w:jc w:val="both"/>
      </w:pPr>
      <w:r w:rsidRPr="00E236A2">
        <w:t>MECTS. (2012). Raport asupra stării sistemului național de învățământ preuniversitar din România. București: Ministerul Educației, Cercetării, Tineretului și Sportului.</w:t>
      </w:r>
    </w:p>
    <w:p w14:paraId="663565FB" w14:textId="77777777" w:rsidR="00E236A2" w:rsidRPr="00E236A2" w:rsidRDefault="00E236A2" w:rsidP="00E236A2">
      <w:pPr>
        <w:jc w:val="both"/>
      </w:pPr>
      <w:r w:rsidRPr="00E236A2">
        <w:t>MEN. (2016). Raport privind starea învățământului preuniversitar din România. București: Ministerul Educației Naționale.</w:t>
      </w:r>
    </w:p>
    <w:p w14:paraId="29964459" w14:textId="77777777" w:rsidR="00E236A2" w:rsidRPr="00E236A2" w:rsidRDefault="00E236A2" w:rsidP="00E236A2">
      <w:pPr>
        <w:jc w:val="both"/>
      </w:pPr>
      <w:r w:rsidRPr="00E236A2">
        <w:t>MEN. (2018). Raport privind starea învățământului preuniversitar din România. București: Ministerul Educației Naționale.</w:t>
      </w:r>
    </w:p>
    <w:p w14:paraId="04C8CEF8" w14:textId="77777777" w:rsidR="00E236A2" w:rsidRPr="00E236A2" w:rsidRDefault="00E236A2" w:rsidP="00E236A2">
      <w:pPr>
        <w:jc w:val="both"/>
      </w:pPr>
      <w:r w:rsidRPr="00E236A2">
        <w:t>MEN. (2019). Dosar sintetic privind resultatele finale la prima sesiune a examenului de bacalaureat din anul 2019. București: Ministerul Educației Naționale.</w:t>
      </w:r>
    </w:p>
    <w:p w14:paraId="26B8C242" w14:textId="77777777" w:rsidR="00E236A2" w:rsidRPr="00E236A2" w:rsidRDefault="00E236A2" w:rsidP="00E236A2">
      <w:pPr>
        <w:jc w:val="both"/>
      </w:pPr>
      <w:r w:rsidRPr="00E236A2">
        <w:lastRenderedPageBreak/>
        <w:t>MEN. (2019). Educația ne unește – Viziune asupra viitorului educației în România. București: Ministerul Educației Naționale.</w:t>
      </w:r>
    </w:p>
    <w:p w14:paraId="1901205E" w14:textId="77777777" w:rsidR="00E236A2" w:rsidRPr="00E236A2" w:rsidRDefault="00E236A2" w:rsidP="00E236A2">
      <w:pPr>
        <w:jc w:val="both"/>
      </w:pPr>
      <w:r w:rsidRPr="00E236A2">
        <w:t>MMFPSPV. (2015). Strategia națională privind incluziunea socială și reducerea sărăciei 2015-2020. București: Ministerul Muncii, Familiei, Protecției Sociale și Persoanelor Vârstnice.</w:t>
      </w:r>
    </w:p>
    <w:p w14:paraId="5B436713" w14:textId="77777777" w:rsidR="00E236A2" w:rsidRPr="00E236A2" w:rsidRDefault="00E236A2" w:rsidP="00E236A2">
      <w:pPr>
        <w:jc w:val="both"/>
      </w:pPr>
      <w:r w:rsidRPr="00E236A2">
        <w:t>MMPS. (2020). Buletin statistic - Evoluţii în domeniul protecţiei persoanelor cu dizabilităţi. București: Ministerul Muncii și Protecției Sociale.</w:t>
      </w:r>
    </w:p>
    <w:p w14:paraId="43D63532" w14:textId="77777777" w:rsidR="00E236A2" w:rsidRPr="00E236A2" w:rsidRDefault="00E236A2" w:rsidP="00E236A2">
      <w:pPr>
        <w:jc w:val="both"/>
      </w:pPr>
      <w:r w:rsidRPr="00E236A2">
        <w:t>ONU. (2017). Transforming our World: The 2030 Agenda for Sustainable Development. New York: Springer Publishing Company.</w:t>
      </w:r>
    </w:p>
    <w:p w14:paraId="0BC38B38" w14:textId="77777777" w:rsidR="00E236A2" w:rsidRPr="00E236A2" w:rsidRDefault="00E236A2" w:rsidP="00E236A2">
      <w:pPr>
        <w:jc w:val="both"/>
      </w:pPr>
      <w:r w:rsidRPr="00E236A2">
        <w:t>(2008). Pactul Național pentru Educație. Administrația Prezidențială.</w:t>
      </w:r>
    </w:p>
    <w:p w14:paraId="67C0A4D4" w14:textId="77777777" w:rsidR="00E236A2" w:rsidRPr="00E236A2" w:rsidRDefault="00E236A2" w:rsidP="00E236A2">
      <w:pPr>
        <w:jc w:val="both"/>
      </w:pPr>
      <w:r w:rsidRPr="00E236A2">
        <w:t>Pop, F., &amp; Balea, B. (2017). SocioRoMap - ANCHETĂ DE CERCETARE MEDIATORI ȘCOLARI. Cluj-Napoca: IDEA DESIGN &amp; PRINT.</w:t>
      </w:r>
    </w:p>
    <w:p w14:paraId="64804FC6" w14:textId="77777777" w:rsidR="00E236A2" w:rsidRPr="00E236A2" w:rsidRDefault="00E236A2" w:rsidP="00E236A2">
      <w:pPr>
        <w:jc w:val="both"/>
      </w:pPr>
      <w:r w:rsidRPr="00E236A2">
        <w:t>(2016). Strategia educației și formării profesionale (VET) din România pentru perioada 2016-2020 . București: Guvernul României.</w:t>
      </w:r>
    </w:p>
    <w:p w14:paraId="29815B50" w14:textId="77777777" w:rsidR="00E236A2" w:rsidRPr="00E236A2" w:rsidRDefault="00E236A2" w:rsidP="00E236A2">
      <w:pPr>
        <w:jc w:val="both"/>
      </w:pPr>
      <w:r w:rsidRPr="00E236A2">
        <w:t>(2015). Strategia Națională pentru Învățământul Terțiar 2015 - 2020. București: Guvernul României.</w:t>
      </w:r>
    </w:p>
    <w:p w14:paraId="6298D39E" w14:textId="77777777" w:rsidR="00E236A2" w:rsidRPr="00E236A2" w:rsidRDefault="00E236A2" w:rsidP="00E236A2">
      <w:pPr>
        <w:jc w:val="both"/>
      </w:pPr>
      <w:r w:rsidRPr="00E236A2">
        <w:t>(2017). Strategia națională privind modernizarea infrastructurii educaționale 2017-2023. București: Guvernul României.</w:t>
      </w:r>
    </w:p>
    <w:p w14:paraId="1BFB4026" w14:textId="77777777" w:rsidR="00E236A2" w:rsidRPr="00E236A2" w:rsidRDefault="00E236A2" w:rsidP="00E236A2">
      <w:pPr>
        <w:jc w:val="both"/>
      </w:pPr>
      <w:r w:rsidRPr="00E236A2">
        <w:t>(2015). Strategia privind reducerea părăsirii timpurii a școlii în România. București: Guvernul României.</w:t>
      </w:r>
    </w:p>
    <w:p w14:paraId="10D8ACED" w14:textId="77777777" w:rsidR="00E236A2" w:rsidRPr="00E236A2" w:rsidRDefault="00E236A2" w:rsidP="00E236A2">
      <w:pPr>
        <w:jc w:val="both"/>
      </w:pPr>
      <w:r w:rsidRPr="00E236A2">
        <w:t>Țoc, S. (2018). Clasă și educație. Inegalitate și reproducere socială în învățământul românesc. București: Editura Pro Unviersitaria.</w:t>
      </w:r>
    </w:p>
    <w:p w14:paraId="636EBFA3" w14:textId="77777777" w:rsidR="00E236A2" w:rsidRPr="00E236A2" w:rsidRDefault="00E236A2" w:rsidP="00E236A2">
      <w:pPr>
        <w:jc w:val="both"/>
      </w:pPr>
      <w:r w:rsidRPr="00E236A2">
        <w:t>UE. (2015). Versiunea conslidată a Tratatului privind Uniunea Europeană și a Tratatului privind funcționarea Uniunii Europene. Bruxelles: Comisia Europeană.</w:t>
      </w:r>
    </w:p>
    <w:p w14:paraId="2ABAAB41" w14:textId="77777777" w:rsidR="00E236A2" w:rsidRPr="00E236A2" w:rsidRDefault="00E236A2" w:rsidP="00E236A2">
      <w:pPr>
        <w:jc w:val="both"/>
      </w:pPr>
      <w:r w:rsidRPr="00E236A2">
        <w:t>UNICEF. (2010). Situația copiilor cu cerințe educative speciale incluși în învățământul de masa. București: Vanemonde.</w:t>
      </w:r>
    </w:p>
    <w:p w14:paraId="5648AAB0" w14:textId="77777777" w:rsidR="00E236A2" w:rsidRPr="00E236A2" w:rsidRDefault="00E236A2" w:rsidP="00E236A2">
      <w:pPr>
        <w:jc w:val="both"/>
      </w:pPr>
      <w:r w:rsidRPr="00E236A2">
        <w:t>Vasile, M., Muscă, M., Angi, D., Bădescu, G., Florian, B., &amp; Țoc, S. (2020). Ce ne spun noile rezultate PISA despre inegalitățile educaționale din România? București: Institutul pentru Solidaritate Socială.</w:t>
      </w:r>
    </w:p>
    <w:p w14:paraId="3CC9061E" w14:textId="77777777" w:rsidR="00E236A2" w:rsidRPr="00E236A2" w:rsidRDefault="00E236A2" w:rsidP="00E236A2">
      <w:pPr>
        <w:jc w:val="both"/>
      </w:pPr>
      <w:r w:rsidRPr="00E236A2">
        <w:t>Weber, R., &amp; Manda, C.-A. (2020). Raportul special privind acordarea burselor pentru elevi la nivel național în anul școlar 2019-2020. București: Societatea Academică din România.</w:t>
      </w:r>
    </w:p>
    <w:p w14:paraId="43AB4093" w14:textId="77777777" w:rsidR="003A44DA" w:rsidRPr="00E236A2" w:rsidRDefault="003A44DA" w:rsidP="00E236A2">
      <w:pPr>
        <w:jc w:val="both"/>
      </w:pPr>
    </w:p>
    <w:p w14:paraId="1BD9243E" w14:textId="77777777" w:rsidR="003A44DA" w:rsidRPr="00E20C55" w:rsidRDefault="003A44DA" w:rsidP="00E236A2">
      <w:pPr>
        <w:jc w:val="both"/>
      </w:pPr>
    </w:p>
    <w:p w14:paraId="39B8DFB9" w14:textId="77777777" w:rsidR="004A2999" w:rsidRPr="00E236A2" w:rsidRDefault="004A2999" w:rsidP="00E236A2">
      <w:pPr>
        <w:jc w:val="both"/>
      </w:pPr>
    </w:p>
    <w:sectPr w:rsidR="004A2999" w:rsidRPr="00E236A2" w:rsidSect="001A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77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AEB5" w14:textId="77777777" w:rsidR="00B7302E" w:rsidRDefault="00B7302E" w:rsidP="006F0DFE">
      <w:pPr>
        <w:spacing w:after="0" w:line="240" w:lineRule="auto"/>
      </w:pPr>
      <w:r>
        <w:separator/>
      </w:r>
    </w:p>
  </w:endnote>
  <w:endnote w:type="continuationSeparator" w:id="0">
    <w:p w14:paraId="01D68FCA" w14:textId="77777777" w:rsidR="00B7302E" w:rsidRDefault="00B7302E" w:rsidP="006F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76A9" w14:textId="77777777" w:rsidR="00DB597A" w:rsidRDefault="00DB5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10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AD195" w14:textId="77777777" w:rsidR="003A44DA" w:rsidRDefault="003A44DA" w:rsidP="003A44DA">
        <w:pPr>
          <w:pStyle w:val="Footer"/>
        </w:pPr>
        <w:r>
          <w:t xml:space="preserve">     __________________________________________________________________________________________  </w:t>
        </w:r>
      </w:p>
      <w:p w14:paraId="3BD8E689" w14:textId="175836CF" w:rsidR="00A97E19" w:rsidRDefault="003A44DA" w:rsidP="003A44DA">
        <w:pPr>
          <w:pStyle w:val="Footer"/>
          <w:jc w:val="right"/>
        </w:pPr>
        <w:r w:rsidRPr="00E07967">
          <w:rPr>
            <w:noProof/>
          </w:rPr>
          <w:drawing>
            <wp:inline distT="0" distB="0" distL="0" distR="0" wp14:anchorId="304E75EE" wp14:editId="4D0F029A">
              <wp:extent cx="5730240" cy="373380"/>
              <wp:effectExtent l="0" t="0" r="3810" b="0"/>
              <wp:docPr id="149" name="Picture 1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0240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A6B6" w14:textId="368A7DE4" w:rsidR="00A97E19" w:rsidRPr="000636D9" w:rsidRDefault="00A97E19" w:rsidP="000636D9">
    <w:pPr>
      <w:pBdr>
        <w:top w:val="single" w:sz="4" w:space="1" w:color="auto"/>
      </w:pBdr>
      <w:rPr>
        <w:rFonts w:cstheme="majorHAnsi"/>
        <w:b/>
        <w:color w:val="819C28" w:themeColor="accent5" w:themeShade="BF"/>
        <w:sz w:val="16"/>
        <w:szCs w:val="16"/>
      </w:rPr>
    </w:pPr>
    <w:r w:rsidRPr="00E70B38">
      <w:rPr>
        <w:rStyle w:val="Strong"/>
        <w:rFonts w:cstheme="majorHAnsi"/>
        <w:bCs/>
        <w:i/>
        <w:color w:val="3CA1BC" w:themeColor="accent1"/>
        <w:sz w:val="16"/>
        <w:szCs w:val="16"/>
      </w:rPr>
      <w:t>Implementarea Planului de Evaluare a Programului Operațional Capital Uman 2014-2020 - Evaluarea intervențiilor POCU în domeniul educației</w:t>
    </w:r>
    <w:r w:rsidRPr="00E70B38">
      <w:rPr>
        <w:rStyle w:val="Strong"/>
        <w:rFonts w:cstheme="majorHAnsi"/>
        <w:bCs/>
        <w:i/>
        <w:color w:val="3CA1BC" w:themeColor="accent1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  <w:t xml:space="preserve">                                           </w:t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</w:r>
    <w:r w:rsidRPr="00E70B38">
      <w:rPr>
        <w:rStyle w:val="Strong"/>
        <w:rFonts w:cstheme="majorHAnsi"/>
        <w:bCs/>
        <w:i/>
        <w:color w:val="819C28" w:themeColor="accent5" w:themeShade="BF"/>
        <w:sz w:val="16"/>
        <w:szCs w:val="16"/>
      </w:rPr>
      <w:tab/>
      <w:t xml:space="preserve"> </w:t>
    </w:r>
    <w:r w:rsidRPr="00E70B38">
      <w:rPr>
        <w:rFonts w:cstheme="majorHAnsi"/>
        <w:b/>
        <w:sz w:val="16"/>
        <w:szCs w:val="16"/>
      </w:rPr>
      <w:fldChar w:fldCharType="begin"/>
    </w:r>
    <w:r w:rsidRPr="00E70B38">
      <w:rPr>
        <w:rFonts w:cstheme="majorHAnsi"/>
        <w:b/>
        <w:sz w:val="16"/>
        <w:szCs w:val="16"/>
      </w:rPr>
      <w:instrText xml:space="preserve"> PAGE   \* MERGEFORMAT </w:instrText>
    </w:r>
    <w:r w:rsidRPr="00E70B38">
      <w:rPr>
        <w:rFonts w:cstheme="majorHAnsi"/>
        <w:b/>
        <w:sz w:val="16"/>
        <w:szCs w:val="16"/>
      </w:rPr>
      <w:fldChar w:fldCharType="separate"/>
    </w:r>
    <w:r>
      <w:rPr>
        <w:rFonts w:cstheme="majorHAnsi"/>
        <w:b/>
        <w:sz w:val="16"/>
        <w:szCs w:val="16"/>
      </w:rPr>
      <w:t>1</w:t>
    </w:r>
    <w:r w:rsidRPr="00E70B38">
      <w:rPr>
        <w:rFonts w:cstheme="maj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6CE78" w14:textId="77777777" w:rsidR="00B7302E" w:rsidRDefault="00B7302E" w:rsidP="006F0DFE">
      <w:pPr>
        <w:spacing w:after="0" w:line="240" w:lineRule="auto"/>
      </w:pPr>
      <w:r>
        <w:separator/>
      </w:r>
    </w:p>
  </w:footnote>
  <w:footnote w:type="continuationSeparator" w:id="0">
    <w:p w14:paraId="2189E4CA" w14:textId="77777777" w:rsidR="00B7302E" w:rsidRDefault="00B7302E" w:rsidP="006F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123C" w14:textId="77777777" w:rsidR="00DB597A" w:rsidRDefault="00DB5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7BFE" w14:textId="77777777" w:rsidR="00DB597A" w:rsidRDefault="00DB597A" w:rsidP="00DB597A">
    <w:bookmarkStart w:id="1" w:name="_Hlk65854054"/>
    <w:bookmarkStart w:id="2" w:name="_Hlk65854055"/>
    <w:bookmarkStart w:id="3" w:name="_Hlk65854086"/>
    <w:bookmarkStart w:id="4" w:name="_Hlk65854087"/>
    <w:bookmarkStart w:id="5" w:name="_Hlk65854111"/>
    <w:bookmarkStart w:id="6" w:name="_Hlk65854112"/>
    <w:bookmarkStart w:id="7" w:name="_Hlk65854132"/>
    <w:bookmarkStart w:id="8" w:name="_Hlk65854133"/>
    <w:bookmarkStart w:id="9" w:name="_Hlk65854155"/>
    <w:bookmarkStart w:id="10" w:name="_Hlk65854156"/>
    <w:bookmarkStart w:id="11" w:name="_Hlk65854178"/>
    <w:bookmarkStart w:id="12" w:name="_Hlk65854179"/>
    <w:bookmarkStart w:id="13" w:name="_Hlk65854201"/>
    <w:bookmarkStart w:id="14" w:name="_Hlk65854202"/>
    <w:r>
      <w:rPr>
        <w:noProof/>
        <w:lang w:val="en-US"/>
      </w:rPr>
      <w:drawing>
        <wp:inline distT="0" distB="0" distL="0" distR="0" wp14:anchorId="68DA9AFC" wp14:editId="25789BFA">
          <wp:extent cx="800100" cy="670560"/>
          <wp:effectExtent l="0" t="0" r="0" b="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</w:t>
    </w:r>
    <w:r>
      <w:rPr>
        <w:noProof/>
        <w:lang w:val="en-US"/>
      </w:rPr>
      <w:drawing>
        <wp:inline distT="0" distB="0" distL="0" distR="0" wp14:anchorId="1F0484EA" wp14:editId="0B6BB63D">
          <wp:extent cx="670560" cy="640080"/>
          <wp:effectExtent l="0" t="0" r="0" b="762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</w:t>
    </w:r>
    <w:r>
      <w:rPr>
        <w:noProof/>
        <w:lang w:val="en-US"/>
      </w:rPr>
      <w:drawing>
        <wp:inline distT="0" distB="0" distL="0" distR="0" wp14:anchorId="3E3B0299" wp14:editId="78DF8983">
          <wp:extent cx="693420" cy="693420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B753264" w14:textId="0B51F76B" w:rsidR="00A97E19" w:rsidRPr="00DB597A" w:rsidRDefault="00A97E19" w:rsidP="00DB5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C4EE" w14:textId="4604873F" w:rsidR="00A97E19" w:rsidRPr="003D3435" w:rsidRDefault="00A97E19" w:rsidP="003D3435">
    <w:pPr>
      <w:pStyle w:val="Header"/>
    </w:pPr>
    <w:r>
      <w:rPr>
        <w:noProof/>
        <w:lang w:val="en-US"/>
      </w:rPr>
      <w:t xml:space="preserve">     </w:t>
    </w:r>
    <w:r w:rsidRPr="00D63EF2">
      <w:rPr>
        <w:noProof/>
        <w:lang w:val="en-US"/>
      </w:rPr>
      <w:drawing>
        <wp:inline distT="0" distB="0" distL="0" distR="0" wp14:anchorId="3FED2B4F" wp14:editId="08A34799">
          <wp:extent cx="800100" cy="666750"/>
          <wp:effectExtent l="0" t="0" r="0" b="0"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</w:t>
    </w:r>
    <w:r w:rsidRPr="00D63EF2">
      <w:rPr>
        <w:noProof/>
        <w:lang w:val="en-US"/>
      </w:rPr>
      <w:drawing>
        <wp:inline distT="0" distB="0" distL="0" distR="0" wp14:anchorId="7AFE8083" wp14:editId="109509D1">
          <wp:extent cx="666750" cy="638175"/>
          <wp:effectExtent l="0" t="0" r="0" b="9525"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46"/>
                  <a:stretch/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                                </w:t>
    </w:r>
    <w:r w:rsidRPr="00D63EF2">
      <w:rPr>
        <w:noProof/>
        <w:lang w:val="en-US"/>
      </w:rPr>
      <w:drawing>
        <wp:inline distT="0" distB="0" distL="0" distR="0" wp14:anchorId="40A663E1" wp14:editId="4A52771E">
          <wp:extent cx="695325" cy="695325"/>
          <wp:effectExtent l="0" t="0" r="9525" b="9525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133A"/>
    <w:multiLevelType w:val="hybridMultilevel"/>
    <w:tmpl w:val="B91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C68"/>
    <w:multiLevelType w:val="hybridMultilevel"/>
    <w:tmpl w:val="4DA4F8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F3184D"/>
    <w:multiLevelType w:val="hybridMultilevel"/>
    <w:tmpl w:val="D210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55720"/>
    <w:multiLevelType w:val="hybridMultilevel"/>
    <w:tmpl w:val="3EF4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801D2"/>
    <w:multiLevelType w:val="hybridMultilevel"/>
    <w:tmpl w:val="FB66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840D4"/>
    <w:multiLevelType w:val="hybridMultilevel"/>
    <w:tmpl w:val="A176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9449B"/>
    <w:multiLevelType w:val="hybridMultilevel"/>
    <w:tmpl w:val="1938BBD2"/>
    <w:lvl w:ilvl="0" w:tplc="64D4AA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E0CF3"/>
    <w:multiLevelType w:val="hybridMultilevel"/>
    <w:tmpl w:val="FF34F488"/>
    <w:lvl w:ilvl="0" w:tplc="1CFE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21DA1"/>
    <w:multiLevelType w:val="hybridMultilevel"/>
    <w:tmpl w:val="DFE2828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F4EBE"/>
    <w:multiLevelType w:val="hybridMultilevel"/>
    <w:tmpl w:val="2236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040F5"/>
    <w:multiLevelType w:val="hybridMultilevel"/>
    <w:tmpl w:val="ED2C5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665C"/>
    <w:multiLevelType w:val="hybridMultilevel"/>
    <w:tmpl w:val="490834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57708D"/>
    <w:multiLevelType w:val="hybridMultilevel"/>
    <w:tmpl w:val="7F4054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C2C90"/>
    <w:multiLevelType w:val="multilevel"/>
    <w:tmpl w:val="7A20A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9AC3290"/>
    <w:multiLevelType w:val="hybridMultilevel"/>
    <w:tmpl w:val="FED870B8"/>
    <w:lvl w:ilvl="0" w:tplc="1CFE87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D77C8"/>
    <w:multiLevelType w:val="multilevel"/>
    <w:tmpl w:val="0A7EC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6FE3FE5"/>
    <w:multiLevelType w:val="multilevel"/>
    <w:tmpl w:val="FA009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C3420C1"/>
    <w:multiLevelType w:val="hybridMultilevel"/>
    <w:tmpl w:val="9FD8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7"/>
  </w:num>
  <w:num w:numId="10">
    <w:abstractNumId w:val="11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53"/>
    <w:rsid w:val="00001CA9"/>
    <w:rsid w:val="00004360"/>
    <w:rsid w:val="00014FB6"/>
    <w:rsid w:val="00032202"/>
    <w:rsid w:val="00033511"/>
    <w:rsid w:val="00033BAA"/>
    <w:rsid w:val="00034F53"/>
    <w:rsid w:val="0004195D"/>
    <w:rsid w:val="00045769"/>
    <w:rsid w:val="000458FB"/>
    <w:rsid w:val="0005254C"/>
    <w:rsid w:val="000602B7"/>
    <w:rsid w:val="000636D9"/>
    <w:rsid w:val="00063B64"/>
    <w:rsid w:val="000663C4"/>
    <w:rsid w:val="00084282"/>
    <w:rsid w:val="0008510E"/>
    <w:rsid w:val="00090EE0"/>
    <w:rsid w:val="0009484F"/>
    <w:rsid w:val="000A1F58"/>
    <w:rsid w:val="000B1416"/>
    <w:rsid w:val="000B1CB3"/>
    <w:rsid w:val="000B73D2"/>
    <w:rsid w:val="000D64B2"/>
    <w:rsid w:val="00106AC5"/>
    <w:rsid w:val="00106B16"/>
    <w:rsid w:val="0011364F"/>
    <w:rsid w:val="001153DA"/>
    <w:rsid w:val="001158A2"/>
    <w:rsid w:val="00115A39"/>
    <w:rsid w:val="00116049"/>
    <w:rsid w:val="001170B5"/>
    <w:rsid w:val="001211AA"/>
    <w:rsid w:val="00123F2C"/>
    <w:rsid w:val="00124C84"/>
    <w:rsid w:val="00125204"/>
    <w:rsid w:val="00127026"/>
    <w:rsid w:val="00127129"/>
    <w:rsid w:val="0013091B"/>
    <w:rsid w:val="00130D59"/>
    <w:rsid w:val="001324CB"/>
    <w:rsid w:val="0013255D"/>
    <w:rsid w:val="00133EC7"/>
    <w:rsid w:val="00134068"/>
    <w:rsid w:val="00136F79"/>
    <w:rsid w:val="001445DE"/>
    <w:rsid w:val="00150488"/>
    <w:rsid w:val="0016131E"/>
    <w:rsid w:val="001617D1"/>
    <w:rsid w:val="0016284A"/>
    <w:rsid w:val="00164E01"/>
    <w:rsid w:val="00166356"/>
    <w:rsid w:val="001735E5"/>
    <w:rsid w:val="00180D54"/>
    <w:rsid w:val="00194058"/>
    <w:rsid w:val="001A7CFF"/>
    <w:rsid w:val="001B38BE"/>
    <w:rsid w:val="001B693C"/>
    <w:rsid w:val="001C3ADB"/>
    <w:rsid w:val="001C6CB9"/>
    <w:rsid w:val="001D1EA9"/>
    <w:rsid w:val="001D58CB"/>
    <w:rsid w:val="001E2B3B"/>
    <w:rsid w:val="001F7363"/>
    <w:rsid w:val="00201717"/>
    <w:rsid w:val="0020330B"/>
    <w:rsid w:val="0020504B"/>
    <w:rsid w:val="00207BE2"/>
    <w:rsid w:val="00210FBB"/>
    <w:rsid w:val="00216BFB"/>
    <w:rsid w:val="00217D81"/>
    <w:rsid w:val="00223A4E"/>
    <w:rsid w:val="002258D2"/>
    <w:rsid w:val="00234425"/>
    <w:rsid w:val="0023477C"/>
    <w:rsid w:val="00241ED5"/>
    <w:rsid w:val="00241F6F"/>
    <w:rsid w:val="002510E5"/>
    <w:rsid w:val="00255360"/>
    <w:rsid w:val="002557C4"/>
    <w:rsid w:val="002605F5"/>
    <w:rsid w:val="00260887"/>
    <w:rsid w:val="00260ABE"/>
    <w:rsid w:val="00272BC2"/>
    <w:rsid w:val="00273ED7"/>
    <w:rsid w:val="00273FF3"/>
    <w:rsid w:val="00274741"/>
    <w:rsid w:val="002755AE"/>
    <w:rsid w:val="00286D8E"/>
    <w:rsid w:val="00296706"/>
    <w:rsid w:val="002A0BFB"/>
    <w:rsid w:val="002A2303"/>
    <w:rsid w:val="002B4AAC"/>
    <w:rsid w:val="002B628F"/>
    <w:rsid w:val="002C0AE0"/>
    <w:rsid w:val="002C2240"/>
    <w:rsid w:val="002C6047"/>
    <w:rsid w:val="002D0848"/>
    <w:rsid w:val="002D6DF0"/>
    <w:rsid w:val="002E163C"/>
    <w:rsid w:val="00301439"/>
    <w:rsid w:val="00307DBE"/>
    <w:rsid w:val="00314682"/>
    <w:rsid w:val="00317B60"/>
    <w:rsid w:val="003252FB"/>
    <w:rsid w:val="00327E22"/>
    <w:rsid w:val="0033096A"/>
    <w:rsid w:val="00332C2D"/>
    <w:rsid w:val="00342AE8"/>
    <w:rsid w:val="00343A39"/>
    <w:rsid w:val="00355F44"/>
    <w:rsid w:val="00362889"/>
    <w:rsid w:val="00374A84"/>
    <w:rsid w:val="0037583B"/>
    <w:rsid w:val="0038051D"/>
    <w:rsid w:val="00384D4E"/>
    <w:rsid w:val="00395CC8"/>
    <w:rsid w:val="003A2547"/>
    <w:rsid w:val="003A44DA"/>
    <w:rsid w:val="003A7C60"/>
    <w:rsid w:val="003B3B80"/>
    <w:rsid w:val="003B3E33"/>
    <w:rsid w:val="003B6153"/>
    <w:rsid w:val="003C0462"/>
    <w:rsid w:val="003C10F3"/>
    <w:rsid w:val="003D105F"/>
    <w:rsid w:val="003D3435"/>
    <w:rsid w:val="003D477E"/>
    <w:rsid w:val="003D7350"/>
    <w:rsid w:val="003E2367"/>
    <w:rsid w:val="00411C15"/>
    <w:rsid w:val="00412CA1"/>
    <w:rsid w:val="00420D03"/>
    <w:rsid w:val="004248B3"/>
    <w:rsid w:val="00424FCC"/>
    <w:rsid w:val="00427218"/>
    <w:rsid w:val="00431D4A"/>
    <w:rsid w:val="0043699E"/>
    <w:rsid w:val="004373BD"/>
    <w:rsid w:val="00440D26"/>
    <w:rsid w:val="00443BC0"/>
    <w:rsid w:val="004541D5"/>
    <w:rsid w:val="00464B70"/>
    <w:rsid w:val="0046755C"/>
    <w:rsid w:val="00470E72"/>
    <w:rsid w:val="00471B71"/>
    <w:rsid w:val="00472F80"/>
    <w:rsid w:val="004736E0"/>
    <w:rsid w:val="0047398E"/>
    <w:rsid w:val="00475F3C"/>
    <w:rsid w:val="004762E0"/>
    <w:rsid w:val="004919A2"/>
    <w:rsid w:val="0049232A"/>
    <w:rsid w:val="004A097F"/>
    <w:rsid w:val="004A0AFC"/>
    <w:rsid w:val="004A17F7"/>
    <w:rsid w:val="004A2999"/>
    <w:rsid w:val="004C1F01"/>
    <w:rsid w:val="004C2004"/>
    <w:rsid w:val="004C7895"/>
    <w:rsid w:val="004D401E"/>
    <w:rsid w:val="004D751D"/>
    <w:rsid w:val="004E2A29"/>
    <w:rsid w:val="004E5AC1"/>
    <w:rsid w:val="004F16D4"/>
    <w:rsid w:val="004F24AE"/>
    <w:rsid w:val="00500251"/>
    <w:rsid w:val="005007C9"/>
    <w:rsid w:val="005141F5"/>
    <w:rsid w:val="00514383"/>
    <w:rsid w:val="005162F8"/>
    <w:rsid w:val="00516E7F"/>
    <w:rsid w:val="00521505"/>
    <w:rsid w:val="00521FB2"/>
    <w:rsid w:val="00522D7D"/>
    <w:rsid w:val="00523A95"/>
    <w:rsid w:val="0052460D"/>
    <w:rsid w:val="00525044"/>
    <w:rsid w:val="00527879"/>
    <w:rsid w:val="005357FA"/>
    <w:rsid w:val="00536D71"/>
    <w:rsid w:val="00540A74"/>
    <w:rsid w:val="00541CE7"/>
    <w:rsid w:val="00552CB5"/>
    <w:rsid w:val="005604B0"/>
    <w:rsid w:val="005620AC"/>
    <w:rsid w:val="00562D0F"/>
    <w:rsid w:val="0056432B"/>
    <w:rsid w:val="0058062A"/>
    <w:rsid w:val="00582ABB"/>
    <w:rsid w:val="005859A2"/>
    <w:rsid w:val="00585CE3"/>
    <w:rsid w:val="0058797F"/>
    <w:rsid w:val="0059306E"/>
    <w:rsid w:val="00596FA2"/>
    <w:rsid w:val="005A432C"/>
    <w:rsid w:val="005B21F0"/>
    <w:rsid w:val="005C37A8"/>
    <w:rsid w:val="005D33B1"/>
    <w:rsid w:val="005D5A33"/>
    <w:rsid w:val="005D68E2"/>
    <w:rsid w:val="005E1E88"/>
    <w:rsid w:val="005E1F0E"/>
    <w:rsid w:val="005E3A52"/>
    <w:rsid w:val="005E4490"/>
    <w:rsid w:val="005E754D"/>
    <w:rsid w:val="005F44EA"/>
    <w:rsid w:val="005F7CC8"/>
    <w:rsid w:val="00610B69"/>
    <w:rsid w:val="00612744"/>
    <w:rsid w:val="00620A77"/>
    <w:rsid w:val="006370DF"/>
    <w:rsid w:val="00651E7D"/>
    <w:rsid w:val="006535B7"/>
    <w:rsid w:val="006607D0"/>
    <w:rsid w:val="00664208"/>
    <w:rsid w:val="00672BE4"/>
    <w:rsid w:val="006749B8"/>
    <w:rsid w:val="00675CD3"/>
    <w:rsid w:val="00676445"/>
    <w:rsid w:val="0068292C"/>
    <w:rsid w:val="00682D36"/>
    <w:rsid w:val="00683324"/>
    <w:rsid w:val="00684D0F"/>
    <w:rsid w:val="00696A65"/>
    <w:rsid w:val="006A2D75"/>
    <w:rsid w:val="006A4F8F"/>
    <w:rsid w:val="006B4238"/>
    <w:rsid w:val="006B48FF"/>
    <w:rsid w:val="006B692D"/>
    <w:rsid w:val="006C031E"/>
    <w:rsid w:val="006C1D8C"/>
    <w:rsid w:val="006E3BDC"/>
    <w:rsid w:val="006E4226"/>
    <w:rsid w:val="006E5D13"/>
    <w:rsid w:val="006E723A"/>
    <w:rsid w:val="006F0DDF"/>
    <w:rsid w:val="006F0DFE"/>
    <w:rsid w:val="006F19BA"/>
    <w:rsid w:val="00720B75"/>
    <w:rsid w:val="00722872"/>
    <w:rsid w:val="00723706"/>
    <w:rsid w:val="00724953"/>
    <w:rsid w:val="00735C7D"/>
    <w:rsid w:val="00736720"/>
    <w:rsid w:val="007449C3"/>
    <w:rsid w:val="00747984"/>
    <w:rsid w:val="00750E7C"/>
    <w:rsid w:val="0075114B"/>
    <w:rsid w:val="00751C00"/>
    <w:rsid w:val="00753CBD"/>
    <w:rsid w:val="00756A89"/>
    <w:rsid w:val="00777479"/>
    <w:rsid w:val="007774A7"/>
    <w:rsid w:val="007839D9"/>
    <w:rsid w:val="0078493B"/>
    <w:rsid w:val="00787A49"/>
    <w:rsid w:val="0079489B"/>
    <w:rsid w:val="00795A4E"/>
    <w:rsid w:val="007A4617"/>
    <w:rsid w:val="007A7C59"/>
    <w:rsid w:val="007B19F3"/>
    <w:rsid w:val="007B38FE"/>
    <w:rsid w:val="007B3A29"/>
    <w:rsid w:val="007B49FC"/>
    <w:rsid w:val="007C32D0"/>
    <w:rsid w:val="007C6232"/>
    <w:rsid w:val="007D071E"/>
    <w:rsid w:val="007D11F3"/>
    <w:rsid w:val="007D3C1C"/>
    <w:rsid w:val="007D4161"/>
    <w:rsid w:val="007D6841"/>
    <w:rsid w:val="007E1BBD"/>
    <w:rsid w:val="007E32BA"/>
    <w:rsid w:val="007F3640"/>
    <w:rsid w:val="007F7C95"/>
    <w:rsid w:val="008047EE"/>
    <w:rsid w:val="00814712"/>
    <w:rsid w:val="0082119B"/>
    <w:rsid w:val="00823717"/>
    <w:rsid w:val="0082463C"/>
    <w:rsid w:val="0084278D"/>
    <w:rsid w:val="00846488"/>
    <w:rsid w:val="008516A9"/>
    <w:rsid w:val="00856375"/>
    <w:rsid w:val="00857CDC"/>
    <w:rsid w:val="00860E24"/>
    <w:rsid w:val="008628C4"/>
    <w:rsid w:val="00872FB4"/>
    <w:rsid w:val="008749E2"/>
    <w:rsid w:val="008810C8"/>
    <w:rsid w:val="00893F35"/>
    <w:rsid w:val="00896B6C"/>
    <w:rsid w:val="0089738B"/>
    <w:rsid w:val="008A410B"/>
    <w:rsid w:val="008B75A1"/>
    <w:rsid w:val="008B787F"/>
    <w:rsid w:val="008B7C07"/>
    <w:rsid w:val="008C20F0"/>
    <w:rsid w:val="008C2DC2"/>
    <w:rsid w:val="008D0E78"/>
    <w:rsid w:val="008D1FF6"/>
    <w:rsid w:val="008E1882"/>
    <w:rsid w:val="008E2D5B"/>
    <w:rsid w:val="008E5191"/>
    <w:rsid w:val="008E70B3"/>
    <w:rsid w:val="008E765C"/>
    <w:rsid w:val="008F4102"/>
    <w:rsid w:val="008F6156"/>
    <w:rsid w:val="00900409"/>
    <w:rsid w:val="00906FF2"/>
    <w:rsid w:val="00910D0C"/>
    <w:rsid w:val="00911D2A"/>
    <w:rsid w:val="009244B6"/>
    <w:rsid w:val="00931A83"/>
    <w:rsid w:val="00942950"/>
    <w:rsid w:val="00944527"/>
    <w:rsid w:val="0094613D"/>
    <w:rsid w:val="009520F7"/>
    <w:rsid w:val="00952275"/>
    <w:rsid w:val="0095581B"/>
    <w:rsid w:val="00955CC5"/>
    <w:rsid w:val="0095690C"/>
    <w:rsid w:val="00961753"/>
    <w:rsid w:val="00961A4F"/>
    <w:rsid w:val="00961BAC"/>
    <w:rsid w:val="00971583"/>
    <w:rsid w:val="009755F7"/>
    <w:rsid w:val="00977A97"/>
    <w:rsid w:val="009825BD"/>
    <w:rsid w:val="00986046"/>
    <w:rsid w:val="009874C7"/>
    <w:rsid w:val="0099268F"/>
    <w:rsid w:val="009A64E2"/>
    <w:rsid w:val="009A72D2"/>
    <w:rsid w:val="009B3635"/>
    <w:rsid w:val="009B69E4"/>
    <w:rsid w:val="009C0892"/>
    <w:rsid w:val="009C1AC0"/>
    <w:rsid w:val="009C4A76"/>
    <w:rsid w:val="009D3D5F"/>
    <w:rsid w:val="009D63CE"/>
    <w:rsid w:val="009D6CD9"/>
    <w:rsid w:val="009E13BE"/>
    <w:rsid w:val="009E63A9"/>
    <w:rsid w:val="009F12D1"/>
    <w:rsid w:val="009F1B51"/>
    <w:rsid w:val="009F1C94"/>
    <w:rsid w:val="009F4665"/>
    <w:rsid w:val="009F67DB"/>
    <w:rsid w:val="00A06156"/>
    <w:rsid w:val="00A06F6D"/>
    <w:rsid w:val="00A15BA8"/>
    <w:rsid w:val="00A17578"/>
    <w:rsid w:val="00A20E72"/>
    <w:rsid w:val="00A21F0A"/>
    <w:rsid w:val="00A26335"/>
    <w:rsid w:val="00A26729"/>
    <w:rsid w:val="00A30A53"/>
    <w:rsid w:val="00A32734"/>
    <w:rsid w:val="00A3400E"/>
    <w:rsid w:val="00A402F4"/>
    <w:rsid w:val="00A44FFE"/>
    <w:rsid w:val="00A45407"/>
    <w:rsid w:val="00A46B66"/>
    <w:rsid w:val="00A47A73"/>
    <w:rsid w:val="00A53273"/>
    <w:rsid w:val="00A536B8"/>
    <w:rsid w:val="00A53CD7"/>
    <w:rsid w:val="00A54527"/>
    <w:rsid w:val="00A630BE"/>
    <w:rsid w:val="00A67BA8"/>
    <w:rsid w:val="00A71A34"/>
    <w:rsid w:val="00A71BBA"/>
    <w:rsid w:val="00A73192"/>
    <w:rsid w:val="00A7464D"/>
    <w:rsid w:val="00A8631F"/>
    <w:rsid w:val="00A9426A"/>
    <w:rsid w:val="00A94722"/>
    <w:rsid w:val="00A9501E"/>
    <w:rsid w:val="00A97784"/>
    <w:rsid w:val="00A97E19"/>
    <w:rsid w:val="00AA090C"/>
    <w:rsid w:val="00AA197C"/>
    <w:rsid w:val="00AA3F9D"/>
    <w:rsid w:val="00AA5FC8"/>
    <w:rsid w:val="00AA60C1"/>
    <w:rsid w:val="00AB5A2A"/>
    <w:rsid w:val="00AB5EB9"/>
    <w:rsid w:val="00AC06FC"/>
    <w:rsid w:val="00AC1BE8"/>
    <w:rsid w:val="00AC5D70"/>
    <w:rsid w:val="00AD4EB9"/>
    <w:rsid w:val="00AE6A17"/>
    <w:rsid w:val="00AE7EE5"/>
    <w:rsid w:val="00AF5560"/>
    <w:rsid w:val="00AF734D"/>
    <w:rsid w:val="00B07638"/>
    <w:rsid w:val="00B10CFD"/>
    <w:rsid w:val="00B10F22"/>
    <w:rsid w:val="00B141BB"/>
    <w:rsid w:val="00B200A6"/>
    <w:rsid w:val="00B21827"/>
    <w:rsid w:val="00B2489E"/>
    <w:rsid w:val="00B40ACF"/>
    <w:rsid w:val="00B503BB"/>
    <w:rsid w:val="00B51445"/>
    <w:rsid w:val="00B522F1"/>
    <w:rsid w:val="00B53131"/>
    <w:rsid w:val="00B62A04"/>
    <w:rsid w:val="00B7302E"/>
    <w:rsid w:val="00B75473"/>
    <w:rsid w:val="00B76818"/>
    <w:rsid w:val="00B82ECA"/>
    <w:rsid w:val="00BA3639"/>
    <w:rsid w:val="00BA5D07"/>
    <w:rsid w:val="00BB50D2"/>
    <w:rsid w:val="00BC068F"/>
    <w:rsid w:val="00BC19F1"/>
    <w:rsid w:val="00BC2EAF"/>
    <w:rsid w:val="00BC4F39"/>
    <w:rsid w:val="00BD04AD"/>
    <w:rsid w:val="00BD2721"/>
    <w:rsid w:val="00BD39AA"/>
    <w:rsid w:val="00BD3C4D"/>
    <w:rsid w:val="00BE33E1"/>
    <w:rsid w:val="00BE4CD1"/>
    <w:rsid w:val="00BE6043"/>
    <w:rsid w:val="00BF12F7"/>
    <w:rsid w:val="00BF26D3"/>
    <w:rsid w:val="00BF4239"/>
    <w:rsid w:val="00C021B9"/>
    <w:rsid w:val="00C02CFA"/>
    <w:rsid w:val="00C118C5"/>
    <w:rsid w:val="00C11B2C"/>
    <w:rsid w:val="00C13C0E"/>
    <w:rsid w:val="00C16D07"/>
    <w:rsid w:val="00C21106"/>
    <w:rsid w:val="00C21D1C"/>
    <w:rsid w:val="00C231DD"/>
    <w:rsid w:val="00C246C7"/>
    <w:rsid w:val="00C4291A"/>
    <w:rsid w:val="00C43B0A"/>
    <w:rsid w:val="00C53096"/>
    <w:rsid w:val="00C61B17"/>
    <w:rsid w:val="00C61C42"/>
    <w:rsid w:val="00C626FB"/>
    <w:rsid w:val="00C65A2A"/>
    <w:rsid w:val="00C705C6"/>
    <w:rsid w:val="00C70D8C"/>
    <w:rsid w:val="00C73C08"/>
    <w:rsid w:val="00C742FD"/>
    <w:rsid w:val="00C77D8A"/>
    <w:rsid w:val="00C902AF"/>
    <w:rsid w:val="00C92B61"/>
    <w:rsid w:val="00C96171"/>
    <w:rsid w:val="00CA13E6"/>
    <w:rsid w:val="00CA1625"/>
    <w:rsid w:val="00CB79D2"/>
    <w:rsid w:val="00CB7F79"/>
    <w:rsid w:val="00CC702A"/>
    <w:rsid w:val="00CD0117"/>
    <w:rsid w:val="00CD133F"/>
    <w:rsid w:val="00CD2653"/>
    <w:rsid w:val="00CD2778"/>
    <w:rsid w:val="00CE32C7"/>
    <w:rsid w:val="00CE636C"/>
    <w:rsid w:val="00CF18AB"/>
    <w:rsid w:val="00CF7DCD"/>
    <w:rsid w:val="00D030F2"/>
    <w:rsid w:val="00D038F5"/>
    <w:rsid w:val="00D1225E"/>
    <w:rsid w:val="00D15D28"/>
    <w:rsid w:val="00D30270"/>
    <w:rsid w:val="00D31CF8"/>
    <w:rsid w:val="00D32A0E"/>
    <w:rsid w:val="00D40C16"/>
    <w:rsid w:val="00D47750"/>
    <w:rsid w:val="00D52792"/>
    <w:rsid w:val="00D54937"/>
    <w:rsid w:val="00D6109C"/>
    <w:rsid w:val="00D6358B"/>
    <w:rsid w:val="00D6567F"/>
    <w:rsid w:val="00D67CD0"/>
    <w:rsid w:val="00D771CF"/>
    <w:rsid w:val="00D95C09"/>
    <w:rsid w:val="00D9624E"/>
    <w:rsid w:val="00D97F0B"/>
    <w:rsid w:val="00DA1351"/>
    <w:rsid w:val="00DB0615"/>
    <w:rsid w:val="00DB597A"/>
    <w:rsid w:val="00DC279E"/>
    <w:rsid w:val="00DC2946"/>
    <w:rsid w:val="00DC299A"/>
    <w:rsid w:val="00DD2486"/>
    <w:rsid w:val="00DD793F"/>
    <w:rsid w:val="00DE5A69"/>
    <w:rsid w:val="00DF179C"/>
    <w:rsid w:val="00DF28DF"/>
    <w:rsid w:val="00DF3366"/>
    <w:rsid w:val="00DF5907"/>
    <w:rsid w:val="00DF780F"/>
    <w:rsid w:val="00E002ED"/>
    <w:rsid w:val="00E00932"/>
    <w:rsid w:val="00E0174C"/>
    <w:rsid w:val="00E1042A"/>
    <w:rsid w:val="00E1200B"/>
    <w:rsid w:val="00E236A2"/>
    <w:rsid w:val="00E26C92"/>
    <w:rsid w:val="00E30961"/>
    <w:rsid w:val="00E3444D"/>
    <w:rsid w:val="00E377E5"/>
    <w:rsid w:val="00E41BA8"/>
    <w:rsid w:val="00E421ED"/>
    <w:rsid w:val="00E44845"/>
    <w:rsid w:val="00E4759C"/>
    <w:rsid w:val="00E52D35"/>
    <w:rsid w:val="00E535FB"/>
    <w:rsid w:val="00E56091"/>
    <w:rsid w:val="00E700DF"/>
    <w:rsid w:val="00E7303D"/>
    <w:rsid w:val="00E74522"/>
    <w:rsid w:val="00E75979"/>
    <w:rsid w:val="00E838D3"/>
    <w:rsid w:val="00E9092B"/>
    <w:rsid w:val="00EA5F55"/>
    <w:rsid w:val="00EA63BC"/>
    <w:rsid w:val="00EB2E1D"/>
    <w:rsid w:val="00EB3FFD"/>
    <w:rsid w:val="00EB62AB"/>
    <w:rsid w:val="00EC122F"/>
    <w:rsid w:val="00EC2D3A"/>
    <w:rsid w:val="00EC4DB8"/>
    <w:rsid w:val="00ED0668"/>
    <w:rsid w:val="00ED1B51"/>
    <w:rsid w:val="00EE1EE3"/>
    <w:rsid w:val="00EE3568"/>
    <w:rsid w:val="00EE616E"/>
    <w:rsid w:val="00EE6866"/>
    <w:rsid w:val="00EF291E"/>
    <w:rsid w:val="00EF522F"/>
    <w:rsid w:val="00EF73EE"/>
    <w:rsid w:val="00F010D6"/>
    <w:rsid w:val="00F12E15"/>
    <w:rsid w:val="00F155A0"/>
    <w:rsid w:val="00F156C9"/>
    <w:rsid w:val="00F202EE"/>
    <w:rsid w:val="00F24829"/>
    <w:rsid w:val="00F34CDC"/>
    <w:rsid w:val="00F37A1C"/>
    <w:rsid w:val="00F37DDA"/>
    <w:rsid w:val="00F66EC0"/>
    <w:rsid w:val="00F67270"/>
    <w:rsid w:val="00F705C0"/>
    <w:rsid w:val="00F720CD"/>
    <w:rsid w:val="00F7289C"/>
    <w:rsid w:val="00F73901"/>
    <w:rsid w:val="00F75F5C"/>
    <w:rsid w:val="00F812B0"/>
    <w:rsid w:val="00F82A3F"/>
    <w:rsid w:val="00F82E39"/>
    <w:rsid w:val="00F93062"/>
    <w:rsid w:val="00F96599"/>
    <w:rsid w:val="00F97E76"/>
    <w:rsid w:val="00FA0643"/>
    <w:rsid w:val="00FA3785"/>
    <w:rsid w:val="00FA5E76"/>
    <w:rsid w:val="00FB7712"/>
    <w:rsid w:val="00FC0105"/>
    <w:rsid w:val="00FC087A"/>
    <w:rsid w:val="00FC1979"/>
    <w:rsid w:val="00FC3082"/>
    <w:rsid w:val="00FC3893"/>
    <w:rsid w:val="00FD7B50"/>
    <w:rsid w:val="00FE387D"/>
    <w:rsid w:val="00FE6134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BF660"/>
  <w15:chartTrackingRefBased/>
  <w15:docId w15:val="{EC359E55-D28D-4564-9235-7F9B425C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FF"/>
    <w:rPr>
      <w:sz w:val="20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3"/>
    <w:pPr>
      <w:keepNext/>
      <w:keepLines/>
      <w:spacing w:before="240" w:after="0"/>
      <w:outlineLvl w:val="0"/>
    </w:pPr>
    <w:rPr>
      <w:rFonts w:eastAsiaTheme="majorEastAsia" w:cstheme="majorBidi"/>
      <w:color w:val="2D78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DFE"/>
    <w:pPr>
      <w:keepNext/>
      <w:keepLines/>
      <w:spacing w:before="40" w:after="0"/>
      <w:outlineLvl w:val="1"/>
    </w:pPr>
    <w:rPr>
      <w:rFonts w:eastAsiaTheme="majorEastAsia" w:cstheme="majorBidi"/>
      <w:color w:val="2D78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062"/>
    <w:pPr>
      <w:keepNext/>
      <w:keepLines/>
      <w:spacing w:before="40" w:after="0"/>
      <w:outlineLvl w:val="2"/>
    </w:pPr>
    <w:rPr>
      <w:rFonts w:eastAsiaTheme="majorEastAsia" w:cstheme="majorBidi"/>
      <w:color w:val="1E4F5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442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D788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4425"/>
    <w:pPr>
      <w:keepNext/>
      <w:keepLines/>
      <w:spacing w:before="40" w:after="0"/>
      <w:outlineLvl w:val="4"/>
    </w:pPr>
    <w:rPr>
      <w:rFonts w:eastAsiaTheme="majorEastAsia" w:cstheme="majorBidi"/>
      <w:color w:val="2D788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A53"/>
    <w:rPr>
      <w:rFonts w:asciiTheme="majorHAnsi" w:eastAsiaTheme="majorEastAsia" w:hAnsiTheme="majorHAnsi" w:cstheme="majorBidi"/>
      <w:color w:val="2D788C" w:themeColor="accent1" w:themeShade="BF"/>
      <w:sz w:val="32"/>
      <w:szCs w:val="32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30A5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0A5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30A53"/>
    <w:rPr>
      <w:color w:val="00ABC0" w:themeColor="hyperlink"/>
      <w:u w:val="single"/>
    </w:rPr>
  </w:style>
  <w:style w:type="paragraph" w:customStyle="1" w:styleId="Normal1">
    <w:name w:val="Normal1"/>
    <w:rsid w:val="00756A89"/>
    <w:pPr>
      <w:spacing w:after="0" w:line="276" w:lineRule="auto"/>
    </w:pPr>
    <w:rPr>
      <w:rFonts w:ascii="Arial" w:eastAsia="Arial" w:hAnsi="Arial" w:cs="Arial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6F0DFE"/>
    <w:rPr>
      <w:rFonts w:asciiTheme="majorHAnsi" w:eastAsiaTheme="majorEastAsia" w:hAnsiTheme="majorHAnsi" w:cstheme="majorBidi"/>
      <w:color w:val="2D788C" w:themeColor="accent1" w:themeShade="BF"/>
      <w:sz w:val="26"/>
      <w:szCs w:val="2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F0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FE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0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FE"/>
    <w:rPr>
      <w:lang w:val="ro-RO"/>
    </w:rPr>
  </w:style>
  <w:style w:type="paragraph" w:styleId="TOC2">
    <w:name w:val="toc 2"/>
    <w:basedOn w:val="Normal"/>
    <w:next w:val="Normal"/>
    <w:autoRedefine/>
    <w:uiPriority w:val="39"/>
    <w:unhideWhenUsed/>
    <w:rsid w:val="00A97784"/>
    <w:pPr>
      <w:spacing w:after="100"/>
      <w:ind w:left="220"/>
    </w:pPr>
  </w:style>
  <w:style w:type="paragraph" w:styleId="Bibliography">
    <w:name w:val="Bibliography"/>
    <w:basedOn w:val="Normal"/>
    <w:next w:val="Normal"/>
    <w:uiPriority w:val="37"/>
    <w:unhideWhenUsed/>
    <w:rsid w:val="002C6047"/>
  </w:style>
  <w:style w:type="table" w:styleId="GridTable5Dark-Accent1">
    <w:name w:val="Grid Table 5 Dark Accent 1"/>
    <w:basedOn w:val="TableNormal"/>
    <w:uiPriority w:val="50"/>
    <w:rsid w:val="00F12E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A1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A1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A1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A1BC" w:themeFill="accent1"/>
      </w:tcPr>
    </w:tblStylePr>
    <w:tblStylePr w:type="band1Vert">
      <w:tblPr/>
      <w:tcPr>
        <w:shd w:val="clear" w:color="auto" w:fill="AFDAE5" w:themeFill="accent1" w:themeFillTint="66"/>
      </w:tcPr>
    </w:tblStylePr>
    <w:tblStylePr w:type="band1Horz">
      <w:tblPr/>
      <w:tcPr>
        <w:shd w:val="clear" w:color="auto" w:fill="AFDAE5" w:themeFill="accent1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C2DC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C2DC2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93062"/>
    <w:pPr>
      <w:spacing w:after="0" w:line="240" w:lineRule="auto"/>
    </w:pPr>
    <w:rPr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3062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93062"/>
    <w:rPr>
      <w:rFonts w:asciiTheme="majorHAnsi" w:eastAsiaTheme="majorEastAsia" w:hAnsiTheme="majorHAnsi" w:cstheme="majorBidi"/>
      <w:color w:val="1E4F5D" w:themeColor="accent1" w:themeShade="7F"/>
      <w:sz w:val="24"/>
      <w:szCs w:val="24"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4A0AF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E4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273ED7"/>
    <w:pPr>
      <w:ind w:left="720"/>
      <w:contextualSpacing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34425"/>
    <w:rPr>
      <w:rFonts w:asciiTheme="majorHAnsi" w:eastAsiaTheme="majorEastAsia" w:hAnsiTheme="majorHAnsi" w:cstheme="majorBidi"/>
      <w:i/>
      <w:iCs/>
      <w:color w:val="2D788C" w:themeColor="accent1" w:themeShade="BF"/>
      <w:sz w:val="24"/>
      <w:lang w:val="ro-RO"/>
    </w:rPr>
  </w:style>
  <w:style w:type="table" w:styleId="ListTable4-Accent3">
    <w:name w:val="List Table 4 Accent 3"/>
    <w:basedOn w:val="TableNormal"/>
    <w:uiPriority w:val="49"/>
    <w:rsid w:val="0056432B"/>
    <w:pPr>
      <w:spacing w:after="0" w:line="240" w:lineRule="auto"/>
    </w:pPr>
    <w:tblPr>
      <w:tblStyleRowBandSize w:val="1"/>
      <w:tblStyleColBandSize w:val="1"/>
      <w:tblBorders>
        <w:top w:val="single" w:sz="4" w:space="0" w:color="B65E5A" w:themeColor="accent3" w:themeTint="99"/>
        <w:left w:val="single" w:sz="4" w:space="0" w:color="B65E5A" w:themeColor="accent3" w:themeTint="99"/>
        <w:bottom w:val="single" w:sz="4" w:space="0" w:color="B65E5A" w:themeColor="accent3" w:themeTint="99"/>
        <w:right w:val="single" w:sz="4" w:space="0" w:color="B65E5A" w:themeColor="accent3" w:themeTint="99"/>
        <w:insideH w:val="single" w:sz="4" w:space="0" w:color="B65E5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2523" w:themeColor="accent3"/>
          <w:left w:val="single" w:sz="4" w:space="0" w:color="502523" w:themeColor="accent3"/>
          <w:bottom w:val="single" w:sz="4" w:space="0" w:color="502523" w:themeColor="accent3"/>
          <w:right w:val="single" w:sz="4" w:space="0" w:color="502523" w:themeColor="accent3"/>
          <w:insideH w:val="nil"/>
        </w:tcBorders>
        <w:shd w:val="clear" w:color="auto" w:fill="502523" w:themeFill="accent3"/>
      </w:tcPr>
    </w:tblStylePr>
    <w:tblStylePr w:type="lastRow">
      <w:rPr>
        <w:b/>
        <w:bCs/>
      </w:rPr>
      <w:tblPr/>
      <w:tcPr>
        <w:tcBorders>
          <w:top w:val="double" w:sz="4" w:space="0" w:color="B65E5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9C8" w:themeFill="accent3" w:themeFillTint="33"/>
      </w:tcPr>
    </w:tblStylePr>
    <w:tblStylePr w:type="band1Horz">
      <w:tblPr/>
      <w:tcPr>
        <w:shd w:val="clear" w:color="auto" w:fill="E7C9C8" w:themeFill="accent3" w:themeFillTint="33"/>
      </w:tcPr>
    </w:tblStylePr>
  </w:style>
  <w:style w:type="table" w:styleId="ListTable2">
    <w:name w:val="List Table 2"/>
    <w:basedOn w:val="TableNormal"/>
    <w:uiPriority w:val="47"/>
    <w:rsid w:val="0056432B"/>
    <w:pPr>
      <w:spacing w:after="0" w:line="240" w:lineRule="auto"/>
    </w:pPr>
    <w:tblPr>
      <w:tblStyleRowBandSize w:val="1"/>
      <w:tblStyleColBandSize w:val="1"/>
      <w:tblBorders>
        <w:top w:val="single" w:sz="4" w:space="0" w:color="37B4D1" w:themeColor="text1" w:themeTint="99"/>
        <w:bottom w:val="single" w:sz="4" w:space="0" w:color="37B4D1" w:themeColor="text1" w:themeTint="99"/>
        <w:insideH w:val="single" w:sz="4" w:space="0" w:color="37B4D1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text1" w:themeFillTint="33"/>
      </w:tcPr>
    </w:tblStylePr>
    <w:tblStylePr w:type="band1Horz">
      <w:tblPr/>
      <w:tcPr>
        <w:shd w:val="clear" w:color="auto" w:fill="BCE6EF" w:themeFill="text1" w:themeFillTint="33"/>
      </w:tcPr>
    </w:tblStylePr>
  </w:style>
  <w:style w:type="table" w:styleId="GridTable5Dark-Accent5">
    <w:name w:val="Grid Table 5 Dark Accent 5"/>
    <w:basedOn w:val="TableNormal"/>
    <w:uiPriority w:val="50"/>
    <w:rsid w:val="005643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D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D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D3A" w:themeFill="accent5"/>
      </w:tcPr>
    </w:tblStylePr>
    <w:tblStylePr w:type="band1Vert">
      <w:tblPr/>
      <w:tcPr>
        <w:shd w:val="clear" w:color="auto" w:fill="DDEBB0" w:themeFill="accent5" w:themeFillTint="66"/>
      </w:tcPr>
    </w:tblStylePr>
    <w:tblStylePr w:type="band1Horz">
      <w:tblPr/>
      <w:tcPr>
        <w:shd w:val="clear" w:color="auto" w:fill="DDEBB0" w:themeFill="accent5" w:themeFillTint="66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34425"/>
    <w:rPr>
      <w:rFonts w:asciiTheme="majorHAnsi" w:eastAsiaTheme="majorEastAsia" w:hAnsiTheme="majorHAnsi" w:cstheme="majorBidi"/>
      <w:color w:val="2D788C" w:themeColor="accent1" w:themeShade="BF"/>
      <w:lang w:val="ro-RO"/>
    </w:rPr>
  </w:style>
  <w:style w:type="table" w:styleId="GridTable6Colorful-Accent5">
    <w:name w:val="Grid Table 6 Colorful Accent 5"/>
    <w:basedOn w:val="TableNormal"/>
    <w:uiPriority w:val="51"/>
    <w:rsid w:val="006E4226"/>
    <w:pPr>
      <w:spacing w:after="0" w:line="240" w:lineRule="auto"/>
    </w:pPr>
    <w:rPr>
      <w:color w:val="819C28" w:themeColor="accent5" w:themeShade="BF"/>
    </w:rPr>
    <w:tblPr>
      <w:tblStyleRowBandSize w:val="1"/>
      <w:tblStyleColBandSize w:val="1"/>
      <w:tblBorders>
        <w:top w:val="single" w:sz="4" w:space="0" w:color="CCE188" w:themeColor="accent5" w:themeTint="99"/>
        <w:left w:val="single" w:sz="4" w:space="0" w:color="CCE188" w:themeColor="accent5" w:themeTint="99"/>
        <w:bottom w:val="single" w:sz="4" w:space="0" w:color="CCE188" w:themeColor="accent5" w:themeTint="99"/>
        <w:right w:val="single" w:sz="4" w:space="0" w:color="CCE188" w:themeColor="accent5" w:themeTint="99"/>
        <w:insideH w:val="single" w:sz="4" w:space="0" w:color="CCE188" w:themeColor="accent5" w:themeTint="99"/>
        <w:insideV w:val="single" w:sz="4" w:space="0" w:color="CCE1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E1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1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5" w:themeFillTint="33"/>
      </w:tcPr>
    </w:tblStylePr>
    <w:tblStylePr w:type="band1Horz">
      <w:tblPr/>
      <w:tcPr>
        <w:shd w:val="clear" w:color="auto" w:fill="EEF5D7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4248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813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813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81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8133" w:themeFill="accent6"/>
      </w:tcPr>
    </w:tblStylePr>
    <w:tblStylePr w:type="band1Vert">
      <w:tblPr/>
      <w:tcPr>
        <w:shd w:val="clear" w:color="auto" w:fill="BBD9A0" w:themeFill="accent6" w:themeFillTint="66"/>
      </w:tcPr>
    </w:tblStylePr>
    <w:tblStylePr w:type="band1Horz">
      <w:tblPr/>
      <w:tcPr>
        <w:shd w:val="clear" w:color="auto" w:fill="BBD9A0" w:themeFill="accent6" w:themeFillTint="66"/>
      </w:tcPr>
    </w:tblStylePr>
  </w:style>
  <w:style w:type="table" w:styleId="ListTable2-Accent5">
    <w:name w:val="List Table 2 Accent 5"/>
    <w:basedOn w:val="TableNormal"/>
    <w:uiPriority w:val="47"/>
    <w:rsid w:val="008E70B3"/>
    <w:pPr>
      <w:spacing w:after="0" w:line="240" w:lineRule="auto"/>
    </w:pPr>
    <w:tblPr>
      <w:tblStyleRowBandSize w:val="1"/>
      <w:tblStyleColBandSize w:val="1"/>
      <w:tblBorders>
        <w:top w:val="single" w:sz="4" w:space="0" w:color="CCE188" w:themeColor="accent5" w:themeTint="99"/>
        <w:bottom w:val="single" w:sz="4" w:space="0" w:color="CCE188" w:themeColor="accent5" w:themeTint="99"/>
        <w:insideH w:val="single" w:sz="4" w:space="0" w:color="CCE1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D7" w:themeFill="accent5" w:themeFillTint="33"/>
      </w:tcPr>
    </w:tblStylePr>
    <w:tblStylePr w:type="band1Horz">
      <w:tblPr/>
      <w:tcPr>
        <w:shd w:val="clear" w:color="auto" w:fill="EEF5D7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8E70B3"/>
    <w:pPr>
      <w:spacing w:after="0" w:line="240" w:lineRule="auto"/>
    </w:pPr>
    <w:rPr>
      <w:color w:val="819C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D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D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D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D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5D7" w:themeFill="accent5" w:themeFillTint="33"/>
      </w:tcPr>
    </w:tblStylePr>
    <w:tblStylePr w:type="band1Horz">
      <w:tblPr/>
      <w:tcPr>
        <w:shd w:val="clear" w:color="auto" w:fill="EEF5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19BA"/>
    <w:rPr>
      <w:color w:val="605E5C"/>
      <w:shd w:val="clear" w:color="auto" w:fill="E1DFDD"/>
    </w:rPr>
  </w:style>
  <w:style w:type="character" w:styleId="Strong">
    <w:name w:val="Strong"/>
    <w:qFormat/>
    <w:rsid w:val="000636D9"/>
    <w:rPr>
      <w:rFonts w:cs="Times New Roman"/>
      <w:b/>
    </w:rPr>
  </w:style>
  <w:style w:type="table" w:styleId="GridTable5Dark">
    <w:name w:val="Grid Table 5 Dark"/>
    <w:basedOn w:val="TableNormal"/>
    <w:uiPriority w:val="50"/>
    <w:rsid w:val="001E2B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6E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4753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34753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3475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34753" w:themeFill="text1"/>
      </w:tcPr>
    </w:tblStylePr>
    <w:tblStylePr w:type="band1Vert">
      <w:tblPr/>
      <w:tcPr>
        <w:shd w:val="clear" w:color="auto" w:fill="7ACDE0" w:themeFill="text1" w:themeFillTint="66"/>
      </w:tcPr>
    </w:tblStylePr>
    <w:tblStylePr w:type="band1Horz">
      <w:tblPr/>
      <w:tcPr>
        <w:shd w:val="clear" w:color="auto" w:fill="7ACDE0" w:themeFill="text1" w:themeFillTint="66"/>
      </w:tcPr>
    </w:tblStylePr>
  </w:style>
  <w:style w:type="table" w:styleId="ListTable4">
    <w:name w:val="List Table 4"/>
    <w:basedOn w:val="TableNormal"/>
    <w:uiPriority w:val="49"/>
    <w:rsid w:val="001E2B3B"/>
    <w:pPr>
      <w:spacing w:after="0" w:line="240" w:lineRule="auto"/>
    </w:pPr>
    <w:tblPr>
      <w:tblStyleRowBandSize w:val="1"/>
      <w:tblStyleColBandSize w:val="1"/>
      <w:tblBorders>
        <w:top w:val="single" w:sz="4" w:space="0" w:color="37B4D1" w:themeColor="text1" w:themeTint="99"/>
        <w:left w:val="single" w:sz="4" w:space="0" w:color="37B4D1" w:themeColor="text1" w:themeTint="99"/>
        <w:bottom w:val="single" w:sz="4" w:space="0" w:color="37B4D1" w:themeColor="text1" w:themeTint="99"/>
        <w:right w:val="single" w:sz="4" w:space="0" w:color="37B4D1" w:themeColor="text1" w:themeTint="99"/>
        <w:insideH w:val="single" w:sz="4" w:space="0" w:color="37B4D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4753" w:themeColor="text1"/>
          <w:left w:val="single" w:sz="4" w:space="0" w:color="134753" w:themeColor="text1"/>
          <w:bottom w:val="single" w:sz="4" w:space="0" w:color="134753" w:themeColor="text1"/>
          <w:right w:val="single" w:sz="4" w:space="0" w:color="134753" w:themeColor="text1"/>
          <w:insideH w:val="nil"/>
        </w:tcBorders>
        <w:shd w:val="clear" w:color="auto" w:fill="134753" w:themeFill="text1"/>
      </w:tcPr>
    </w:tblStylePr>
    <w:tblStylePr w:type="lastRow">
      <w:rPr>
        <w:b/>
        <w:bCs/>
      </w:rPr>
      <w:tblPr/>
      <w:tcPr>
        <w:tcBorders>
          <w:top w:val="double" w:sz="4" w:space="0" w:color="37B4D1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text1" w:themeFillTint="33"/>
      </w:tcPr>
    </w:tblStylePr>
    <w:tblStylePr w:type="band1Horz">
      <w:tblPr/>
      <w:tcPr>
        <w:shd w:val="clear" w:color="auto" w:fill="BCE6EF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1E2B3B"/>
    <w:pPr>
      <w:spacing w:after="0" w:line="240" w:lineRule="auto"/>
    </w:pPr>
    <w:rPr>
      <w:color w:val="134753" w:themeColor="text1"/>
    </w:rPr>
    <w:tblPr>
      <w:tblStyleRowBandSize w:val="1"/>
      <w:tblStyleColBandSize w:val="1"/>
      <w:tblBorders>
        <w:top w:val="single" w:sz="4" w:space="0" w:color="37B4D1" w:themeColor="text1" w:themeTint="99"/>
        <w:left w:val="single" w:sz="4" w:space="0" w:color="37B4D1" w:themeColor="text1" w:themeTint="99"/>
        <w:bottom w:val="single" w:sz="4" w:space="0" w:color="37B4D1" w:themeColor="text1" w:themeTint="99"/>
        <w:right w:val="single" w:sz="4" w:space="0" w:color="37B4D1" w:themeColor="text1" w:themeTint="99"/>
        <w:insideH w:val="single" w:sz="4" w:space="0" w:color="37B4D1" w:themeColor="text1" w:themeTint="99"/>
        <w:insideV w:val="single" w:sz="4" w:space="0" w:color="37B4D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6EF" w:themeFill="text1" w:themeFillTint="33"/>
      </w:tcPr>
    </w:tblStylePr>
    <w:tblStylePr w:type="band1Horz">
      <w:tblPr/>
      <w:tcPr>
        <w:shd w:val="clear" w:color="auto" w:fill="BCE6EF" w:themeFill="text1" w:themeFillTint="33"/>
      </w:tcPr>
    </w:tblStylePr>
    <w:tblStylePr w:type="neCell">
      <w:tblPr/>
      <w:tcPr>
        <w:tcBorders>
          <w:bottom w:val="single" w:sz="4" w:space="0" w:color="37B4D1" w:themeColor="text1" w:themeTint="99"/>
        </w:tcBorders>
      </w:tcPr>
    </w:tblStylePr>
    <w:tblStylePr w:type="nwCell">
      <w:tblPr/>
      <w:tcPr>
        <w:tcBorders>
          <w:bottom w:val="single" w:sz="4" w:space="0" w:color="37B4D1" w:themeColor="text1" w:themeTint="99"/>
        </w:tcBorders>
      </w:tcPr>
    </w:tblStylePr>
    <w:tblStylePr w:type="seCell">
      <w:tblPr/>
      <w:tcPr>
        <w:tcBorders>
          <w:top w:val="single" w:sz="4" w:space="0" w:color="37B4D1" w:themeColor="text1" w:themeTint="99"/>
        </w:tcBorders>
      </w:tcPr>
    </w:tblStylePr>
    <w:tblStylePr w:type="swCell">
      <w:tblPr/>
      <w:tcPr>
        <w:tcBorders>
          <w:top w:val="single" w:sz="4" w:space="0" w:color="37B4D1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E2B3B"/>
    <w:pPr>
      <w:spacing w:after="0" w:line="240" w:lineRule="auto"/>
    </w:pPr>
    <w:rPr>
      <w:color w:val="2D788C" w:themeColor="accent1" w:themeShade="BF"/>
    </w:rPr>
    <w:tblPr>
      <w:tblStyleRowBandSize w:val="1"/>
      <w:tblStyleColBandSize w:val="1"/>
      <w:tblBorders>
        <w:top w:val="single" w:sz="4" w:space="0" w:color="87C7D9" w:themeColor="accent1" w:themeTint="99"/>
        <w:left w:val="single" w:sz="4" w:space="0" w:color="87C7D9" w:themeColor="accent1" w:themeTint="99"/>
        <w:bottom w:val="single" w:sz="4" w:space="0" w:color="87C7D9" w:themeColor="accent1" w:themeTint="99"/>
        <w:right w:val="single" w:sz="4" w:space="0" w:color="87C7D9" w:themeColor="accent1" w:themeTint="99"/>
        <w:insideH w:val="single" w:sz="4" w:space="0" w:color="87C7D9" w:themeColor="accent1" w:themeTint="99"/>
        <w:insideV w:val="single" w:sz="4" w:space="0" w:color="87C7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CF2" w:themeFill="accent1" w:themeFillTint="33"/>
      </w:tcPr>
    </w:tblStylePr>
    <w:tblStylePr w:type="band1Horz">
      <w:tblPr/>
      <w:tcPr>
        <w:shd w:val="clear" w:color="auto" w:fill="D7ECF2" w:themeFill="accent1" w:themeFillTint="33"/>
      </w:tcPr>
    </w:tblStylePr>
    <w:tblStylePr w:type="neCell">
      <w:tblPr/>
      <w:tcPr>
        <w:tcBorders>
          <w:bottom w:val="single" w:sz="4" w:space="0" w:color="87C7D9" w:themeColor="accent1" w:themeTint="99"/>
        </w:tcBorders>
      </w:tcPr>
    </w:tblStylePr>
    <w:tblStylePr w:type="nwCell">
      <w:tblPr/>
      <w:tcPr>
        <w:tcBorders>
          <w:bottom w:val="single" w:sz="4" w:space="0" w:color="87C7D9" w:themeColor="accent1" w:themeTint="99"/>
        </w:tcBorders>
      </w:tcPr>
    </w:tblStylePr>
    <w:tblStylePr w:type="seCell">
      <w:tblPr/>
      <w:tcPr>
        <w:tcBorders>
          <w:top w:val="single" w:sz="4" w:space="0" w:color="87C7D9" w:themeColor="accent1" w:themeTint="99"/>
        </w:tcBorders>
      </w:tcPr>
    </w:tblStylePr>
    <w:tblStylePr w:type="swCell">
      <w:tblPr/>
      <w:tcPr>
        <w:tcBorders>
          <w:top w:val="single" w:sz="4" w:space="0" w:color="87C7D9" w:themeColor="accent1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E2B3B"/>
    <w:pPr>
      <w:spacing w:after="0" w:line="240" w:lineRule="auto"/>
    </w:pPr>
    <w:rPr>
      <w:color w:val="416026" w:themeColor="accent6" w:themeShade="BF"/>
    </w:rPr>
    <w:tblPr>
      <w:tblStyleRowBandSize w:val="1"/>
      <w:tblStyleColBandSize w:val="1"/>
      <w:tblBorders>
        <w:top w:val="single" w:sz="4" w:space="0" w:color="99C771" w:themeColor="accent6" w:themeTint="99"/>
        <w:left w:val="single" w:sz="4" w:space="0" w:color="99C771" w:themeColor="accent6" w:themeTint="99"/>
        <w:bottom w:val="single" w:sz="4" w:space="0" w:color="99C771" w:themeColor="accent6" w:themeTint="99"/>
        <w:right w:val="single" w:sz="4" w:space="0" w:color="99C771" w:themeColor="accent6" w:themeTint="99"/>
        <w:insideH w:val="single" w:sz="4" w:space="0" w:color="99C771" w:themeColor="accent6" w:themeTint="99"/>
        <w:insideV w:val="single" w:sz="4" w:space="0" w:color="99C77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CF" w:themeFill="accent6" w:themeFillTint="33"/>
      </w:tcPr>
    </w:tblStylePr>
    <w:tblStylePr w:type="band1Horz">
      <w:tblPr/>
      <w:tcPr>
        <w:shd w:val="clear" w:color="auto" w:fill="DDECCF" w:themeFill="accent6" w:themeFillTint="33"/>
      </w:tcPr>
    </w:tblStylePr>
    <w:tblStylePr w:type="neCell">
      <w:tblPr/>
      <w:tcPr>
        <w:tcBorders>
          <w:bottom w:val="single" w:sz="4" w:space="0" w:color="99C771" w:themeColor="accent6" w:themeTint="99"/>
        </w:tcBorders>
      </w:tcPr>
    </w:tblStylePr>
    <w:tblStylePr w:type="nwCell">
      <w:tblPr/>
      <w:tcPr>
        <w:tcBorders>
          <w:bottom w:val="single" w:sz="4" w:space="0" w:color="99C771" w:themeColor="accent6" w:themeTint="99"/>
        </w:tcBorders>
      </w:tcPr>
    </w:tblStylePr>
    <w:tblStylePr w:type="seCell">
      <w:tblPr/>
      <w:tcPr>
        <w:tcBorders>
          <w:top w:val="single" w:sz="4" w:space="0" w:color="99C771" w:themeColor="accent6" w:themeTint="99"/>
        </w:tcBorders>
      </w:tcPr>
    </w:tblStylePr>
    <w:tblStylePr w:type="swCell">
      <w:tblPr/>
      <w:tcPr>
        <w:tcBorders>
          <w:top w:val="single" w:sz="4" w:space="0" w:color="99C77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E2B3B"/>
    <w:pPr>
      <w:spacing w:after="0" w:line="240" w:lineRule="auto"/>
    </w:pPr>
    <w:tblPr>
      <w:tblStyleRowBandSize w:val="1"/>
      <w:tblStyleColBandSize w:val="1"/>
      <w:tblBorders>
        <w:top w:val="single" w:sz="4" w:space="0" w:color="37B4D1" w:themeColor="text1" w:themeTint="99"/>
        <w:left w:val="single" w:sz="4" w:space="0" w:color="37B4D1" w:themeColor="text1" w:themeTint="99"/>
        <w:bottom w:val="single" w:sz="4" w:space="0" w:color="37B4D1" w:themeColor="text1" w:themeTint="99"/>
        <w:right w:val="single" w:sz="4" w:space="0" w:color="37B4D1" w:themeColor="text1" w:themeTint="99"/>
        <w:insideH w:val="single" w:sz="4" w:space="0" w:color="37B4D1" w:themeColor="text1" w:themeTint="99"/>
        <w:insideV w:val="single" w:sz="4" w:space="0" w:color="37B4D1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34753" w:themeColor="text1"/>
          <w:left w:val="single" w:sz="4" w:space="0" w:color="134753" w:themeColor="text1"/>
          <w:bottom w:val="single" w:sz="4" w:space="0" w:color="134753" w:themeColor="text1"/>
          <w:right w:val="single" w:sz="4" w:space="0" w:color="134753" w:themeColor="text1"/>
          <w:insideH w:val="nil"/>
          <w:insideV w:val="nil"/>
        </w:tcBorders>
        <w:shd w:val="clear" w:color="auto" w:fill="134753" w:themeFill="text1"/>
      </w:tcPr>
    </w:tblStylePr>
    <w:tblStylePr w:type="lastRow">
      <w:rPr>
        <w:b/>
        <w:bCs/>
      </w:rPr>
      <w:tblPr/>
      <w:tcPr>
        <w:tcBorders>
          <w:top w:val="double" w:sz="4" w:space="0" w:color="134753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text1" w:themeFillTint="33"/>
      </w:tcPr>
    </w:tblStylePr>
    <w:tblStylePr w:type="band1Horz">
      <w:tblPr/>
      <w:tcPr>
        <w:shd w:val="clear" w:color="auto" w:fill="BCE6EF" w:themeFill="text1" w:themeFillTint="33"/>
      </w:tcPr>
    </w:tblStylePr>
  </w:style>
  <w:style w:type="table" w:styleId="GridTable4-Accent4">
    <w:name w:val="Grid Table 4 Accent 4"/>
    <w:basedOn w:val="TableNormal"/>
    <w:uiPriority w:val="49"/>
    <w:rsid w:val="001E2B3B"/>
    <w:pPr>
      <w:spacing w:after="0" w:line="240" w:lineRule="auto"/>
    </w:pPr>
    <w:tblPr>
      <w:tblStyleRowBandSize w:val="1"/>
      <w:tblStyleColBandSize w:val="1"/>
      <w:tblBorders>
        <w:top w:val="single" w:sz="4" w:space="0" w:color="B5E3EF" w:themeColor="accent4" w:themeTint="99"/>
        <w:left w:val="single" w:sz="4" w:space="0" w:color="B5E3EF" w:themeColor="accent4" w:themeTint="99"/>
        <w:bottom w:val="single" w:sz="4" w:space="0" w:color="B5E3EF" w:themeColor="accent4" w:themeTint="99"/>
        <w:right w:val="single" w:sz="4" w:space="0" w:color="B5E3EF" w:themeColor="accent4" w:themeTint="99"/>
        <w:insideH w:val="single" w:sz="4" w:space="0" w:color="B5E3EF" w:themeColor="accent4" w:themeTint="99"/>
        <w:insideV w:val="single" w:sz="4" w:space="0" w:color="B5E3E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D1E5" w:themeColor="accent4"/>
          <w:left w:val="single" w:sz="4" w:space="0" w:color="85D1E5" w:themeColor="accent4"/>
          <w:bottom w:val="single" w:sz="4" w:space="0" w:color="85D1E5" w:themeColor="accent4"/>
          <w:right w:val="single" w:sz="4" w:space="0" w:color="85D1E5" w:themeColor="accent4"/>
          <w:insideH w:val="nil"/>
          <w:insideV w:val="nil"/>
        </w:tcBorders>
        <w:shd w:val="clear" w:color="auto" w:fill="85D1E5" w:themeFill="accent4"/>
      </w:tcPr>
    </w:tblStylePr>
    <w:tblStylePr w:type="lastRow">
      <w:rPr>
        <w:b/>
        <w:bCs/>
      </w:rPr>
      <w:tblPr/>
      <w:tcPr>
        <w:tcBorders>
          <w:top w:val="double" w:sz="4" w:space="0" w:color="85D1E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9" w:themeFill="accent4" w:themeFillTint="33"/>
      </w:tcPr>
    </w:tblStylePr>
    <w:tblStylePr w:type="band1Horz">
      <w:tblPr/>
      <w:tcPr>
        <w:shd w:val="clear" w:color="auto" w:fill="E6F5F9" w:themeFill="accent4" w:themeFillTint="33"/>
      </w:tcPr>
    </w:tblStylePr>
  </w:style>
  <w:style w:type="table" w:styleId="ListTable7Colorful">
    <w:name w:val="List Table 7 Colorful"/>
    <w:basedOn w:val="TableNormal"/>
    <w:uiPriority w:val="52"/>
    <w:rsid w:val="00296706"/>
    <w:pPr>
      <w:spacing w:after="0" w:line="240" w:lineRule="auto"/>
    </w:pPr>
    <w:rPr>
      <w:color w:val="134753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34753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34753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34753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34753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CE6EF" w:themeFill="text1" w:themeFillTint="33"/>
      </w:tcPr>
    </w:tblStylePr>
    <w:tblStylePr w:type="band1Horz">
      <w:tblPr/>
      <w:tcPr>
        <w:shd w:val="clear" w:color="auto" w:fill="BCE6E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15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D2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D28"/>
    <w:rPr>
      <w:rFonts w:asciiTheme="majorHAnsi" w:hAnsiTheme="majorHAns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D28"/>
    <w:rPr>
      <w:rFonts w:asciiTheme="majorHAnsi" w:hAnsiTheme="majorHAnsi"/>
      <w:b/>
      <w:bCs/>
      <w:sz w:val="20"/>
      <w:szCs w:val="20"/>
      <w:lang w:val="ro-RO"/>
    </w:rPr>
  </w:style>
  <w:style w:type="table" w:styleId="GridTable4-Accent1">
    <w:name w:val="Grid Table 4 Accent 1"/>
    <w:basedOn w:val="TableNormal"/>
    <w:uiPriority w:val="49"/>
    <w:rsid w:val="00475F3C"/>
    <w:pPr>
      <w:spacing w:after="0" w:line="240" w:lineRule="auto"/>
    </w:pPr>
    <w:tblPr>
      <w:tblStyleRowBandSize w:val="1"/>
      <w:tblStyleColBandSize w:val="1"/>
      <w:tblBorders>
        <w:top w:val="single" w:sz="4" w:space="0" w:color="87C7D9" w:themeColor="accent1" w:themeTint="99"/>
        <w:left w:val="single" w:sz="4" w:space="0" w:color="87C7D9" w:themeColor="accent1" w:themeTint="99"/>
        <w:bottom w:val="single" w:sz="4" w:space="0" w:color="87C7D9" w:themeColor="accent1" w:themeTint="99"/>
        <w:right w:val="single" w:sz="4" w:space="0" w:color="87C7D9" w:themeColor="accent1" w:themeTint="99"/>
        <w:insideH w:val="single" w:sz="4" w:space="0" w:color="87C7D9" w:themeColor="accent1" w:themeTint="99"/>
        <w:insideV w:val="single" w:sz="4" w:space="0" w:color="87C7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A1BC" w:themeColor="accent1"/>
          <w:left w:val="single" w:sz="4" w:space="0" w:color="3CA1BC" w:themeColor="accent1"/>
          <w:bottom w:val="single" w:sz="4" w:space="0" w:color="3CA1BC" w:themeColor="accent1"/>
          <w:right w:val="single" w:sz="4" w:space="0" w:color="3CA1BC" w:themeColor="accent1"/>
          <w:insideH w:val="nil"/>
          <w:insideV w:val="nil"/>
        </w:tcBorders>
        <w:shd w:val="clear" w:color="auto" w:fill="3CA1BC" w:themeFill="accent1"/>
      </w:tcPr>
    </w:tblStylePr>
    <w:tblStylePr w:type="lastRow">
      <w:rPr>
        <w:b/>
        <w:bCs/>
      </w:rPr>
      <w:tblPr/>
      <w:tcPr>
        <w:tcBorders>
          <w:top w:val="double" w:sz="4" w:space="0" w:color="3CA1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1" w:themeFillTint="33"/>
      </w:tcPr>
    </w:tblStylePr>
    <w:tblStylePr w:type="band1Horz">
      <w:tblPr/>
      <w:tcPr>
        <w:shd w:val="clear" w:color="auto" w:fill="D7ECF2" w:themeFill="accent1" w:themeFillTint="33"/>
      </w:tcPr>
    </w:tblStylePr>
  </w:style>
  <w:style w:type="table" w:styleId="GridTable2">
    <w:name w:val="Grid Table 2"/>
    <w:basedOn w:val="TableNormal"/>
    <w:uiPriority w:val="47"/>
    <w:rsid w:val="00475F3C"/>
    <w:pPr>
      <w:spacing w:after="0" w:line="240" w:lineRule="auto"/>
    </w:pPr>
    <w:tblPr>
      <w:tblStyleRowBandSize w:val="1"/>
      <w:tblStyleColBandSize w:val="1"/>
      <w:tblBorders>
        <w:top w:val="single" w:sz="2" w:space="0" w:color="37B4D1" w:themeColor="text1" w:themeTint="99"/>
        <w:bottom w:val="single" w:sz="2" w:space="0" w:color="37B4D1" w:themeColor="text1" w:themeTint="99"/>
        <w:insideH w:val="single" w:sz="2" w:space="0" w:color="37B4D1" w:themeColor="text1" w:themeTint="99"/>
        <w:insideV w:val="single" w:sz="2" w:space="0" w:color="37B4D1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B4D1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B4D1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EF" w:themeFill="text1" w:themeFillTint="33"/>
      </w:tcPr>
    </w:tblStylePr>
    <w:tblStylePr w:type="band1Horz">
      <w:tblPr/>
      <w:tcPr>
        <w:shd w:val="clear" w:color="auto" w:fill="BCE6EF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A0BFB"/>
    <w:rPr>
      <w:color w:val="134753" w:themeColor="followedHyperlink"/>
      <w:u w:val="single"/>
    </w:rPr>
  </w:style>
  <w:style w:type="paragraph" w:styleId="NoSpacing">
    <w:name w:val="No Spacing"/>
    <w:uiPriority w:val="1"/>
    <w:qFormat/>
    <w:rsid w:val="003A44DA"/>
    <w:pPr>
      <w:spacing w:after="0" w:line="240" w:lineRule="auto"/>
      <w:jc w:val="both"/>
    </w:pPr>
    <w:rPr>
      <w:sz w:val="24"/>
    </w:rPr>
  </w:style>
  <w:style w:type="table" w:styleId="ListTable4-Accent1">
    <w:name w:val="List Table 4 Accent 1"/>
    <w:basedOn w:val="TableNormal"/>
    <w:uiPriority w:val="49"/>
    <w:rsid w:val="003A44DA"/>
    <w:pPr>
      <w:spacing w:after="0" w:line="240" w:lineRule="auto"/>
    </w:pPr>
    <w:tblPr>
      <w:tblStyleRowBandSize w:val="1"/>
      <w:tblStyleColBandSize w:val="1"/>
      <w:tblBorders>
        <w:top w:val="single" w:sz="4" w:space="0" w:color="87C7D9" w:themeColor="accent1" w:themeTint="99"/>
        <w:left w:val="single" w:sz="4" w:space="0" w:color="87C7D9" w:themeColor="accent1" w:themeTint="99"/>
        <w:bottom w:val="single" w:sz="4" w:space="0" w:color="87C7D9" w:themeColor="accent1" w:themeTint="99"/>
        <w:right w:val="single" w:sz="4" w:space="0" w:color="87C7D9" w:themeColor="accent1" w:themeTint="99"/>
        <w:insideH w:val="single" w:sz="4" w:space="0" w:color="87C7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A1BC" w:themeColor="accent1"/>
          <w:left w:val="single" w:sz="4" w:space="0" w:color="3CA1BC" w:themeColor="accent1"/>
          <w:bottom w:val="single" w:sz="4" w:space="0" w:color="3CA1BC" w:themeColor="accent1"/>
          <w:right w:val="single" w:sz="4" w:space="0" w:color="3CA1BC" w:themeColor="accent1"/>
          <w:insideH w:val="nil"/>
        </w:tcBorders>
        <w:shd w:val="clear" w:color="auto" w:fill="3CA1BC" w:themeFill="accent1"/>
      </w:tcPr>
    </w:tblStylePr>
    <w:tblStylePr w:type="lastRow">
      <w:rPr>
        <w:b/>
        <w:bCs/>
      </w:rPr>
      <w:tblPr/>
      <w:tcPr>
        <w:tcBorders>
          <w:top w:val="double" w:sz="4" w:space="0" w:color="87C7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1" w:themeFillTint="33"/>
      </w:tcPr>
    </w:tblStylePr>
    <w:tblStylePr w:type="band1Horz">
      <w:tblPr/>
      <w:tcPr>
        <w:shd w:val="clear" w:color="auto" w:fill="D7ECF2" w:themeFill="accent1" w:themeFillTint="33"/>
      </w:tcPr>
    </w:tblStylePr>
  </w:style>
  <w:style w:type="table" w:styleId="TableGrid">
    <w:name w:val="Table Grid"/>
    <w:basedOn w:val="TableNormal"/>
    <w:uiPriority w:val="39"/>
    <w:rsid w:val="003A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fonduri-ue.ro/posdru/index.php/posdru/informatii-generale/informatii-pos-d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so.eurostat.ec.europa.eu/nui/show.do?dataset=ilc_di0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social/main.jsp?catId=738&amp;langId=en&amp;pubId=8346&amp;furtherPubs=y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ep.ro/proiecte/2019/600/30/8/em852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IVITTA 2019">
      <a:dk1>
        <a:srgbClr val="134753"/>
      </a:dk1>
      <a:lt1>
        <a:srgbClr val="FFFFFF"/>
      </a:lt1>
      <a:dk2>
        <a:srgbClr val="000000"/>
      </a:dk2>
      <a:lt2>
        <a:srgbClr val="C2E8F1"/>
      </a:lt2>
      <a:accent1>
        <a:srgbClr val="3CA1BC"/>
      </a:accent1>
      <a:accent2>
        <a:srgbClr val="48B9D5"/>
      </a:accent2>
      <a:accent3>
        <a:srgbClr val="502523"/>
      </a:accent3>
      <a:accent4>
        <a:srgbClr val="85D1E5"/>
      </a:accent4>
      <a:accent5>
        <a:srgbClr val="ABCD3A"/>
      </a:accent5>
      <a:accent6>
        <a:srgbClr val="588133"/>
      </a:accent6>
      <a:hlink>
        <a:srgbClr val="00ABC0"/>
      </a:hlink>
      <a:folHlink>
        <a:srgbClr val="13475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Ver16</b:Tag>
    <b:SourceType>Report</b:SourceType>
    <b:Guid>{4B59071C-28B7-4B19-A6EC-EE7B03D9914B}</b:Guid>
    <b:Title>Versiunea conslidată a Tratatului privind Uniunea Europeană și a Tratatului privind funcționarea Uniunii Europene</b:Title>
    <b:Year>2016</b:Year>
    <b:Publisher>Comisia Europeană</b:Publisher>
    <b:City>Bruxelles</b:City>
    <b:Author>
      <b:Author>
        <b:NameList>
          <b:Person>
            <b:Last>CE</b:Last>
          </b:Person>
        </b:NameList>
      </b:Author>
    </b:Author>
    <b:RefOrder>26</b:RefOrder>
  </b:Source>
  <b:Source>
    <b:Tag>Com07</b:Tag>
    <b:SourceType>Report</b:SourceType>
    <b:Guid>{5E877261-48A7-40A7-937A-14E29F07AAC7}</b:Guid>
    <b:LCID>ro-RO</b:LCID>
    <b:Author>
      <b:Author>
        <b:Corporate>Comisia Prezidențială</b:Corporate>
      </b:Author>
    </b:Author>
    <b:Title>România educaţiei, România cercetării</b:Title>
    <b:Year>2007</b:Year>
    <b:Publisher>Președinția României</b:Publisher>
    <b:City>București</b:City>
    <b:RefOrder>27</b:RefOrder>
  </b:Source>
  <b:Source>
    <b:Tag>Adm08</b:Tag>
    <b:SourceType>Misc</b:SourceType>
    <b:Guid>{7765525D-F5ED-4677-B6BA-C896998C13F1}</b:Guid>
    <b:Title>Pactul Național pentru Educație</b:Title>
    <b:Year>2008</b:Year>
    <b:Publisher>Administrația Prezidențială</b:Publisher>
    <b:City>București</b:City>
    <b:RefOrder>28</b:RefOrder>
  </b:Source>
  <b:Source>
    <b:Tag>Adm081</b:Tag>
    <b:SourceType>Report</b:SourceType>
    <b:Guid>{D320E563-96DE-4B5A-92A1-5C6761DFD585}</b:Guid>
    <b:Author>
      <b:Author>
        <b:Corporate>Administrația Prezidențială</b:Corporate>
      </b:Author>
    </b:Author>
    <b:Title>Strategia Educație și cercetare pentru societatea cunoașterii</b:Title>
    <b:Year>2008</b:Year>
    <b:City>București</b:City>
    <b:Publisher>Administrația Prezidențială</b:Publisher>
    <b:RefOrder>29</b:RefOrder>
  </b:Source>
  <b:Source>
    <b:Tag>Adm18</b:Tag>
    <b:SourceType>Book</b:SourceType>
    <b:Guid>{AD29E89B-584F-44C0-A075-6096B4A6FC5A}</b:Guid>
    <b:Author>
      <b:Author>
        <b:Corporate>Administrația Prezidențială</b:Corporate>
      </b:Author>
    </b:Author>
    <b:Title>România Educată - Viziune și Strategie 2018-2030</b:Title>
    <b:Year>2018</b:Year>
    <b:City>București</b:City>
    <b:RefOrder>11</b:RefOrder>
  </b:Source>
  <b:Source>
    <b:Tag>MEC19</b:Tag>
    <b:SourceType>Report</b:SourceType>
    <b:Guid>{A6169159-19A3-4154-8384-3169E293412A}</b:Guid>
    <b:Title>Raport privind starea învățământului preuniversitar din România 2018-2019</b:Title>
    <b:Year>2019</b:Year>
    <b:City>București</b:City>
    <b:Publisher>Ministerul Educației și Cercetării</b:Publisher>
    <b:Author>
      <b:Author>
        <b:Corporate>MEC</b:Corporate>
      </b:Author>
    </b:Author>
    <b:RefOrder>30</b:RefOrder>
  </b:Source>
  <b:Source>
    <b:Tag>MEN18</b:Tag>
    <b:SourceType>Report</b:SourceType>
    <b:Guid>{BDFB7013-BB66-465B-AD7F-25BBEDC2FD6C}</b:Guid>
    <b:Author>
      <b:Author>
        <b:Corporate>MEN</b:Corporate>
      </b:Author>
    </b:Author>
    <b:Title>Raport privind starea învățământului preuniversitar din România 2017-2018</b:Title>
    <b:Year>2018</b:Year>
    <b:Publisher>Ministerul Educației Naționale</b:Publisher>
    <b:City>București</b:City>
    <b:RefOrder>31</b:RefOrder>
  </b:Source>
  <b:Source>
    <b:Tag>Vas20</b:Tag>
    <b:SourceType>Report</b:SourceType>
    <b:Guid>{5836C727-49A7-4E3B-AB4D-0EFA891B7B64}</b:Guid>
    <b:Author>
      <b:Author>
        <b:NameList>
          <b:Person>
            <b:Last>Vasile</b:Last>
            <b:First>Mihai</b:First>
          </b:Person>
          <b:Person>
            <b:Last>Muscă</b:Last>
            <b:First>Mădălina</b:First>
          </b:Person>
          <b:Person>
            <b:Last>Angi</b:Last>
            <b:First>Daniela</b:First>
          </b:Person>
          <b:Person>
            <b:Last>Bădescu</b:Last>
            <b:First>Gabriel</b:First>
          </b:Person>
          <b:Person>
            <b:Last>Florian</b:Last>
            <b:First>Bogdan</b:First>
          </b:Person>
          <b:Person>
            <b:Last>Țoc</b:Last>
            <b:First>Sebastian</b:First>
          </b:Person>
        </b:NameList>
      </b:Author>
    </b:Author>
    <b:Title>Ce ne spun noile rezultate PISA despre inegalitățile educaționale din România?</b:Title>
    <b:Year>2020</b:Year>
    <b:Publisher>Institutul pentru Solidaritate Socială</b:Publisher>
    <b:City>București</b:City>
    <b:RefOrder>25</b:RefOrder>
  </b:Source>
  <b:Source>
    <b:Tag>MEN181</b:Tag>
    <b:SourceType>Report</b:SourceType>
    <b:Guid>{B3C2BF1A-8D6B-401C-A3A1-BC5C3676F25D}</b:Guid>
    <b:Author>
      <b:Author>
        <b:Corporate>MEN</b:Corporate>
      </b:Author>
    </b:Author>
    <b:Title>Raport privind starea învățământului superior din România 2017-2018</b:Title>
    <b:Year>2018</b:Year>
    <b:Publisher>Ministerul Educației Naționale</b:Publisher>
    <b:City>București</b:City>
    <b:RefOrder>32</b:RefOrder>
  </b:Source>
  <b:Source>
    <b:Tag>ISJ18</b:Tag>
    <b:SourceType>Report</b:SourceType>
    <b:Guid>{46A889E0-7AED-4DD7-9693-5BE5378EB3D8}</b:Guid>
    <b:Author>
      <b:Author>
        <b:Corporate>ISJ Tulcea</b:Corporate>
      </b:Author>
    </b:Author>
    <b:Title>Raportul privind starea învățământului tulcean în anul școlar 2017-2018</b:Title>
    <b:Year>2018</b:Year>
    <b:Publisher>Inspectoratul Școlar Județean Tulcea</b:Publisher>
    <b:City>Tulcea</b:City>
    <b:RefOrder>33</b:RefOrder>
  </b:Source>
  <b:Source>
    <b:Tag>FRA18</b:Tag>
    <b:SourceType>Report</b:SourceType>
    <b:Guid>{6A464374-1758-431F-9A01-9775EAEA520E}</b:Guid>
    <b:Author>
      <b:Author>
        <b:Corporate>FRA</b:Corporate>
      </b:Author>
    </b:Author>
    <b:Title> Second European Union Minorities and Discrimination Survey. Roma -Selected findings. European Union Agency for Fundamental Rights</b:Title>
    <b:Year>2018</b:Year>
    <b:Publisher>European Union Agency for Fundamental Rights</b:Publisher>
    <b:City>Luxemburg</b:City>
    <b:RefOrder>34</b:RefOrder>
  </b:Source>
  <b:Source>
    <b:Tag>Dav19</b:Tag>
    <b:SourceType>JournalArticle</b:SourceType>
    <b:Guid>{BB28034C-69CD-461B-8571-4B1C1447EEFE}</b:Guid>
    <b:Title>Metarankingul Universitar-2019</b:Title>
    <b:Year>2019</b:Year>
    <b:Author>
      <b:Author>
        <b:NameList>
          <b:Person>
            <b:Last>David</b:Last>
            <b:First>Daniel</b:First>
          </b:Person>
          <b:Person>
            <b:Last>Andronesi</b:Last>
            <b:First>Ovidiu</b:First>
          </b:Person>
          <b:Person>
            <b:Last>Banabic</b:Last>
            <b:First>Dorel</b:First>
          </b:Person>
          <b:Person>
            <b:Last>Buzea</b:Last>
            <b:First>Carmen</b:First>
          </b:Person>
          <b:Person>
            <b:Last>Florian</b:Last>
            <b:First>Bogdan</b:First>
          </b:Person>
          <b:Person>
            <b:Last>Matu</b:Last>
            <b:First>Silviu</b:First>
          </b:Person>
          <b:Person>
            <b:Last>Miroiu</b:Last>
            <b:First>Adrian</b:First>
          </b:Person>
          <b:Person>
            <b:Last>Vlăsceanu</b:Last>
            <b:First>Lazăr</b:First>
          </b:Person>
        </b:NameList>
      </b:Author>
    </b:Author>
    <b:RefOrder>35</b:RefOrder>
  </b:Source>
  <b:Source>
    <b:Tag>Țoc18</b:Tag>
    <b:SourceType>Book</b:SourceType>
    <b:Guid>{3AAD1F8F-7FF0-4E61-A518-40D90F54D530}</b:Guid>
    <b:Title>Clasă și educație. Inegalitate și reproducere socială în învățământul românesc</b:Title>
    <b:Year>2018</b:Year>
    <b:City>București</b:City>
    <b:Author>
      <b:Author>
        <b:NameList>
          <b:Person>
            <b:Last>Țoc</b:Last>
            <b:First>Sebastian</b:First>
          </b:Person>
        </b:NameList>
      </b:Author>
    </b:Author>
    <b:Publisher>Editura Pro Unviersitaria</b:Publisher>
    <b:RefOrder>1</b:RefOrder>
  </b:Source>
  <b:Source>
    <b:Tag>Adm07</b:Tag>
    <b:SourceType>Report</b:SourceType>
    <b:Guid>{04096718-20EB-4C7E-A46A-00102A5CDC9E}</b:Guid>
    <b:Title>România educației, România cercetării</b:Title>
    <b:Year>2007</b:Year>
    <b:Author>
      <b:Author>
        <b:Corporate>Administrația Prezidențială</b:Corporate>
      </b:Author>
    </b:Author>
    <b:RefOrder>2</b:RefOrder>
  </b:Source>
  <b:Source>
    <b:Tag>Placeholder1</b:Tag>
    <b:SourceType>Report</b:SourceType>
    <b:Guid>{AE3A2494-C73C-4A60-B38A-E2DB7DD348AD}</b:Guid>
    <b:Author>
      <b:Author>
        <b:Corporate>Administrația Prezidențială</b:Corporate>
      </b:Author>
    </b:Author>
    <b:Title>Strategia Educație și cercetare pentru societatea cunoașterii</b:Title>
    <b:Year>2008</b:Year>
    <b:Publisher>Administrația Prezidențială</b:Publisher>
    <b:RefOrder>3</b:RefOrder>
  </b:Source>
  <b:Source>
    <b:Tag>Pac08</b:Tag>
    <b:SourceType>Report</b:SourceType>
    <b:Guid>{B698FBBD-A637-4694-8A94-39DD97F2381D}</b:Guid>
    <b:Title>Pactul Național pentru Educație</b:Title>
    <b:Year>2008</b:Year>
    <b:Publisher>Administrația Prezidențială</b:Publisher>
    <b:RefOrder>4</b:RefOrder>
  </b:Source>
  <b:Source>
    <b:Tag>MEC15</b:Tag>
    <b:SourceType>Report</b:SourceType>
    <b:Guid>{5538605C-2D17-4B68-84BE-E14E4EEC5C32}</b:Guid>
    <b:Author>
      <b:Author>
        <b:Corporate>MECS</b:Corporate>
      </b:Author>
    </b:Author>
    <b:Title>Strategia privind reducerea părăsirii timpurii a școlii în România</b:Title>
    <b:Year>2015</b:Year>
    <b:Publisher>Ministerul Educației și Cercetării Științifice</b:Publisher>
    <b:City>București</b:City>
    <b:RefOrder>5</b:RefOrder>
  </b:Source>
  <b:Source>
    <b:Tag>Uni15</b:Tag>
    <b:SourceType>Report</b:SourceType>
    <b:Guid>{43626660-A45B-477E-BF73-8C22425FBAE2}</b:Guid>
    <b:Title>Versiunea conslidată a Tratatului privind Uniunea Europeană și a Tratatului privind funcționarea Uniunii Europene</b:Title>
    <b:Year>2015</b:Year>
    <b:Author>
      <b:Author>
        <b:Corporate>UE</b:Corporate>
      </b:Author>
    </b:Author>
    <b:Publisher>Comisia Europeană</b:Publisher>
    <b:City>Bruxelles</b:City>
    <b:RefOrder>6</b:RefOrder>
  </b:Source>
  <b:Source>
    <b:Tag>MMF15</b:Tag>
    <b:SourceType>Report</b:SourceType>
    <b:Guid>{06B6C8E1-FD3A-476F-BC46-29C1375CF677}</b:Guid>
    <b:Title>Strategia națională privind incluziunea socială și reducerea sărăciei 2015-2020</b:Title>
    <b:Year>2015</b:Year>
    <b:Author>
      <b:Author>
        <b:Corporate>MMFPSPV</b:Corporate>
      </b:Author>
    </b:Author>
    <b:Publisher>Ministerul Muncii, Familiei, Protecției Sociale și Persoanelor Vârstnice</b:Publisher>
    <b:City>București</b:City>
    <b:RefOrder>7</b:RefOrder>
  </b:Source>
  <b:Source>
    <b:Tag>MEC10</b:Tag>
    <b:SourceType>Report</b:SourceType>
    <b:Guid>{DA4425BE-13C5-46FB-8912-924CE1A37D30}</b:Guid>
    <b:Author>
      <b:Author>
        <b:Corporate>MECTS</b:Corporate>
      </b:Author>
    </b:Author>
    <b:Title>Raport asupra stării sistemului național de învățământ în anul 2009-2010</b:Title>
    <b:Year>2010</b:Year>
    <b:Publisher>Ministerul Educației, Cercetării, Tineretului și Sportului</b:Publisher>
    <b:City>București</b:City>
    <b:RefOrder>8</b:RefOrder>
  </b:Source>
  <b:Source>
    <b:Tag>MEC12</b:Tag>
    <b:SourceType>Report</b:SourceType>
    <b:Guid>{040D6428-5F6E-4A29-8389-17E2B828F8C5}</b:Guid>
    <b:Author>
      <b:Author>
        <b:Corporate>MECTS</b:Corporate>
      </b:Author>
    </b:Author>
    <b:Title>Raport asupra stării sistemului național de învățământ preuniversitar din România</b:Title>
    <b:Year>2012</b:Year>
    <b:Publisher>Ministerul Educației, Cercetării, Tineretului și Sportului</b:Publisher>
    <b:City>București</b:City>
    <b:RefOrder>9</b:RefOrder>
  </b:Source>
  <b:Source>
    <b:Tag>Str15</b:Tag>
    <b:SourceType>Report</b:SourceType>
    <b:Guid>{CA6FE07F-4FBB-486F-9A06-8EBA848C01DA}</b:Guid>
    <b:Title>Strategia privind reducerea părăsirii timpurii a școlii în România</b:Title>
    <b:Year>2015</b:Year>
    <b:Publisher>Guvernul României</b:Publisher>
    <b:City>București</b:City>
    <b:RefOrder>10</b:RefOrder>
  </b:Source>
  <b:Source>
    <b:Tag>Str151</b:Tag>
    <b:SourceType>Report</b:SourceType>
    <b:Guid>{6E2BD029-A82F-4763-970F-FDA2E4D01AAD}</b:Guid>
    <b:Title> Strategia naţională pentru Învăţarea pe tot parcursul vieţii</b:Title>
    <b:Year>2015</b:Year>
    <b:Publisher>Guvernul României</b:Publisher>
    <b:City>București</b:City>
    <b:RefOrder>12</b:RefOrder>
  </b:Source>
  <b:Source>
    <b:Tag>Str16</b:Tag>
    <b:SourceType>Report</b:SourceType>
    <b:Guid>{5BD920F4-33A6-449A-8D43-BB02F9C52393}</b:Guid>
    <b:Title>Strategia educației și formării profesionale (VET) din România pentru perioada 2016-2020 </b:Title>
    <b:Year>2016</b:Year>
    <b:Publisher>Guvernul României</b:Publisher>
    <b:City>București</b:City>
    <b:RefOrder>13</b:RefOrder>
  </b:Source>
  <b:Source>
    <b:Tag>Str17</b:Tag>
    <b:SourceType>Report</b:SourceType>
    <b:Guid>{AD3D65E8-FB9A-4ECA-A16E-4A5FED3ABB11}</b:Guid>
    <b:Title>Strategia națională privind modernizarea infrastructurii educaționale 2017-2023</b:Title>
    <b:Year>2017</b:Year>
    <b:Publisher>Guvernul României</b:Publisher>
    <b:City>București</b:City>
    <b:RefOrder>14</b:RefOrder>
  </b:Source>
  <b:Source>
    <b:Tag>Str152</b:Tag>
    <b:SourceType>Report</b:SourceType>
    <b:Guid>{EA5BA166-FE1A-4415-B860-DC6D2E198F3A}</b:Guid>
    <b:Title>Strategia Națională pentru Învățământul Terțiar 2015 - 2020</b:Title>
    <b:Year>2015</b:Year>
    <b:Publisher>Guvernul României</b:Publisher>
    <b:City>București</b:City>
    <b:RefOrder>15</b:RefOrder>
  </b:Source>
  <b:Source>
    <b:Tag>Cel18</b:Tag>
    <b:SourceType>Report</b:SourceType>
    <b:Guid>{8B9CBF43-8B84-4570-9255-09866871D464}</b:Guid>
    <b:Title>Strategia Națională pentru Dezvoltarea Durabilă a României 2030</b:Title>
    <b:Year>2018</b:Year>
    <b:Publisher>Paideia</b:Publisher>
    <b:City>București</b:City>
    <b:Author>
      <b:Author>
        <b:NameList>
          <b:Person>
            <b:Last>Celac</b:Last>
            <b:First>Sergiu</b:First>
          </b:Person>
          <b:Person>
            <b:Last>Vlădineanu</b:Last>
            <b:First>Angheluță</b:First>
          </b:Person>
        </b:NameList>
      </b:Author>
    </b:Author>
    <b:RefOrder>16</b:RefOrder>
  </b:Source>
  <b:Source>
    <b:Tag>ONU17</b:Tag>
    <b:SourceType>Report</b:SourceType>
    <b:Guid>{CEF18380-0CBC-4B25-A91D-F02FD1294E7D}</b:Guid>
    <b:Author>
      <b:Author>
        <b:Corporate>ONU</b:Corporate>
      </b:Author>
    </b:Author>
    <b:Title>Transforming our World: The 2030 Agenda for Sustainable Development</b:Title>
    <b:Year>2017</b:Year>
    <b:Publisher>Springer Publishing Company</b:Publisher>
    <b:City>New York</b:City>
    <b:RefOrder>17</b:RefOrder>
  </b:Source>
  <b:Source>
    <b:Tag>MEN19</b:Tag>
    <b:SourceType>Report</b:SourceType>
    <b:Guid>{3D3CE90C-F5CF-40DA-ACC8-45F3484F5886}</b:Guid>
    <b:Author>
      <b:Author>
        <b:Corporate>MEN</b:Corporate>
      </b:Author>
    </b:Author>
    <b:Title>Educația ne unește – Viziune asupra viitorului educației în România</b:Title>
    <b:Year>2019</b:Year>
    <b:Publisher>Ministerul Educației Naționale</b:Publisher>
    <b:City>București</b:City>
    <b:RefOrder>18</b:RefOrder>
  </b:Source>
  <b:Source>
    <b:Tag>Ban17</b:Tag>
    <b:SourceType>Report</b:SourceType>
    <b:Guid>{8F79472B-74BC-4290-9403-A8EAB0E35F77}</b:Guid>
    <b:Author>
      <b:Author>
        <b:Corporate>Banca Mondială</b:Corporate>
      </b:Author>
    </b:Author>
    <b:Title>Analiza multidimensională a educației și formării profesionale din perspectiva utilizării datelor în infrastructură</b:Title>
    <b:Year>2017</b:Year>
    <b:Publisher>Ministerul Educației Naționale</b:Publisher>
    <b:City>București</b:City>
    <b:RefOrder>19</b:RefOrder>
  </b:Source>
  <b:Source>
    <b:Tag>Placeholder2</b:Tag>
    <b:SourceType>Report</b:SourceType>
    <b:Guid>{F67ED394-2B78-4EB7-B043-499017D6D6F1}</b:Guid>
    <b:Author>
      <b:Author>
        <b:Corporate>MEN</b:Corporate>
      </b:Author>
    </b:Author>
    <b:Title>Raport privind starea învățământului preuniversitar din România</b:Title>
    <b:Year>2018</b:Year>
    <b:Publisher>Ministerul Educației Naționale</b:Publisher>
    <b:City>București</b:City>
    <b:RefOrder>20</b:RefOrder>
  </b:Source>
  <b:Source>
    <b:Tag>MEC11</b:Tag>
    <b:SourceType>Report</b:SourceType>
    <b:Guid>{CC4A19EF-319C-4ADC-B01C-3A6F1528D30D}</b:Guid>
    <b:Author>
      <b:Author>
        <b:Corporate>MECTS</b:Corporate>
      </b:Author>
    </b:Author>
    <b:Title>Raport privind starea învățământului preuniversitar din România</b:Title>
    <b:Year>2011</b:Year>
    <b:Publisher>Ministerul Educației, Cercetării, Tineretului și Sportului</b:Publisher>
    <b:City>București</b:City>
    <b:RefOrder>21</b:RefOrder>
  </b:Source>
  <b:Source>
    <b:Tag>MEC191</b:Tag>
    <b:SourceType>Report</b:SourceType>
    <b:Guid>{D2EFA6E5-AAE8-427E-90F5-3564F92E6C51}</b:Guid>
    <b:Author>
      <b:Author>
        <b:Corporate>MEC</b:Corporate>
      </b:Author>
    </b:Author>
    <b:Title>Raport privind starea învățământului preuniversitar din România 2018-2019</b:Title>
    <b:Year>2019</b:Year>
    <b:Publisher>Ministerul Educației și Cercetării</b:Publisher>
    <b:City>București</b:City>
    <b:RefOrder>22</b:RefOrder>
  </b:Source>
  <b:Source>
    <b:Tag>MEC14</b:Tag>
    <b:SourceType>Report</b:SourceType>
    <b:Guid>{EBEECC97-9AC2-4F32-899E-23E2F3924DAC}</b:Guid>
    <b:Author>
      <b:Author>
        <b:Corporate>MECS</b:Corporate>
      </b:Author>
    </b:Author>
    <b:Title>Raport privind starea învățământului preuniversitar din România</b:Title>
    <b:Year>2014</b:Year>
    <b:Publisher>Ministerul Educației și Cercetării Științifice</b:Publisher>
    <b:City>București</b:City>
    <b:RefOrder>23</b:RefOrder>
  </b:Source>
  <b:Source>
    <b:Tag>MEN16</b:Tag>
    <b:SourceType>Report</b:SourceType>
    <b:Guid>{CC87C524-6565-476D-AD68-BC12BE9E9FAA}</b:Guid>
    <b:Author>
      <b:Author>
        <b:Corporate>MEN</b:Corporate>
      </b:Author>
    </b:Author>
    <b:Title>Raport privind starea învățământului preuniversitar din România</b:Title>
    <b:Year>2016</b:Year>
    <b:Publisher>Ministerul Educației Naționale</b:Publisher>
    <b:City>București</b:City>
    <b:RefOrder>24</b:RefOrder>
  </b:Source>
  <b:Source>
    <b:Tag>UNI10</b:Tag>
    <b:SourceType>Report</b:SourceType>
    <b:Guid>{881C5242-8D65-4C14-B68C-77CE5E579ED7}</b:Guid>
    <b:Author>
      <b:Author>
        <b:Corporate>UNICEF</b:Corporate>
        <b:NameList>
          <b:Person>
            <b:Last>Horga</b:Last>
            <b:First>Irina</b:First>
          </b:Person>
          <b:Person>
            <b:Last>Jigău</b:Last>
            <b:First>Mihaela</b:First>
          </b:Person>
        </b:NameList>
      </b:Author>
    </b:Author>
    <b:Title>Situația copiilor cu cerințe educative speciale incluși în învățământul de masa</b:Title>
    <b:Year>2010</b:Year>
    <b:Publisher>Vanemonde</b:Publisher>
    <b:City>București</b:City>
    <b:RefOrder>25</b:RefOrder>
  </b:Source>
  <b:Source>
    <b:Tag>UNI16</b:Tag>
    <b:SourceType>Report</b:SourceType>
    <b:Guid>{67D2DB11-B307-406F-9009-C16EBEC96D88}</b:Guid>
    <b:Author>
      <b:Author>
        <b:NameList>
          <b:Person>
            <b:Last>Horga</b:Last>
            <b:First>Irina</b:First>
          </b:Person>
        </b:NameList>
      </b:Author>
    </b:Author>
    <b:Title>Educație pentru toți și pentru fiecare: accesul și participarea la educație a copiilor cu dizabilități și/sau CES din școlile participante la Campania UNICEF Hai la Școală</b:Title>
    <b:Year>2016</b:Year>
    <b:Publisher>Editura Alpha MDN</b:Publisher>
    <b:City>Buzău</b:City>
    <b:RefOrder>26</b:RefOrder>
  </b:Source>
  <b:Source>
    <b:Tag>Com10</b:Tag>
    <b:SourceType>Report</b:SourceType>
    <b:Guid>{9C384A48-A6AF-40F0-BD26-EB4CD9243CD5}</b:Guid>
    <b:Author>
      <b:Author>
        <b:Corporate>Comisia Europeană</b:Corporate>
      </b:Author>
    </b:Author>
    <b:Title>Strategia europeană 2010-2020 pentru persoanele cu handicap</b:Title>
    <b:Year>2010</b:Year>
    <b:RefOrder>27</b:RefOrder>
  </b:Source>
  <b:Source>
    <b:Tag>MMP20</b:Tag>
    <b:SourceType>Report</b:SourceType>
    <b:Guid>{C1924E9F-23E1-446E-A422-73CFEDA49FEC}</b:Guid>
    <b:Author>
      <b:Author>
        <b:Corporate>MMPS</b:Corporate>
      </b:Author>
    </b:Author>
    <b:Title>Buletin statistic - Evoluţii în domeniul protecţiei persoanelor cu dizabilităţi</b:Title>
    <b:Year>2020</b:Year>
    <b:Publisher>Ministerul Muncii și Protecției Sociale</b:Publisher>
    <b:City>București</b:City>
    <b:RefOrder>28</b:RefOrder>
  </b:Source>
  <b:Source>
    <b:Tag>MEC07</b:Tag>
    <b:SourceType>Report</b:SourceType>
    <b:Guid>{9C184347-8E73-4EC9-B803-B64357A1EED1}</b:Guid>
    <b:Author>
      <b:Author>
        <b:Corporate>MECT</b:Corporate>
      </b:Author>
    </b:Author>
    <b:Title>Starea învățământului din România</b:Title>
    <b:Year>2007</b:Year>
    <b:Publisher>Ministerul Educației Cercetării și Tineretului</b:Publisher>
    <b:City>București</b:City>
    <b:RefOrder>29</b:RefOrder>
  </b:Source>
  <b:Source>
    <b:Tag>MEC08</b:Tag>
    <b:SourceType>Report</b:SourceType>
    <b:Guid>{71BAE1A9-2514-4C6A-A816-274FDD8630A2}</b:Guid>
    <b:Author>
      <b:Author>
        <b:Corporate>MECT</b:Corporate>
      </b:Author>
    </b:Author>
    <b:Title>Raport asupra stării sistemului național de învățământ</b:Title>
    <b:Year>2008</b:Year>
    <b:Publisher>Ministerul educației, cercetării și tineretului</b:Publisher>
    <b:City>București</b:City>
    <b:RefOrder>30</b:RefOrder>
  </b:Source>
  <b:Source>
    <b:Tag>MEN191</b:Tag>
    <b:SourceType>Report</b:SourceType>
    <b:Guid>{835EC117-18B5-4441-B4F9-0C0A712ABAA2}</b:Guid>
    <b:Author>
      <b:Author>
        <b:Corporate>MEN</b:Corporate>
      </b:Author>
    </b:Author>
    <b:Title>Dosar sintetic privind resultatele finale la prima sesiune a examenului de bacalaureat din anul 2019</b:Title>
    <b:Year>2019</b:Year>
    <b:Publisher>Ministerul Educației Naționale</b:Publisher>
    <b:City>București</b:City>
    <b:RefOrder>31</b:RefOrder>
  </b:Source>
  <b:Source>
    <b:Tag>Pop17</b:Tag>
    <b:SourceType>Report</b:SourceType>
    <b:Guid>{DE089D98-3C31-419B-8586-35819BB903AA}</b:Guid>
    <b:Title>SocioRoMap - ANCHETĂ DE CERCETARE MEDIATORI ȘCOLARI</b:Title>
    <b:Year>2017</b:Year>
    <b:Publisher> IDEA DESIGN &amp; PRINT</b:Publisher>
    <b:City>Cluj-Napoca</b:City>
    <b:Author>
      <b:Author>
        <b:NameList>
          <b:Person>
            <b:Last>Pop</b:Last>
            <b:First>Florina</b:First>
          </b:Person>
          <b:Person>
            <b:Last>Balea</b:Last>
            <b:First>Bianca</b:First>
          </b:Person>
        </b:NameList>
      </b:Author>
    </b:Author>
    <b:RefOrder>33</b:RefOrder>
  </b:Source>
  <b:Source>
    <b:Tag>Web20</b:Tag>
    <b:SourceType>Report</b:SourceType>
    <b:Guid>{93A78B67-6BDC-4D18-9F78-58C0A76829E3}</b:Guid>
    <b:Title>Raportul special privind acordarea burselor pentru elevi la nivel național în anul școlar 2019-2020</b:Title>
    <b:Year>2020</b:Year>
    <b:Publisher>Societatea Academică din România</b:Publisher>
    <b:City>București</b:City>
    <b:Author>
      <b:Author>
        <b:NameList>
          <b:Person>
            <b:Last>Weber</b:Last>
            <b:First>Renate</b:First>
          </b:Person>
          <b:Person>
            <b:Last>Manda</b:Last>
            <b:First>Constantin-Alexandru</b:First>
          </b:Person>
        </b:NameList>
      </b:Author>
    </b:Author>
    <b:RefOrder>34</b:RefOrder>
  </b:Source>
</b:Sources>
</file>

<file path=customXml/itemProps1.xml><?xml version="1.0" encoding="utf-8"?>
<ds:datastoreItem xmlns:ds="http://schemas.openxmlformats.org/officeDocument/2006/customXml" ds:itemID="{B61C8481-BA4C-44FA-A828-8D993F18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Vasile</dc:creator>
  <cp:keywords/>
  <dc:description/>
  <cp:lastModifiedBy>Alina Ionescu</cp:lastModifiedBy>
  <cp:revision>4</cp:revision>
  <dcterms:created xsi:type="dcterms:W3CDTF">2021-04-08T12:51:00Z</dcterms:created>
  <dcterms:modified xsi:type="dcterms:W3CDTF">2021-04-13T14:00:00Z</dcterms:modified>
</cp:coreProperties>
</file>