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8AB90" w14:textId="0C37481E" w:rsidR="00F01820" w:rsidRDefault="00F01820" w:rsidP="00F01820">
      <w:pPr>
        <w:jc w:val="center"/>
        <w:rPr>
          <w:b/>
          <w:bCs/>
          <w:color w:val="134753" w:themeColor="text1"/>
        </w:rPr>
      </w:pPr>
    </w:p>
    <w:p w14:paraId="3FD654FB" w14:textId="1C86EFDC" w:rsidR="00FD52AC" w:rsidRDefault="00FD52AC" w:rsidP="00F01820">
      <w:pPr>
        <w:jc w:val="center"/>
        <w:rPr>
          <w:b/>
          <w:bCs/>
          <w:color w:val="134753" w:themeColor="text1"/>
        </w:rPr>
      </w:pPr>
    </w:p>
    <w:p w14:paraId="7FAC9A1E" w14:textId="1BA170E1" w:rsidR="00FD52AC" w:rsidRDefault="00FD52AC" w:rsidP="00F01820">
      <w:pPr>
        <w:jc w:val="center"/>
        <w:rPr>
          <w:b/>
          <w:bCs/>
          <w:color w:val="134753" w:themeColor="text1"/>
        </w:rPr>
      </w:pPr>
    </w:p>
    <w:p w14:paraId="1B742482" w14:textId="635B6BAB" w:rsidR="00FD52AC" w:rsidRDefault="00FD52AC" w:rsidP="00F01820">
      <w:pPr>
        <w:jc w:val="center"/>
        <w:rPr>
          <w:b/>
          <w:bCs/>
          <w:color w:val="134753" w:themeColor="text1"/>
        </w:rPr>
      </w:pPr>
    </w:p>
    <w:p w14:paraId="453E6ED7" w14:textId="072F0148" w:rsidR="00BB79A8" w:rsidRDefault="00BB79A8" w:rsidP="00F01820">
      <w:pPr>
        <w:jc w:val="center"/>
        <w:rPr>
          <w:b/>
          <w:bCs/>
          <w:color w:val="134753" w:themeColor="text1"/>
        </w:rPr>
      </w:pPr>
    </w:p>
    <w:p w14:paraId="3150CC19" w14:textId="77777777" w:rsidR="00BB79A8" w:rsidRDefault="00BB79A8" w:rsidP="00F01820">
      <w:pPr>
        <w:jc w:val="center"/>
        <w:rPr>
          <w:b/>
          <w:bCs/>
          <w:color w:val="134753" w:themeColor="text1"/>
        </w:rPr>
      </w:pPr>
    </w:p>
    <w:p w14:paraId="6739D07F" w14:textId="300094D2" w:rsidR="00FD52AC" w:rsidRDefault="00FD52AC" w:rsidP="00F01820">
      <w:pPr>
        <w:jc w:val="center"/>
        <w:rPr>
          <w:b/>
          <w:bCs/>
          <w:color w:val="134753" w:themeColor="text1"/>
        </w:rPr>
      </w:pPr>
    </w:p>
    <w:p w14:paraId="23C05871" w14:textId="77777777" w:rsidR="00FD52AC" w:rsidRDefault="00FD52AC" w:rsidP="00FD52AC">
      <w:pPr>
        <w:pStyle w:val="Title"/>
        <w:rPr>
          <w:rFonts w:ascii="Calibri" w:hAnsi="Calibri"/>
          <w:sz w:val="44"/>
          <w:szCs w:val="44"/>
          <w:lang w:val="ro-RO"/>
        </w:rPr>
      </w:pPr>
      <w:r w:rsidRPr="007C7521">
        <w:rPr>
          <w:rFonts w:ascii="Calibri" w:hAnsi="Calibri"/>
          <w:sz w:val="44"/>
          <w:szCs w:val="44"/>
          <w:lang w:val="ro-RO"/>
        </w:rPr>
        <w:t>Evaluarea intervențiilor P</w:t>
      </w:r>
      <w:r>
        <w:rPr>
          <w:rFonts w:ascii="Calibri" w:hAnsi="Calibri"/>
          <w:sz w:val="44"/>
          <w:szCs w:val="44"/>
          <w:lang w:val="ro-RO"/>
        </w:rPr>
        <w:t>OCU</w:t>
      </w:r>
      <w:r w:rsidRPr="007C7521">
        <w:rPr>
          <w:rFonts w:ascii="Calibri" w:hAnsi="Calibri"/>
          <w:sz w:val="44"/>
          <w:szCs w:val="44"/>
          <w:lang w:val="ro-RO"/>
        </w:rPr>
        <w:t xml:space="preserve"> 20</w:t>
      </w:r>
      <w:r>
        <w:rPr>
          <w:rFonts w:ascii="Calibri" w:hAnsi="Calibri"/>
          <w:sz w:val="44"/>
          <w:szCs w:val="44"/>
          <w:lang w:val="ro-RO"/>
        </w:rPr>
        <w:t>14</w:t>
      </w:r>
      <w:r w:rsidRPr="007C7521">
        <w:rPr>
          <w:rFonts w:ascii="Calibri" w:hAnsi="Calibri"/>
          <w:sz w:val="44"/>
          <w:szCs w:val="44"/>
          <w:lang w:val="ro-RO"/>
        </w:rPr>
        <w:t>-20</w:t>
      </w:r>
      <w:r>
        <w:rPr>
          <w:rFonts w:ascii="Calibri" w:hAnsi="Calibri"/>
          <w:sz w:val="44"/>
          <w:szCs w:val="44"/>
          <w:lang w:val="ro-RO"/>
        </w:rPr>
        <w:t>20</w:t>
      </w:r>
      <w:r w:rsidRPr="007C7521">
        <w:rPr>
          <w:rFonts w:ascii="Calibri" w:hAnsi="Calibri"/>
          <w:sz w:val="44"/>
          <w:szCs w:val="44"/>
          <w:lang w:val="ro-RO"/>
        </w:rPr>
        <w:t xml:space="preserve"> în domeniul </w:t>
      </w:r>
      <w:r>
        <w:rPr>
          <w:rFonts w:ascii="Calibri" w:hAnsi="Calibri"/>
          <w:sz w:val="44"/>
          <w:szCs w:val="44"/>
          <w:lang w:val="ro-RO"/>
        </w:rPr>
        <w:t>incluziunii sociale</w:t>
      </w:r>
    </w:p>
    <w:p w14:paraId="250DA1A6" w14:textId="77777777" w:rsidR="00FD52AC" w:rsidRDefault="00FD52AC" w:rsidP="00FD52AC">
      <w:pPr>
        <w:pStyle w:val="Title"/>
        <w:rPr>
          <w:rFonts w:ascii="Calibri" w:hAnsi="Calibri"/>
          <w:bCs/>
          <w:color w:val="4F81BD"/>
          <w:kern w:val="1"/>
          <w:sz w:val="16"/>
          <w:szCs w:val="16"/>
          <w:lang w:val="ro-RO" w:eastAsia="ar-SA"/>
        </w:rPr>
      </w:pPr>
    </w:p>
    <w:p w14:paraId="16FF126F" w14:textId="77777777" w:rsidR="00FD52AC" w:rsidRPr="00764FE0" w:rsidRDefault="00FD52AC" w:rsidP="00FD52AC">
      <w:pPr>
        <w:pStyle w:val="Title"/>
        <w:rPr>
          <w:rFonts w:ascii="Calibri" w:hAnsi="Calibri"/>
          <w:bCs/>
          <w:color w:val="134753" w:themeColor="text1"/>
          <w:kern w:val="1"/>
          <w:sz w:val="16"/>
          <w:szCs w:val="16"/>
          <w:lang w:val="ro-RO" w:eastAsia="ar-SA"/>
        </w:rPr>
      </w:pPr>
    </w:p>
    <w:p w14:paraId="5272D77B" w14:textId="4DC8F068" w:rsidR="00FD52AC" w:rsidRPr="004209F7" w:rsidRDefault="004209F7" w:rsidP="00FD52AC">
      <w:pPr>
        <w:pStyle w:val="IntenseQuote"/>
        <w:suppressAutoHyphens w:val="0"/>
        <w:spacing w:after="0"/>
        <w:rPr>
          <w:rFonts w:asciiTheme="minorHAnsi" w:hAnsiTheme="minorHAnsi"/>
          <w:b/>
          <w:color w:val="2D788C" w:themeColor="accent1" w:themeShade="BF"/>
          <w:sz w:val="36"/>
          <w:szCs w:val="24"/>
          <w:lang w:val="ro-RO"/>
        </w:rPr>
      </w:pPr>
      <w:r w:rsidRPr="004209F7">
        <w:rPr>
          <w:rFonts w:asciiTheme="minorHAnsi" w:hAnsiTheme="minorHAnsi"/>
          <w:b/>
          <w:color w:val="2D788C" w:themeColor="accent1" w:themeShade="BF"/>
          <w:sz w:val="36"/>
          <w:szCs w:val="24"/>
          <w:lang w:val="ro-RO"/>
        </w:rPr>
        <w:t xml:space="preserve">(DMI 2.2). </w:t>
      </w:r>
      <w:r w:rsidR="00810EE3" w:rsidRPr="004209F7">
        <w:rPr>
          <w:rFonts w:asciiTheme="minorHAnsi" w:hAnsiTheme="minorHAnsi"/>
          <w:b/>
          <w:color w:val="2D788C" w:themeColor="accent1" w:themeShade="BF"/>
          <w:sz w:val="36"/>
          <w:szCs w:val="24"/>
          <w:lang w:val="ro-RO"/>
        </w:rPr>
        <w:t xml:space="preserve">Anexa </w:t>
      </w:r>
      <w:r w:rsidR="0036142E">
        <w:rPr>
          <w:rFonts w:asciiTheme="minorHAnsi" w:hAnsiTheme="minorHAnsi"/>
          <w:b/>
          <w:color w:val="2D788C" w:themeColor="accent1" w:themeShade="BF"/>
          <w:sz w:val="36"/>
          <w:szCs w:val="24"/>
          <w:lang w:val="ro-RO"/>
        </w:rPr>
        <w:t>10</w:t>
      </w:r>
      <w:r w:rsidR="00810EE3" w:rsidRPr="004209F7">
        <w:rPr>
          <w:rFonts w:asciiTheme="minorHAnsi" w:hAnsiTheme="minorHAnsi"/>
          <w:b/>
          <w:color w:val="2D788C" w:themeColor="accent1" w:themeShade="BF"/>
          <w:sz w:val="36"/>
          <w:szCs w:val="24"/>
          <w:lang w:val="ro-RO"/>
        </w:rPr>
        <w:t xml:space="preserve">. </w:t>
      </w:r>
      <w:r w:rsidR="001C0F2B">
        <w:rPr>
          <w:rFonts w:asciiTheme="minorHAnsi" w:hAnsiTheme="minorHAnsi"/>
          <w:b/>
          <w:color w:val="2D788C" w:themeColor="accent1" w:themeShade="BF"/>
          <w:sz w:val="36"/>
          <w:szCs w:val="24"/>
          <w:lang w:val="ro-RO"/>
        </w:rPr>
        <w:t>Raportul e</w:t>
      </w:r>
      <w:r w:rsidR="00CA7A4E" w:rsidRPr="004209F7">
        <w:rPr>
          <w:rFonts w:asciiTheme="minorHAnsi" w:hAnsiTheme="minorHAnsi"/>
          <w:b/>
          <w:color w:val="2D788C" w:themeColor="accent1" w:themeShade="BF"/>
          <w:sz w:val="36"/>
          <w:szCs w:val="24"/>
          <w:lang w:val="ro-RO"/>
        </w:rPr>
        <w:t>valu</w:t>
      </w:r>
      <w:r w:rsidR="001C0F2B">
        <w:rPr>
          <w:rFonts w:asciiTheme="minorHAnsi" w:hAnsiTheme="minorHAnsi"/>
          <w:b/>
          <w:color w:val="2D788C" w:themeColor="accent1" w:themeShade="BF"/>
          <w:sz w:val="36"/>
          <w:szCs w:val="24"/>
          <w:lang w:val="ro-RO"/>
        </w:rPr>
        <w:t>ă</w:t>
      </w:r>
      <w:r w:rsidR="00CA7A4E" w:rsidRPr="004209F7">
        <w:rPr>
          <w:rFonts w:asciiTheme="minorHAnsi" w:hAnsiTheme="minorHAnsi"/>
          <w:b/>
          <w:color w:val="2D788C" w:themeColor="accent1" w:themeShade="BF"/>
          <w:sz w:val="36"/>
          <w:szCs w:val="24"/>
          <w:lang w:val="ro-RO"/>
        </w:rPr>
        <w:t>r</w:t>
      </w:r>
      <w:r w:rsidR="001C0F2B">
        <w:rPr>
          <w:rFonts w:asciiTheme="minorHAnsi" w:hAnsiTheme="minorHAnsi"/>
          <w:b/>
          <w:color w:val="2D788C" w:themeColor="accent1" w:themeShade="BF"/>
          <w:sz w:val="36"/>
          <w:szCs w:val="24"/>
          <w:lang w:val="ro-RO"/>
        </w:rPr>
        <w:t>ii</w:t>
      </w:r>
      <w:r w:rsidR="00CA7A4E" w:rsidRPr="004209F7">
        <w:rPr>
          <w:rFonts w:asciiTheme="minorHAnsi" w:hAnsiTheme="minorHAnsi"/>
          <w:b/>
          <w:color w:val="2D788C" w:themeColor="accent1" w:themeShade="BF"/>
          <w:sz w:val="36"/>
          <w:szCs w:val="24"/>
          <w:lang w:val="ro-RO"/>
        </w:rPr>
        <w:t xml:space="preserve"> contrafactual</w:t>
      </w:r>
      <w:r w:rsidR="001C0F2B">
        <w:rPr>
          <w:rFonts w:asciiTheme="minorHAnsi" w:hAnsiTheme="minorHAnsi"/>
          <w:b/>
          <w:color w:val="2D788C" w:themeColor="accent1" w:themeShade="BF"/>
          <w:sz w:val="36"/>
          <w:szCs w:val="24"/>
          <w:lang w:val="ro-RO"/>
        </w:rPr>
        <w:t>e</w:t>
      </w:r>
      <w:r w:rsidR="00CA7A4E" w:rsidRPr="004209F7">
        <w:rPr>
          <w:rFonts w:asciiTheme="minorHAnsi" w:hAnsiTheme="minorHAnsi"/>
          <w:b/>
          <w:color w:val="2D788C" w:themeColor="accent1" w:themeShade="BF"/>
          <w:sz w:val="36"/>
          <w:szCs w:val="24"/>
          <w:lang w:val="ro-RO"/>
        </w:rPr>
        <w:t xml:space="preserve"> de impact</w:t>
      </w:r>
    </w:p>
    <w:p w14:paraId="5523FC19" w14:textId="77777777" w:rsidR="00FD52AC" w:rsidRPr="000651F3" w:rsidRDefault="00FD52AC" w:rsidP="00FD52AC">
      <w:pPr>
        <w:rPr>
          <w:lang w:eastAsia="ar-SA"/>
        </w:rPr>
      </w:pPr>
    </w:p>
    <w:p w14:paraId="608B1E1A" w14:textId="77777777" w:rsidR="00FD52AC" w:rsidRPr="007C7521" w:rsidRDefault="00FD52AC" w:rsidP="00FD52AC">
      <w:pPr>
        <w:pStyle w:val="Title"/>
        <w:rPr>
          <w:rFonts w:ascii="Calibri" w:hAnsi="Calibri"/>
          <w:bCs/>
          <w:color w:val="4F81BD"/>
          <w:kern w:val="1"/>
          <w:sz w:val="16"/>
          <w:szCs w:val="16"/>
          <w:lang w:val="ro-RO" w:eastAsia="ar-SA"/>
        </w:rPr>
      </w:pPr>
    </w:p>
    <w:p w14:paraId="2159F95C" w14:textId="6564A1FE" w:rsidR="00810EE3" w:rsidRDefault="00810EE3">
      <w:pPr>
        <w:rPr>
          <w:b/>
          <w:bCs/>
          <w:color w:val="134753" w:themeColor="text1"/>
        </w:rPr>
      </w:pPr>
      <w:r>
        <w:rPr>
          <w:b/>
          <w:bCs/>
          <w:color w:val="134753" w:themeColor="text1"/>
        </w:rPr>
        <w:br w:type="page"/>
      </w:r>
    </w:p>
    <w:p w14:paraId="47BECA50" w14:textId="774FE939" w:rsidR="00810EE3" w:rsidRDefault="00810EE3">
      <w:pPr>
        <w:rPr>
          <w:b/>
          <w:bCs/>
          <w:color w:val="134753" w:themeColor="text1"/>
        </w:rPr>
      </w:pPr>
    </w:p>
    <w:sdt>
      <w:sdtPr>
        <w:rPr>
          <w:rFonts w:eastAsiaTheme="minorHAnsi" w:cstheme="minorBidi"/>
          <w:color w:val="auto"/>
          <w:sz w:val="20"/>
          <w:szCs w:val="22"/>
          <w:lang w:val="ro-RO"/>
        </w:rPr>
        <w:id w:val="527681816"/>
        <w:docPartObj>
          <w:docPartGallery w:val="Table of Contents"/>
          <w:docPartUnique/>
        </w:docPartObj>
      </w:sdtPr>
      <w:sdtEndPr>
        <w:rPr>
          <w:b/>
          <w:bCs/>
          <w:noProof/>
        </w:rPr>
      </w:sdtEndPr>
      <w:sdtContent>
        <w:p w14:paraId="7D644A35" w14:textId="13B96A75" w:rsidR="00810EE3" w:rsidRDefault="00810EE3">
          <w:pPr>
            <w:pStyle w:val="TOCHeading"/>
          </w:pPr>
          <w:r>
            <w:t>Cuprins</w:t>
          </w:r>
        </w:p>
        <w:p w14:paraId="4B35D5BB" w14:textId="77777777" w:rsidR="00A34F79" w:rsidRPr="00A34F79" w:rsidRDefault="00A34F79" w:rsidP="00A34F79">
          <w:pPr>
            <w:rPr>
              <w:lang w:val="en-US"/>
            </w:rPr>
          </w:pPr>
        </w:p>
        <w:p w14:paraId="12E9C19F" w14:textId="507CBD4E" w:rsidR="00810EE3" w:rsidRDefault="00810EE3">
          <w:pPr>
            <w:pStyle w:val="TOC1"/>
            <w:tabs>
              <w:tab w:val="left" w:pos="440"/>
              <w:tab w:val="right" w:leader="dot" w:pos="9379"/>
            </w:tabs>
            <w:rPr>
              <w:rFonts w:eastAsiaTheme="minorEastAsia"/>
              <w:noProof/>
              <w:sz w:val="22"/>
              <w:lang w:val="en-GB" w:eastAsia="en-GB"/>
            </w:rPr>
          </w:pPr>
          <w:r>
            <w:fldChar w:fldCharType="begin"/>
          </w:r>
          <w:r>
            <w:instrText xml:space="preserve"> TOC \o "1-3" \h \z \u </w:instrText>
          </w:r>
          <w:r>
            <w:fldChar w:fldCharType="separate"/>
          </w:r>
          <w:hyperlink w:anchor="_Toc68685046" w:history="1">
            <w:r w:rsidRPr="00D33882">
              <w:rPr>
                <w:rStyle w:val="Hyperlink"/>
                <w:noProof/>
              </w:rPr>
              <w:t>1.</w:t>
            </w:r>
            <w:r>
              <w:rPr>
                <w:rFonts w:eastAsiaTheme="minorEastAsia"/>
                <w:noProof/>
                <w:sz w:val="22"/>
                <w:lang w:val="en-GB" w:eastAsia="en-GB"/>
              </w:rPr>
              <w:tab/>
            </w:r>
            <w:r w:rsidRPr="00D33882">
              <w:rPr>
                <w:rStyle w:val="Hyperlink"/>
                <w:noProof/>
              </w:rPr>
              <w:t>Aspecte metodologice</w:t>
            </w:r>
            <w:r>
              <w:rPr>
                <w:noProof/>
                <w:webHidden/>
              </w:rPr>
              <w:tab/>
            </w:r>
            <w:r>
              <w:rPr>
                <w:noProof/>
                <w:webHidden/>
              </w:rPr>
              <w:fldChar w:fldCharType="begin"/>
            </w:r>
            <w:r>
              <w:rPr>
                <w:noProof/>
                <w:webHidden/>
              </w:rPr>
              <w:instrText xml:space="preserve"> PAGEREF _Toc68685046 \h </w:instrText>
            </w:r>
            <w:r>
              <w:rPr>
                <w:noProof/>
                <w:webHidden/>
              </w:rPr>
            </w:r>
            <w:r>
              <w:rPr>
                <w:noProof/>
                <w:webHidden/>
              </w:rPr>
              <w:fldChar w:fldCharType="separate"/>
            </w:r>
            <w:r>
              <w:rPr>
                <w:noProof/>
                <w:webHidden/>
              </w:rPr>
              <w:t>3</w:t>
            </w:r>
            <w:r>
              <w:rPr>
                <w:noProof/>
                <w:webHidden/>
              </w:rPr>
              <w:fldChar w:fldCharType="end"/>
            </w:r>
          </w:hyperlink>
        </w:p>
        <w:p w14:paraId="2CB5A703" w14:textId="5FF37FF2" w:rsidR="00810EE3" w:rsidRDefault="00E72619">
          <w:pPr>
            <w:pStyle w:val="TOC1"/>
            <w:tabs>
              <w:tab w:val="left" w:pos="440"/>
              <w:tab w:val="right" w:leader="dot" w:pos="9379"/>
            </w:tabs>
            <w:rPr>
              <w:rFonts w:eastAsiaTheme="minorEastAsia"/>
              <w:noProof/>
              <w:sz w:val="22"/>
              <w:lang w:val="en-GB" w:eastAsia="en-GB"/>
            </w:rPr>
          </w:pPr>
          <w:hyperlink w:anchor="_Toc68685047" w:history="1">
            <w:r w:rsidR="00810EE3" w:rsidRPr="00D33882">
              <w:rPr>
                <w:rStyle w:val="Hyperlink"/>
                <w:noProof/>
              </w:rPr>
              <w:t>2.</w:t>
            </w:r>
            <w:r w:rsidR="00810EE3">
              <w:rPr>
                <w:rFonts w:eastAsiaTheme="minorEastAsia"/>
                <w:noProof/>
                <w:sz w:val="22"/>
                <w:lang w:val="en-GB" w:eastAsia="en-GB"/>
              </w:rPr>
              <w:tab/>
            </w:r>
            <w:r w:rsidR="00810EE3" w:rsidRPr="00D33882">
              <w:rPr>
                <w:rStyle w:val="Hyperlink"/>
                <w:noProof/>
              </w:rPr>
              <w:t>Descrierea datelor și a variabilelor</w:t>
            </w:r>
            <w:r w:rsidR="00810EE3">
              <w:rPr>
                <w:noProof/>
                <w:webHidden/>
              </w:rPr>
              <w:tab/>
            </w:r>
            <w:r w:rsidR="00810EE3">
              <w:rPr>
                <w:noProof/>
                <w:webHidden/>
              </w:rPr>
              <w:fldChar w:fldCharType="begin"/>
            </w:r>
            <w:r w:rsidR="00810EE3">
              <w:rPr>
                <w:noProof/>
                <w:webHidden/>
              </w:rPr>
              <w:instrText xml:space="preserve"> PAGEREF _Toc68685047 \h </w:instrText>
            </w:r>
            <w:r w:rsidR="00810EE3">
              <w:rPr>
                <w:noProof/>
                <w:webHidden/>
              </w:rPr>
            </w:r>
            <w:r w:rsidR="00810EE3">
              <w:rPr>
                <w:noProof/>
                <w:webHidden/>
              </w:rPr>
              <w:fldChar w:fldCharType="separate"/>
            </w:r>
            <w:r w:rsidR="00810EE3">
              <w:rPr>
                <w:noProof/>
                <w:webHidden/>
              </w:rPr>
              <w:t>3</w:t>
            </w:r>
            <w:r w:rsidR="00810EE3">
              <w:rPr>
                <w:noProof/>
                <w:webHidden/>
              </w:rPr>
              <w:fldChar w:fldCharType="end"/>
            </w:r>
          </w:hyperlink>
        </w:p>
        <w:p w14:paraId="4FD4E50C" w14:textId="28537DC5" w:rsidR="00810EE3" w:rsidRDefault="00E72619">
          <w:pPr>
            <w:pStyle w:val="TOC1"/>
            <w:tabs>
              <w:tab w:val="left" w:pos="440"/>
              <w:tab w:val="right" w:leader="dot" w:pos="9379"/>
            </w:tabs>
            <w:rPr>
              <w:rFonts w:eastAsiaTheme="minorEastAsia"/>
              <w:noProof/>
              <w:sz w:val="22"/>
              <w:lang w:val="en-GB" w:eastAsia="en-GB"/>
            </w:rPr>
          </w:pPr>
          <w:hyperlink w:anchor="_Toc68685048" w:history="1">
            <w:r w:rsidR="00810EE3" w:rsidRPr="00D33882">
              <w:rPr>
                <w:rStyle w:val="Hyperlink"/>
                <w:noProof/>
              </w:rPr>
              <w:t>3.</w:t>
            </w:r>
            <w:r w:rsidR="00810EE3">
              <w:rPr>
                <w:rFonts w:eastAsiaTheme="minorEastAsia"/>
                <w:noProof/>
                <w:sz w:val="22"/>
                <w:lang w:val="en-GB" w:eastAsia="en-GB"/>
              </w:rPr>
              <w:tab/>
            </w:r>
            <w:r w:rsidR="00810EE3" w:rsidRPr="00D33882">
              <w:rPr>
                <w:rStyle w:val="Hyperlink"/>
                <w:noProof/>
              </w:rPr>
              <w:t>Rezultatele ECI post intervenție, pentru anii 2016-2017 si 2018-2019</w:t>
            </w:r>
            <w:r w:rsidR="00810EE3">
              <w:rPr>
                <w:noProof/>
                <w:webHidden/>
              </w:rPr>
              <w:tab/>
            </w:r>
            <w:r w:rsidR="00810EE3">
              <w:rPr>
                <w:noProof/>
                <w:webHidden/>
              </w:rPr>
              <w:fldChar w:fldCharType="begin"/>
            </w:r>
            <w:r w:rsidR="00810EE3">
              <w:rPr>
                <w:noProof/>
                <w:webHidden/>
              </w:rPr>
              <w:instrText xml:space="preserve"> PAGEREF _Toc68685048 \h </w:instrText>
            </w:r>
            <w:r w:rsidR="00810EE3">
              <w:rPr>
                <w:noProof/>
                <w:webHidden/>
              </w:rPr>
            </w:r>
            <w:r w:rsidR="00810EE3">
              <w:rPr>
                <w:noProof/>
                <w:webHidden/>
              </w:rPr>
              <w:fldChar w:fldCharType="separate"/>
            </w:r>
            <w:r w:rsidR="00810EE3">
              <w:rPr>
                <w:noProof/>
                <w:webHidden/>
              </w:rPr>
              <w:t>4</w:t>
            </w:r>
            <w:r w:rsidR="00810EE3">
              <w:rPr>
                <w:noProof/>
                <w:webHidden/>
              </w:rPr>
              <w:fldChar w:fldCharType="end"/>
            </w:r>
          </w:hyperlink>
        </w:p>
        <w:p w14:paraId="3563D7B9" w14:textId="38CCD651" w:rsidR="00810EE3" w:rsidRDefault="00E72619">
          <w:pPr>
            <w:pStyle w:val="TOC1"/>
            <w:tabs>
              <w:tab w:val="left" w:pos="440"/>
              <w:tab w:val="right" w:leader="dot" w:pos="9379"/>
            </w:tabs>
            <w:rPr>
              <w:rFonts w:eastAsiaTheme="minorEastAsia"/>
              <w:noProof/>
              <w:sz w:val="22"/>
              <w:lang w:val="en-GB" w:eastAsia="en-GB"/>
            </w:rPr>
          </w:pPr>
          <w:hyperlink w:anchor="_Toc68685049" w:history="1">
            <w:r w:rsidR="00810EE3" w:rsidRPr="00D33882">
              <w:rPr>
                <w:rStyle w:val="Hyperlink"/>
                <w:noProof/>
              </w:rPr>
              <w:t>4.</w:t>
            </w:r>
            <w:r w:rsidR="00810EE3">
              <w:rPr>
                <w:rFonts w:eastAsiaTheme="minorEastAsia"/>
                <w:noProof/>
                <w:sz w:val="22"/>
                <w:lang w:val="en-GB" w:eastAsia="en-GB"/>
              </w:rPr>
              <w:tab/>
            </w:r>
            <w:r w:rsidR="00810EE3" w:rsidRPr="00D33882">
              <w:rPr>
                <w:rStyle w:val="Hyperlink"/>
                <w:noProof/>
              </w:rPr>
              <w:t>Rezultatele ECI pentru subeșantionul proiectelor începute in anii 2014-2015: Analiza combinată DID și PSM</w:t>
            </w:r>
            <w:r w:rsidR="00810EE3">
              <w:rPr>
                <w:noProof/>
                <w:webHidden/>
              </w:rPr>
              <w:tab/>
            </w:r>
            <w:r w:rsidR="00810EE3">
              <w:rPr>
                <w:noProof/>
                <w:webHidden/>
              </w:rPr>
              <w:fldChar w:fldCharType="begin"/>
            </w:r>
            <w:r w:rsidR="00810EE3">
              <w:rPr>
                <w:noProof/>
                <w:webHidden/>
              </w:rPr>
              <w:instrText xml:space="preserve"> PAGEREF _Toc68685049 \h </w:instrText>
            </w:r>
            <w:r w:rsidR="00810EE3">
              <w:rPr>
                <w:noProof/>
                <w:webHidden/>
              </w:rPr>
            </w:r>
            <w:r w:rsidR="00810EE3">
              <w:rPr>
                <w:noProof/>
                <w:webHidden/>
              </w:rPr>
              <w:fldChar w:fldCharType="separate"/>
            </w:r>
            <w:r w:rsidR="00810EE3">
              <w:rPr>
                <w:noProof/>
                <w:webHidden/>
              </w:rPr>
              <w:t>6</w:t>
            </w:r>
            <w:r w:rsidR="00810EE3">
              <w:rPr>
                <w:noProof/>
                <w:webHidden/>
              </w:rPr>
              <w:fldChar w:fldCharType="end"/>
            </w:r>
          </w:hyperlink>
        </w:p>
        <w:p w14:paraId="0B7FC9B8" w14:textId="2546B5A6" w:rsidR="00810EE3" w:rsidRDefault="00810EE3">
          <w:r>
            <w:rPr>
              <w:b/>
              <w:bCs/>
              <w:noProof/>
            </w:rPr>
            <w:fldChar w:fldCharType="end"/>
          </w:r>
        </w:p>
      </w:sdtContent>
    </w:sdt>
    <w:p w14:paraId="60A78D2D" w14:textId="4FB3389A" w:rsidR="00810EE3" w:rsidRDefault="00810EE3">
      <w:pPr>
        <w:rPr>
          <w:b/>
          <w:bCs/>
          <w:color w:val="134753" w:themeColor="text1"/>
        </w:rPr>
      </w:pPr>
      <w:r>
        <w:rPr>
          <w:b/>
          <w:bCs/>
          <w:color w:val="134753" w:themeColor="text1"/>
        </w:rPr>
        <w:br w:type="page"/>
      </w:r>
    </w:p>
    <w:p w14:paraId="23C20C1A" w14:textId="77777777" w:rsidR="00FD52AC" w:rsidRDefault="00FD52AC" w:rsidP="00810EE3">
      <w:pPr>
        <w:rPr>
          <w:b/>
          <w:bCs/>
          <w:color w:val="134753" w:themeColor="text1"/>
        </w:rPr>
      </w:pPr>
    </w:p>
    <w:p w14:paraId="0FE02912" w14:textId="25944F23" w:rsidR="00FD52AC" w:rsidRDefault="00FD52AC" w:rsidP="00810EE3">
      <w:pPr>
        <w:rPr>
          <w:b/>
          <w:bCs/>
          <w:color w:val="134753" w:themeColor="text1"/>
        </w:rPr>
      </w:pPr>
    </w:p>
    <w:p w14:paraId="34C787D3" w14:textId="37F74B0B" w:rsidR="00810EE3" w:rsidRDefault="00CA7A4E" w:rsidP="00810EE3">
      <w:pPr>
        <w:pStyle w:val="Heading1"/>
        <w:numPr>
          <w:ilvl w:val="0"/>
          <w:numId w:val="14"/>
        </w:numPr>
        <w:jc w:val="both"/>
      </w:pPr>
      <w:bookmarkStart w:id="0" w:name="_Toc68685046"/>
      <w:r w:rsidRPr="00810EE3">
        <w:t>Aspecte metodologice</w:t>
      </w:r>
      <w:bookmarkEnd w:id="0"/>
    </w:p>
    <w:p w14:paraId="2506A849" w14:textId="77777777" w:rsidR="00810EE3" w:rsidRPr="00810EE3" w:rsidRDefault="00810EE3" w:rsidP="00810EE3"/>
    <w:p w14:paraId="3856509A" w14:textId="77777777" w:rsidR="00CA7A4E" w:rsidRPr="004A57BF" w:rsidRDefault="00CA7A4E" w:rsidP="004A57BF">
      <w:pPr>
        <w:jc w:val="both"/>
        <w:rPr>
          <w:rFonts w:cstheme="minorHAnsi"/>
          <w:szCs w:val="20"/>
        </w:rPr>
      </w:pPr>
      <w:r w:rsidRPr="004A57BF">
        <w:rPr>
          <w:rFonts w:cstheme="minorHAnsi"/>
          <w:szCs w:val="20"/>
        </w:rPr>
        <w:t>Măsurarea impactului net, respectiv a contribuției nete a intervenției la creșterea participării la educație în cazul DMI 2.2, a fost precedată de analiza evaluabilității.  Pe baza informațiilor colectate, a analizei portofoliului de proiecte, a experienței echipei de evaluare și a recomandărilor existente în literatura de specialitate, am elaborat grila de analiză a evaluabilității impactului net prin CIE pentru O.S vizate, pe baza a 4  criterii: (i) Independența unităților, (ii) Omogenitatea intervenției, (iii) Măsurabilitatea efectelor, (iv) Suficiența datelor.</w:t>
      </w:r>
    </w:p>
    <w:p w14:paraId="625EF996" w14:textId="77777777" w:rsidR="00CA7A4E" w:rsidRPr="004A57BF" w:rsidRDefault="00CA7A4E" w:rsidP="004A57BF">
      <w:pPr>
        <w:jc w:val="both"/>
        <w:rPr>
          <w:rFonts w:cstheme="minorHAnsi"/>
          <w:szCs w:val="20"/>
        </w:rPr>
      </w:pPr>
      <w:r w:rsidRPr="004A57BF">
        <w:rPr>
          <w:rFonts w:cstheme="minorHAnsi"/>
          <w:szCs w:val="20"/>
        </w:rPr>
        <w:t xml:space="preserve">După analiza detaliată a tuturor apelurilor din  DMI 2.2. POSDRU,  au fost identificate si selectate  proiectele adresate unităților școlare (mai puțin componenta care se adresează învățământului preșcolar) care îndeplinesc criteriile de evaluabilitate la momentul prezentei evaluări. </w:t>
      </w:r>
    </w:p>
    <w:p w14:paraId="7099E0EE" w14:textId="77777777" w:rsidR="00CA7A4E" w:rsidRPr="004A57BF" w:rsidRDefault="00CA7A4E" w:rsidP="004A57BF">
      <w:pPr>
        <w:jc w:val="both"/>
        <w:rPr>
          <w:b/>
          <w:szCs w:val="20"/>
        </w:rPr>
      </w:pPr>
      <w:r w:rsidRPr="004A57BF">
        <w:rPr>
          <w:b/>
          <w:szCs w:val="20"/>
        </w:rPr>
        <w:t>Metode aplicate</w:t>
      </w:r>
    </w:p>
    <w:p w14:paraId="5A570AD0" w14:textId="77777777" w:rsidR="00CA7A4E" w:rsidRPr="004A57BF" w:rsidRDefault="00CA7A4E" w:rsidP="004A57BF">
      <w:pPr>
        <w:tabs>
          <w:tab w:val="left" w:pos="630"/>
        </w:tabs>
        <w:contextualSpacing/>
        <w:jc w:val="both"/>
        <w:rPr>
          <w:rFonts w:cstheme="minorHAnsi"/>
          <w:szCs w:val="20"/>
        </w:rPr>
      </w:pPr>
      <w:r w:rsidRPr="004A57BF">
        <w:rPr>
          <w:rFonts w:cstheme="minorHAnsi"/>
          <w:szCs w:val="20"/>
        </w:rPr>
        <w:t>Pentru evaluarea de față s-au aplicat două metode de analiză contrafactuală: Corelarea scorului de propensiune, și diferența-în-diferență, in următoarea abordare:</w:t>
      </w:r>
    </w:p>
    <w:p w14:paraId="5846AD3F" w14:textId="77777777" w:rsidR="00CA7A4E" w:rsidRPr="004A57BF" w:rsidRDefault="00CA7A4E" w:rsidP="004A57BF">
      <w:pPr>
        <w:pStyle w:val="ListParagraph"/>
        <w:numPr>
          <w:ilvl w:val="0"/>
          <w:numId w:val="12"/>
        </w:numPr>
        <w:tabs>
          <w:tab w:val="left" w:pos="630"/>
        </w:tabs>
        <w:spacing w:line="276" w:lineRule="auto"/>
        <w:jc w:val="both"/>
        <w:rPr>
          <w:rFonts w:cstheme="minorHAnsi"/>
          <w:szCs w:val="20"/>
          <w:lang w:val="ro-RO"/>
        </w:rPr>
      </w:pPr>
      <w:r w:rsidRPr="004A57BF">
        <w:rPr>
          <w:rFonts w:cstheme="minorHAnsi"/>
          <w:szCs w:val="20"/>
          <w:lang w:val="ro-RO"/>
        </w:rPr>
        <w:t>S-au considerat toate unitățile școlare pentru care s-au identificat date, respectiv eșantionul de 382 de scoli, care au beneficiat de finanțare POSDRU prin 83 proiecte. Metoda corelării scorului de propensitate s-a aplicat pentru a evalua impactul net post-intervenție, în anii 2016-2017 si 2018-2019.</w:t>
      </w:r>
    </w:p>
    <w:p w14:paraId="2A712201" w14:textId="77777777" w:rsidR="00CA7A4E" w:rsidRPr="004A57BF" w:rsidRDefault="00CA7A4E" w:rsidP="004A57BF">
      <w:pPr>
        <w:pStyle w:val="ListParagraph"/>
        <w:numPr>
          <w:ilvl w:val="0"/>
          <w:numId w:val="12"/>
        </w:numPr>
        <w:tabs>
          <w:tab w:val="left" w:pos="630"/>
        </w:tabs>
        <w:spacing w:line="276" w:lineRule="auto"/>
        <w:jc w:val="both"/>
        <w:rPr>
          <w:rFonts w:cstheme="minorHAnsi"/>
          <w:b/>
          <w:szCs w:val="20"/>
          <w:lang w:val="ro-RO"/>
        </w:rPr>
      </w:pPr>
      <w:r w:rsidRPr="004A57BF">
        <w:rPr>
          <w:rFonts w:cstheme="minorHAnsi"/>
          <w:szCs w:val="20"/>
          <w:lang w:val="ro-RO"/>
        </w:rPr>
        <w:t xml:space="preserve">Pentru evaluarea robusteții rezultatelor, în a doua etapă s-a selectat eșantionul proiectelor începute în anul școlar 2014-2015. Rezultatele  s-au obținut prin combinarea celor doua metode, într-un proces de cercetare complex: tehnica dublei diferențe s-a implementat în urma corelării obținute prin corelare, prin compararea riscului de abandon înainte (anul 2014-2015, primul pentru care avem date disponibile) si după intervenție (anul 2018-2019). </w:t>
      </w:r>
    </w:p>
    <w:p w14:paraId="51324B37" w14:textId="77777777" w:rsidR="00CA7A4E" w:rsidRPr="004A57BF" w:rsidRDefault="00CA7A4E" w:rsidP="004A57BF">
      <w:pPr>
        <w:tabs>
          <w:tab w:val="left" w:pos="630"/>
        </w:tabs>
        <w:ind w:left="50"/>
        <w:jc w:val="both"/>
        <w:rPr>
          <w:rFonts w:cstheme="minorHAnsi"/>
          <w:b/>
          <w:szCs w:val="20"/>
        </w:rPr>
      </w:pPr>
      <w:r w:rsidRPr="004A57BF">
        <w:rPr>
          <w:rFonts w:cstheme="minorHAnsi"/>
          <w:b/>
          <w:szCs w:val="20"/>
        </w:rPr>
        <w:t>Limitări ale aplicării ECI în cazul DMI 2.2</w:t>
      </w:r>
    </w:p>
    <w:p w14:paraId="117C686E" w14:textId="77777777" w:rsidR="00CA7A4E" w:rsidRPr="004A57BF" w:rsidRDefault="00CA7A4E" w:rsidP="004A57BF">
      <w:pPr>
        <w:pStyle w:val="ListParagraph"/>
        <w:numPr>
          <w:ilvl w:val="0"/>
          <w:numId w:val="13"/>
        </w:numPr>
        <w:tabs>
          <w:tab w:val="left" w:pos="630"/>
        </w:tabs>
        <w:spacing w:line="276" w:lineRule="auto"/>
        <w:jc w:val="both"/>
        <w:rPr>
          <w:rFonts w:cstheme="minorHAnsi"/>
          <w:szCs w:val="20"/>
          <w:lang w:val="ro-RO"/>
        </w:rPr>
      </w:pPr>
      <w:r w:rsidRPr="004A57BF">
        <w:rPr>
          <w:rFonts w:cstheme="minorHAnsi"/>
          <w:szCs w:val="20"/>
          <w:lang w:val="ro-RO"/>
        </w:rPr>
        <w:t>Lipsa datelor referitoare la școlile participante la intervenții într-un format electronic. Datele au fost identificate si selectate de către echipa de implementare individual, din documentele disponibile in format Word sau pdf,  sau de pe paginile online ale fiecărui proiect.</w:t>
      </w:r>
    </w:p>
    <w:p w14:paraId="6CBF0991" w14:textId="77777777" w:rsidR="00CA7A4E" w:rsidRPr="004A57BF" w:rsidRDefault="00CA7A4E" w:rsidP="004A57BF">
      <w:pPr>
        <w:pStyle w:val="ListParagraph"/>
        <w:numPr>
          <w:ilvl w:val="0"/>
          <w:numId w:val="13"/>
        </w:numPr>
        <w:tabs>
          <w:tab w:val="left" w:pos="630"/>
        </w:tabs>
        <w:spacing w:line="276" w:lineRule="auto"/>
        <w:jc w:val="both"/>
        <w:rPr>
          <w:rFonts w:cstheme="minorHAnsi"/>
          <w:szCs w:val="20"/>
          <w:lang w:val="ro-RO"/>
        </w:rPr>
      </w:pPr>
      <w:r w:rsidRPr="004A57BF">
        <w:rPr>
          <w:rFonts w:cstheme="minorHAnsi"/>
          <w:szCs w:val="20"/>
          <w:lang w:val="ro-RO"/>
        </w:rPr>
        <w:t>Datele statistice pentru școlile din eșantionul de control și cel tratat sunt disponibile numai începând cu anul școlar 2014-2015, ceea ce a împiedicat compararea situației înainte si după intervenție pentru toate școlile finanțate.</w:t>
      </w:r>
    </w:p>
    <w:p w14:paraId="77DEF60F" w14:textId="77777777" w:rsidR="00CA7A4E" w:rsidRPr="004A57BF" w:rsidRDefault="00CA7A4E" w:rsidP="004A57BF">
      <w:pPr>
        <w:pStyle w:val="ListParagraph"/>
        <w:numPr>
          <w:ilvl w:val="0"/>
          <w:numId w:val="13"/>
        </w:numPr>
        <w:tabs>
          <w:tab w:val="left" w:pos="630"/>
        </w:tabs>
        <w:spacing w:line="276" w:lineRule="auto"/>
        <w:jc w:val="both"/>
        <w:rPr>
          <w:rFonts w:cstheme="minorHAnsi"/>
          <w:szCs w:val="20"/>
          <w:lang w:val="ro-RO"/>
        </w:rPr>
      </w:pPr>
      <w:r w:rsidRPr="004A57BF">
        <w:rPr>
          <w:rFonts w:cstheme="minorHAnsi"/>
          <w:szCs w:val="20"/>
          <w:lang w:val="ro-RO"/>
        </w:rPr>
        <w:t>Prin natura programului, nu există școli au fost aplicat pentru finanțare și care sa fi fost respinse. Acest neajuns este depășit prin considerarea în modelele econometrice a unor variabile de corelare precum: gradul de defavorizare al școlii, care permit identificarea unor școli relativ similare.</w:t>
      </w:r>
    </w:p>
    <w:p w14:paraId="3F929D5A" w14:textId="77777777" w:rsidR="00CA7A4E" w:rsidRPr="004A57BF" w:rsidRDefault="00CA7A4E" w:rsidP="004A57BF">
      <w:pPr>
        <w:pStyle w:val="ListParagraph"/>
        <w:numPr>
          <w:ilvl w:val="0"/>
          <w:numId w:val="13"/>
        </w:numPr>
        <w:tabs>
          <w:tab w:val="left" w:pos="630"/>
        </w:tabs>
        <w:spacing w:line="276" w:lineRule="auto"/>
        <w:jc w:val="both"/>
        <w:rPr>
          <w:rFonts w:cstheme="minorHAnsi"/>
          <w:szCs w:val="20"/>
          <w:lang w:val="ro-RO"/>
        </w:rPr>
      </w:pPr>
      <w:r w:rsidRPr="004A57BF">
        <w:rPr>
          <w:rFonts w:cstheme="minorHAnsi"/>
          <w:szCs w:val="20"/>
          <w:lang w:val="ro-RO"/>
        </w:rPr>
        <w:t>Anul școlar 2019-2020 a fost exclus din analiză, deoarece schimbarea formei de predare de la învățământul clasic la cel online (martie 2020), ca urmare a pandemiei COVID-19, poate să afecteze rata de participare la educație. Oricum, acest aspect nu afectează rezultatele analizei.</w:t>
      </w:r>
    </w:p>
    <w:p w14:paraId="76AB61EE" w14:textId="77777777" w:rsidR="00CA7A4E" w:rsidRPr="004A57BF" w:rsidRDefault="00CA7A4E" w:rsidP="004A57BF">
      <w:pPr>
        <w:pStyle w:val="Heading1"/>
        <w:numPr>
          <w:ilvl w:val="0"/>
          <w:numId w:val="14"/>
        </w:numPr>
        <w:jc w:val="both"/>
      </w:pPr>
      <w:bookmarkStart w:id="1" w:name="_Toc68685047"/>
      <w:r w:rsidRPr="004A57BF">
        <w:t>Descrierea datelor și a variabilelor</w:t>
      </w:r>
      <w:bookmarkEnd w:id="1"/>
    </w:p>
    <w:p w14:paraId="27D8D84E" w14:textId="77777777" w:rsidR="00CA7A4E" w:rsidRPr="004A57BF" w:rsidRDefault="00CA7A4E" w:rsidP="004A57BF">
      <w:pPr>
        <w:jc w:val="both"/>
        <w:rPr>
          <w:rFonts w:cstheme="minorHAnsi"/>
          <w:szCs w:val="20"/>
        </w:rPr>
      </w:pPr>
      <w:r w:rsidRPr="004A57BF">
        <w:rPr>
          <w:rFonts w:cstheme="minorHAnsi"/>
          <w:szCs w:val="20"/>
        </w:rPr>
        <w:t>S-a considerat grupul de control ca fiind compus din toate școlile care nu au fost tratate, respectiv 4509 unități,</w:t>
      </w:r>
      <w:r w:rsidRPr="004A57BF">
        <w:rPr>
          <w:rStyle w:val="FootnoteReference"/>
          <w:rFonts w:cstheme="minorHAnsi"/>
          <w:szCs w:val="20"/>
        </w:rPr>
        <w:footnoteReference w:id="1"/>
      </w:r>
      <w:r w:rsidRPr="004A57BF">
        <w:rPr>
          <w:rFonts w:cstheme="minorHAnsi"/>
          <w:szCs w:val="20"/>
        </w:rPr>
        <w:t xml:space="preserve"> și care au fost eligibile pentru a aplica în cadrul DMI 2.2. Lista acestor școli a fost întocmită de MEN. </w:t>
      </w:r>
    </w:p>
    <w:p w14:paraId="44EEF117" w14:textId="77777777" w:rsidR="00CA7A4E" w:rsidRPr="004A57BF" w:rsidRDefault="00CA7A4E" w:rsidP="004A57BF">
      <w:pPr>
        <w:jc w:val="both"/>
        <w:rPr>
          <w:rFonts w:cstheme="minorHAnsi"/>
          <w:szCs w:val="20"/>
        </w:rPr>
      </w:pPr>
      <w:r w:rsidRPr="004A57BF">
        <w:rPr>
          <w:rFonts w:cstheme="minorHAnsi"/>
          <w:szCs w:val="20"/>
        </w:rPr>
        <w:lastRenderedPageBreak/>
        <w:t xml:space="preserve">Grupul tratat conține 382 </w:t>
      </w:r>
      <w:r w:rsidRPr="004A57BF">
        <w:rPr>
          <w:rFonts w:cstheme="minorHAnsi"/>
          <w:b/>
          <w:szCs w:val="20"/>
        </w:rPr>
        <w:t>unități școlare</w:t>
      </w:r>
      <w:r w:rsidRPr="004A57BF">
        <w:rPr>
          <w:rFonts w:cstheme="minorHAnsi"/>
          <w:szCs w:val="20"/>
        </w:rPr>
        <w:t xml:space="preserve"> în care s-a implementat proiecte prin DMI 2.2. programul POSDRU, după anul 2010 (când au fost implementate primele proiecte) și până în anul 2014-2015. </w:t>
      </w:r>
    </w:p>
    <w:p w14:paraId="1DA3E782" w14:textId="77777777" w:rsidR="00CA7A4E" w:rsidRPr="004A57BF" w:rsidRDefault="00CA7A4E" w:rsidP="004A57BF">
      <w:pPr>
        <w:jc w:val="both"/>
        <w:rPr>
          <w:rFonts w:cstheme="minorHAnsi"/>
          <w:szCs w:val="20"/>
        </w:rPr>
      </w:pPr>
      <w:r w:rsidRPr="00551C01">
        <w:rPr>
          <w:rFonts w:cstheme="minorHAnsi"/>
          <w:szCs w:val="20"/>
        </w:rPr>
        <w:t xml:space="preserve">Datele disponibile se referă la ani școlari. Lista școlilor implicate în activități de creștere a participării școlare a fost realizată prin obținerea de informații de la beneficiari, respectiv în baza documentelor publicate pe site-urile proiectelor sau în comunicări publice online. Selecția acestora s-a făcut astfel încât să răspundă criteriilor Apelului, </w:t>
      </w:r>
      <w:r w:rsidRPr="004A57BF">
        <w:rPr>
          <w:rFonts w:cstheme="minorHAnsi"/>
          <w:szCs w:val="20"/>
        </w:rPr>
        <w:t>respectiv să fie din categoria școlilor celor mai defavorizate la nivel național. MEN a elaborat Metodologia</w:t>
      </w:r>
      <w:r w:rsidRPr="004A57BF">
        <w:rPr>
          <w:rStyle w:val="FootnoteReference"/>
          <w:rFonts w:cstheme="minorHAnsi"/>
          <w:szCs w:val="20"/>
        </w:rPr>
        <w:footnoteReference w:id="2"/>
      </w:r>
      <w:r w:rsidRPr="004A57BF">
        <w:rPr>
          <w:rFonts w:cstheme="minorHAnsi"/>
          <w:szCs w:val="20"/>
        </w:rPr>
        <w:t xml:space="preserve"> care permite identificarea categoriilor de defavorizare si pe baza căreia au fost determinați indicatorii folosiți în evaluare.</w:t>
      </w:r>
    </w:p>
    <w:p w14:paraId="33F52C23" w14:textId="77777777" w:rsidR="00CA7A4E" w:rsidRPr="004A57BF" w:rsidRDefault="00CA7A4E" w:rsidP="004A57BF">
      <w:pPr>
        <w:jc w:val="both"/>
        <w:rPr>
          <w:rFonts w:cstheme="minorHAnsi"/>
          <w:szCs w:val="20"/>
        </w:rPr>
      </w:pPr>
      <w:r w:rsidRPr="004A57BF">
        <w:rPr>
          <w:rFonts w:cstheme="minorHAnsi"/>
          <w:szCs w:val="20"/>
        </w:rPr>
        <w:t>Variabile de impact s-au selectat în conformitate cu descrierea apelului și, potrivit lanțului cauzal, au rolul de a capta efectul net asupra abandonului școlar. Dezvoltarea acestor variabile a fost condiționată de datele disponibile pentru perioada 2018-2020.</w:t>
      </w:r>
    </w:p>
    <w:p w14:paraId="5FAB003F" w14:textId="77777777" w:rsidR="00CA7A4E" w:rsidRPr="004A57BF" w:rsidRDefault="00CA7A4E" w:rsidP="004A57BF">
      <w:pPr>
        <w:pStyle w:val="ListParagraph"/>
        <w:numPr>
          <w:ilvl w:val="0"/>
          <w:numId w:val="9"/>
        </w:numPr>
        <w:spacing w:after="200" w:line="276" w:lineRule="auto"/>
        <w:jc w:val="both"/>
        <w:rPr>
          <w:rFonts w:cstheme="minorHAnsi"/>
          <w:szCs w:val="20"/>
          <w:lang w:val="ro-RO"/>
        </w:rPr>
      </w:pPr>
      <w:r w:rsidRPr="004A57BF">
        <w:rPr>
          <w:rFonts w:cstheme="minorHAnsi"/>
          <w:b/>
          <w:szCs w:val="20"/>
          <w:lang w:val="ro-RO"/>
        </w:rPr>
        <w:t>Riscul de abandon școlar</w:t>
      </w:r>
      <w:r w:rsidRPr="004A57BF">
        <w:rPr>
          <w:rFonts w:cstheme="minorHAnsi"/>
          <w:szCs w:val="20"/>
          <w:lang w:val="ro-RO"/>
        </w:rPr>
        <w:t xml:space="preserve">. </w:t>
      </w:r>
      <w:r w:rsidRPr="004A57BF">
        <w:rPr>
          <w:rFonts w:cstheme="minorHAnsi"/>
          <w:i/>
          <w:szCs w:val="20"/>
          <w:lang w:val="ro-RO"/>
        </w:rPr>
        <w:t>Variabila măsoară ponderea elevilor aflați în situația de repetenție sau cu situația școlară neîncheiată sau deschisă la sfârșitul anului școlar, în numărul total de elevi.</w:t>
      </w:r>
      <w:r w:rsidRPr="004A57BF">
        <w:rPr>
          <w:rFonts w:cstheme="minorHAnsi"/>
          <w:szCs w:val="20"/>
          <w:lang w:val="ro-RO"/>
        </w:rPr>
        <w:t xml:space="preserve">  Lipsa unor rezultate școlare satisfăcătoare (care generează repetenție), este unul din motivele principale ale descurajării elevilor, cu consecințe asupra absenteismului și abandonului (ISE, 2012). Prin urmare acest indicator caracterizează elevii aflați într-o situație de risc de a promova, ceea ce este asociată cu riscul de abandon.</w:t>
      </w:r>
    </w:p>
    <w:p w14:paraId="3E35604E" w14:textId="77777777" w:rsidR="00CA7A4E" w:rsidRPr="004A57BF" w:rsidRDefault="00CA7A4E" w:rsidP="004A57BF">
      <w:pPr>
        <w:pStyle w:val="ListParagraph"/>
        <w:numPr>
          <w:ilvl w:val="0"/>
          <w:numId w:val="9"/>
        </w:numPr>
        <w:spacing w:after="200" w:line="276" w:lineRule="auto"/>
        <w:jc w:val="both"/>
        <w:rPr>
          <w:rFonts w:cstheme="minorHAnsi"/>
          <w:szCs w:val="20"/>
          <w:lang w:val="ro-RO"/>
        </w:rPr>
      </w:pPr>
      <w:r w:rsidRPr="004A57BF">
        <w:rPr>
          <w:rFonts w:cstheme="minorHAnsi"/>
          <w:b/>
          <w:szCs w:val="20"/>
          <w:lang w:val="ro-RO"/>
        </w:rPr>
        <w:t xml:space="preserve">Rata abandonului școlar </w:t>
      </w:r>
      <w:r w:rsidRPr="004A57BF">
        <w:rPr>
          <w:rFonts w:cstheme="minorHAnsi"/>
          <w:szCs w:val="20"/>
          <w:lang w:val="ro-RO"/>
        </w:rPr>
        <w:t xml:space="preserve"> este determinată ca raport între </w:t>
      </w:r>
      <w:r w:rsidRPr="004A57BF">
        <w:rPr>
          <w:rFonts w:cstheme="minorHAnsi"/>
          <w:i/>
          <w:szCs w:val="20"/>
          <w:lang w:val="ro-RO"/>
        </w:rPr>
        <w:t>Numărul de elevi exmatriculați în cursul anului școlar</w:t>
      </w:r>
      <w:r w:rsidRPr="004A57BF">
        <w:rPr>
          <w:rFonts w:cstheme="minorHAnsi"/>
          <w:szCs w:val="20"/>
          <w:lang w:val="ro-RO"/>
        </w:rPr>
        <w:t xml:space="preserve"> și </w:t>
      </w:r>
      <w:r w:rsidRPr="004A57BF">
        <w:rPr>
          <w:rFonts w:cstheme="minorHAnsi"/>
          <w:i/>
          <w:szCs w:val="20"/>
          <w:lang w:val="ro-RO"/>
        </w:rPr>
        <w:t>Numărul total de elevi ai unității școlare</w:t>
      </w:r>
      <w:r w:rsidRPr="004A57BF">
        <w:rPr>
          <w:rFonts w:cstheme="minorHAnsi"/>
          <w:szCs w:val="20"/>
          <w:lang w:val="ro-RO"/>
        </w:rPr>
        <w:t xml:space="preserve">. </w:t>
      </w:r>
      <w:r w:rsidRPr="004A57BF">
        <w:rPr>
          <w:rFonts w:cstheme="minorHAnsi"/>
          <w:b/>
          <w:szCs w:val="20"/>
          <w:lang w:val="ro-RO"/>
        </w:rPr>
        <w:t>Acest indicator nu a prezentat efecte si diferențe semnificative statistic între grupul tratat si cel de control, prin urmare nu a fost folosit în analiza de impact care urmează.</w:t>
      </w:r>
    </w:p>
    <w:p w14:paraId="20BC6E00" w14:textId="77777777" w:rsidR="00CA7A4E" w:rsidRPr="004A57BF" w:rsidRDefault="00CA7A4E" w:rsidP="004A57BF">
      <w:pPr>
        <w:jc w:val="both"/>
        <w:rPr>
          <w:rFonts w:cstheme="minorHAnsi"/>
          <w:szCs w:val="20"/>
        </w:rPr>
      </w:pPr>
      <w:r w:rsidRPr="004A57BF">
        <w:rPr>
          <w:rFonts w:cstheme="minorHAnsi"/>
          <w:szCs w:val="20"/>
        </w:rPr>
        <w:t>Alături de acest indicator de impact, variabilele folosite în analiză sunt:</w:t>
      </w:r>
    </w:p>
    <w:p w14:paraId="77D4AB6C" w14:textId="77777777" w:rsidR="00CA7A4E" w:rsidRPr="004A57BF" w:rsidRDefault="00CA7A4E" w:rsidP="004A57BF">
      <w:pPr>
        <w:pStyle w:val="ListParagraph"/>
        <w:numPr>
          <w:ilvl w:val="0"/>
          <w:numId w:val="10"/>
        </w:numPr>
        <w:spacing w:after="0" w:line="276" w:lineRule="auto"/>
        <w:jc w:val="both"/>
        <w:rPr>
          <w:rFonts w:cstheme="minorHAnsi"/>
          <w:szCs w:val="20"/>
          <w:lang w:val="ro-RO"/>
        </w:rPr>
      </w:pPr>
      <w:r w:rsidRPr="004A57BF">
        <w:rPr>
          <w:rFonts w:cstheme="minorHAnsi"/>
          <w:szCs w:val="20"/>
          <w:lang w:val="ro-RO"/>
        </w:rPr>
        <w:t xml:space="preserve">Indicatori referitori la situația defavorizată a școlilor: Gradul de marginalizare al unității școlare, Clasa de defavorizare. </w:t>
      </w:r>
    </w:p>
    <w:p w14:paraId="34C13BA1" w14:textId="77777777" w:rsidR="00CA7A4E" w:rsidRPr="004A57BF" w:rsidRDefault="00CA7A4E" w:rsidP="004A57BF">
      <w:pPr>
        <w:pStyle w:val="ListParagraph"/>
        <w:numPr>
          <w:ilvl w:val="0"/>
          <w:numId w:val="10"/>
        </w:numPr>
        <w:spacing w:after="0" w:line="276" w:lineRule="auto"/>
        <w:jc w:val="both"/>
        <w:rPr>
          <w:rFonts w:cstheme="minorHAnsi"/>
          <w:szCs w:val="20"/>
          <w:lang w:val="ro-RO"/>
        </w:rPr>
      </w:pPr>
      <w:r w:rsidRPr="004A57BF">
        <w:rPr>
          <w:rFonts w:cstheme="minorHAnsi"/>
          <w:szCs w:val="20"/>
          <w:lang w:val="ro-RO"/>
        </w:rPr>
        <w:t>Indicatori referitori la dimensiunea și profilul elevilor: Număr total elevi, Număr elevi CES, Număr elevi roma.</w:t>
      </w:r>
    </w:p>
    <w:p w14:paraId="741970D1" w14:textId="77777777" w:rsidR="00CA7A4E" w:rsidRPr="004A57BF" w:rsidRDefault="00CA7A4E" w:rsidP="004A57BF">
      <w:pPr>
        <w:pStyle w:val="ListParagraph"/>
        <w:numPr>
          <w:ilvl w:val="0"/>
          <w:numId w:val="10"/>
        </w:numPr>
        <w:spacing w:after="0" w:line="276" w:lineRule="auto"/>
        <w:jc w:val="both"/>
        <w:rPr>
          <w:rFonts w:cstheme="minorHAnsi"/>
          <w:szCs w:val="20"/>
          <w:lang w:val="ro-RO"/>
        </w:rPr>
      </w:pPr>
      <w:r w:rsidRPr="004A57BF">
        <w:rPr>
          <w:rFonts w:cstheme="minorHAnsi"/>
          <w:szCs w:val="20"/>
          <w:lang w:val="ro-RO"/>
        </w:rPr>
        <w:t>Indicatori referitori la dimensiunea si structura personalului didactic: Pers. Didactic, Personal  auxiliar, nedidactice.</w:t>
      </w:r>
    </w:p>
    <w:p w14:paraId="0F0A0042" w14:textId="77777777" w:rsidR="00CA7A4E" w:rsidRPr="004A57BF" w:rsidRDefault="00CA7A4E" w:rsidP="004A57BF">
      <w:pPr>
        <w:pStyle w:val="ListParagraph"/>
        <w:numPr>
          <w:ilvl w:val="0"/>
          <w:numId w:val="10"/>
        </w:numPr>
        <w:spacing w:after="0" w:line="276" w:lineRule="auto"/>
        <w:jc w:val="both"/>
        <w:rPr>
          <w:rFonts w:cstheme="minorHAnsi"/>
          <w:szCs w:val="20"/>
          <w:lang w:val="ro-RO"/>
        </w:rPr>
      </w:pPr>
      <w:r w:rsidRPr="004A57BF">
        <w:rPr>
          <w:rFonts w:cstheme="minorHAnsi"/>
          <w:szCs w:val="20"/>
          <w:lang w:val="ro-RO"/>
        </w:rPr>
        <w:t xml:space="preserve">Regiunea de dezvoltare </w:t>
      </w:r>
    </w:p>
    <w:p w14:paraId="0DB8A10C" w14:textId="77777777" w:rsidR="00CA7A4E" w:rsidRPr="004A57BF" w:rsidRDefault="00CA7A4E" w:rsidP="004A57BF">
      <w:pPr>
        <w:pStyle w:val="ListParagraph"/>
        <w:numPr>
          <w:ilvl w:val="0"/>
          <w:numId w:val="10"/>
        </w:numPr>
        <w:spacing w:after="0" w:line="276" w:lineRule="auto"/>
        <w:jc w:val="both"/>
        <w:rPr>
          <w:rFonts w:cstheme="minorHAnsi"/>
          <w:szCs w:val="20"/>
          <w:lang w:val="ro-RO"/>
        </w:rPr>
      </w:pPr>
      <w:r w:rsidRPr="004A57BF">
        <w:rPr>
          <w:rFonts w:cstheme="minorHAnsi"/>
          <w:szCs w:val="20"/>
          <w:lang w:val="ro-RO"/>
        </w:rPr>
        <w:t>Mediul rural</w:t>
      </w:r>
    </w:p>
    <w:p w14:paraId="7F06FE41" w14:textId="77777777" w:rsidR="00CA7A4E" w:rsidRPr="004A57BF" w:rsidRDefault="00CA7A4E" w:rsidP="004A57BF">
      <w:pPr>
        <w:pStyle w:val="Heading1"/>
        <w:numPr>
          <w:ilvl w:val="0"/>
          <w:numId w:val="14"/>
        </w:numPr>
        <w:jc w:val="both"/>
      </w:pPr>
      <w:bookmarkStart w:id="2" w:name="_Toc68685048"/>
      <w:r w:rsidRPr="004A57BF">
        <w:t>Rezultatele ECI post intervenție, pentru anii 2016-2017 si 2018-2019</w:t>
      </w:r>
      <w:bookmarkEnd w:id="2"/>
    </w:p>
    <w:p w14:paraId="4A550CF5" w14:textId="77777777" w:rsidR="00CA7A4E" w:rsidRPr="004A57BF" w:rsidRDefault="00CA7A4E" w:rsidP="004A57BF">
      <w:pPr>
        <w:jc w:val="both"/>
        <w:rPr>
          <w:rFonts w:cstheme="minorHAnsi"/>
          <w:szCs w:val="20"/>
        </w:rPr>
      </w:pPr>
      <w:r w:rsidRPr="004A57BF">
        <w:rPr>
          <w:rFonts w:cstheme="minorHAnsi"/>
          <w:szCs w:val="20"/>
        </w:rPr>
        <w:t xml:space="preserve">Criteriile de selecție ale grupului tratat evidențiază situația deosebit de dificilă a acestor școli înainte de a începe implementarea măsurilor prin DMI 2.2. Decalajul față de grupul de control este semnificativ, ceea ce confirmă faptul că s-au selectat spre finanțare școlile care au avut o situație nefavorabilă. Grupul de control, compus din </w:t>
      </w:r>
      <w:r w:rsidRPr="004A57BF">
        <w:rPr>
          <w:rFonts w:cstheme="minorHAnsi"/>
          <w:b/>
          <w:szCs w:val="20"/>
        </w:rPr>
        <w:t>4509  unități școlare</w:t>
      </w:r>
      <w:r w:rsidRPr="004A57BF">
        <w:rPr>
          <w:rFonts w:cstheme="minorHAnsi"/>
          <w:szCs w:val="20"/>
        </w:rPr>
        <w:t>, pentru care s-au calculat clasele de defavorizare la nivelul MEN</w:t>
      </w:r>
      <w:r w:rsidRPr="004A57BF">
        <w:rPr>
          <w:rStyle w:val="FootnoteReference"/>
          <w:rFonts w:cstheme="minorHAnsi"/>
          <w:szCs w:val="20"/>
        </w:rPr>
        <w:footnoteReference w:id="3"/>
      </w:r>
      <w:r w:rsidRPr="004A57BF">
        <w:rPr>
          <w:rFonts w:cstheme="minorHAnsi"/>
          <w:szCs w:val="20"/>
        </w:rPr>
        <w:t xml:space="preserve"> și care prezintă caracteristici asemănătoare cu grupul tratat, chiar daca nu au aplicat pentru finanțare. Prin tehnicile PSM școlile din grupul tratat vor fi potrivite cu cele din grupul netratat, pentru  a se asigura o similitudine și mai ridicată.</w:t>
      </w:r>
    </w:p>
    <w:p w14:paraId="3BDEEAE5" w14:textId="77777777" w:rsidR="00CA7A4E" w:rsidRPr="004A57BF" w:rsidRDefault="00CA7A4E" w:rsidP="004A57BF">
      <w:pPr>
        <w:jc w:val="both"/>
        <w:rPr>
          <w:rFonts w:cstheme="minorHAnsi"/>
          <w:szCs w:val="20"/>
        </w:rPr>
      </w:pPr>
      <w:r w:rsidRPr="004A57BF">
        <w:rPr>
          <w:rFonts w:cstheme="minorHAnsi"/>
          <w:szCs w:val="20"/>
        </w:rPr>
        <w:t>Variabila de impact, riscul de abandon, a avut următoarele valori in cele două grupuri, în perioada 2014-2019.</w:t>
      </w:r>
    </w:p>
    <w:p w14:paraId="71E62F80" w14:textId="77777777" w:rsidR="00CA7A4E" w:rsidRPr="004A57BF" w:rsidRDefault="00CA7A4E" w:rsidP="00B82B7B">
      <w:pPr>
        <w:jc w:val="both"/>
        <w:rPr>
          <w:rFonts w:cstheme="minorHAnsi"/>
          <w:b/>
          <w:szCs w:val="20"/>
        </w:rPr>
      </w:pPr>
      <w:r w:rsidRPr="004A57BF">
        <w:rPr>
          <w:rFonts w:cstheme="minorHAnsi"/>
          <w:b/>
          <w:szCs w:val="20"/>
        </w:rPr>
        <w:t>Tabel 1. Descrierea variabilei de impact în cadrul grupului de control si tratat, între 2014-2015 si 2018-2019</w:t>
      </w:r>
    </w:p>
    <w:tbl>
      <w:tblPr>
        <w:tblW w:w="6600" w:type="dxa"/>
        <w:tblLook w:val="04A0" w:firstRow="1" w:lastRow="0" w:firstColumn="1" w:lastColumn="0" w:noHBand="0" w:noVBand="1"/>
      </w:tblPr>
      <w:tblGrid>
        <w:gridCol w:w="1800"/>
        <w:gridCol w:w="960"/>
        <w:gridCol w:w="960"/>
        <w:gridCol w:w="960"/>
        <w:gridCol w:w="960"/>
        <w:gridCol w:w="960"/>
      </w:tblGrid>
      <w:tr w:rsidR="00CA7A4E" w:rsidRPr="004A57BF" w14:paraId="7B22E46D" w14:textId="77777777" w:rsidTr="005468A7">
        <w:trPr>
          <w:trHeight w:val="290"/>
        </w:trPr>
        <w:tc>
          <w:tcPr>
            <w:tcW w:w="1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B93950"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RISC DE ABANDON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AD876A0"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Obs</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4D4B9351"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Mean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75F774B"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Std. Dev.</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4707586"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Min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9598A7D"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Max</w:t>
            </w:r>
          </w:p>
        </w:tc>
      </w:tr>
      <w:tr w:rsidR="00CA7A4E" w:rsidRPr="004A57BF" w14:paraId="16D20981" w14:textId="77777777" w:rsidTr="005468A7">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4A23618"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Grup nefinanțat</w:t>
            </w:r>
          </w:p>
        </w:tc>
        <w:tc>
          <w:tcPr>
            <w:tcW w:w="960" w:type="dxa"/>
            <w:tcBorders>
              <w:top w:val="nil"/>
              <w:left w:val="nil"/>
              <w:bottom w:val="single" w:sz="4" w:space="0" w:color="auto"/>
              <w:right w:val="single" w:sz="4" w:space="0" w:color="auto"/>
            </w:tcBorders>
            <w:shd w:val="clear" w:color="auto" w:fill="auto"/>
            <w:noWrap/>
            <w:vAlign w:val="bottom"/>
            <w:hideMark/>
          </w:tcPr>
          <w:p w14:paraId="5E01DA02"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8156DC6"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920FFC0"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420032C8"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CA8E7D1"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 </w:t>
            </w:r>
          </w:p>
        </w:tc>
      </w:tr>
      <w:tr w:rsidR="00CA7A4E" w:rsidRPr="004A57BF" w14:paraId="71A8485F" w14:textId="77777777" w:rsidTr="005468A7">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12C365C5"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2014-2015</w:t>
            </w:r>
          </w:p>
        </w:tc>
        <w:tc>
          <w:tcPr>
            <w:tcW w:w="960" w:type="dxa"/>
            <w:tcBorders>
              <w:top w:val="nil"/>
              <w:left w:val="nil"/>
              <w:bottom w:val="single" w:sz="4" w:space="0" w:color="auto"/>
              <w:right w:val="single" w:sz="4" w:space="0" w:color="auto"/>
            </w:tcBorders>
            <w:shd w:val="clear" w:color="auto" w:fill="auto"/>
            <w:noWrap/>
            <w:vAlign w:val="bottom"/>
            <w:hideMark/>
          </w:tcPr>
          <w:p w14:paraId="6D23EA1D"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4,516</w:t>
            </w:r>
          </w:p>
        </w:tc>
        <w:tc>
          <w:tcPr>
            <w:tcW w:w="960" w:type="dxa"/>
            <w:tcBorders>
              <w:top w:val="nil"/>
              <w:left w:val="nil"/>
              <w:bottom w:val="single" w:sz="4" w:space="0" w:color="auto"/>
              <w:right w:val="single" w:sz="4" w:space="0" w:color="auto"/>
            </w:tcBorders>
            <w:shd w:val="clear" w:color="auto" w:fill="auto"/>
            <w:noWrap/>
            <w:vAlign w:val="bottom"/>
            <w:hideMark/>
          </w:tcPr>
          <w:p w14:paraId="15D9598B"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4.11%</w:t>
            </w:r>
          </w:p>
        </w:tc>
        <w:tc>
          <w:tcPr>
            <w:tcW w:w="960" w:type="dxa"/>
            <w:tcBorders>
              <w:top w:val="nil"/>
              <w:left w:val="nil"/>
              <w:bottom w:val="single" w:sz="4" w:space="0" w:color="auto"/>
              <w:right w:val="single" w:sz="4" w:space="0" w:color="auto"/>
            </w:tcBorders>
            <w:shd w:val="clear" w:color="auto" w:fill="auto"/>
            <w:noWrap/>
            <w:vAlign w:val="bottom"/>
            <w:hideMark/>
          </w:tcPr>
          <w:p w14:paraId="4E4CD87A"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0.05116</w:t>
            </w:r>
          </w:p>
        </w:tc>
        <w:tc>
          <w:tcPr>
            <w:tcW w:w="960" w:type="dxa"/>
            <w:tcBorders>
              <w:top w:val="nil"/>
              <w:left w:val="nil"/>
              <w:bottom w:val="single" w:sz="4" w:space="0" w:color="auto"/>
              <w:right w:val="single" w:sz="4" w:space="0" w:color="auto"/>
            </w:tcBorders>
            <w:shd w:val="clear" w:color="auto" w:fill="auto"/>
            <w:noWrap/>
            <w:vAlign w:val="bottom"/>
            <w:hideMark/>
          </w:tcPr>
          <w:p w14:paraId="751995E3"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1980FEF"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0.606061</w:t>
            </w:r>
          </w:p>
        </w:tc>
      </w:tr>
      <w:tr w:rsidR="00CA7A4E" w:rsidRPr="004A57BF" w14:paraId="01441B96" w14:textId="77777777" w:rsidTr="005468A7">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5FED4ACA"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2015-2016</w:t>
            </w:r>
          </w:p>
        </w:tc>
        <w:tc>
          <w:tcPr>
            <w:tcW w:w="960" w:type="dxa"/>
            <w:tcBorders>
              <w:top w:val="nil"/>
              <w:left w:val="nil"/>
              <w:bottom w:val="single" w:sz="4" w:space="0" w:color="auto"/>
              <w:right w:val="single" w:sz="4" w:space="0" w:color="auto"/>
            </w:tcBorders>
            <w:shd w:val="clear" w:color="auto" w:fill="auto"/>
            <w:noWrap/>
            <w:vAlign w:val="bottom"/>
            <w:hideMark/>
          </w:tcPr>
          <w:p w14:paraId="2D5AFEFA"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4,526</w:t>
            </w:r>
          </w:p>
        </w:tc>
        <w:tc>
          <w:tcPr>
            <w:tcW w:w="960" w:type="dxa"/>
            <w:tcBorders>
              <w:top w:val="nil"/>
              <w:left w:val="nil"/>
              <w:bottom w:val="single" w:sz="4" w:space="0" w:color="auto"/>
              <w:right w:val="single" w:sz="4" w:space="0" w:color="auto"/>
            </w:tcBorders>
            <w:shd w:val="clear" w:color="auto" w:fill="auto"/>
            <w:noWrap/>
            <w:vAlign w:val="bottom"/>
            <w:hideMark/>
          </w:tcPr>
          <w:p w14:paraId="16F47D43"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4.45%</w:t>
            </w:r>
          </w:p>
        </w:tc>
        <w:tc>
          <w:tcPr>
            <w:tcW w:w="960" w:type="dxa"/>
            <w:tcBorders>
              <w:top w:val="nil"/>
              <w:left w:val="nil"/>
              <w:bottom w:val="single" w:sz="4" w:space="0" w:color="auto"/>
              <w:right w:val="single" w:sz="4" w:space="0" w:color="auto"/>
            </w:tcBorders>
            <w:shd w:val="clear" w:color="auto" w:fill="auto"/>
            <w:noWrap/>
            <w:vAlign w:val="bottom"/>
            <w:hideMark/>
          </w:tcPr>
          <w:p w14:paraId="3C762EE9"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0.053617</w:t>
            </w:r>
          </w:p>
        </w:tc>
        <w:tc>
          <w:tcPr>
            <w:tcW w:w="960" w:type="dxa"/>
            <w:tcBorders>
              <w:top w:val="nil"/>
              <w:left w:val="nil"/>
              <w:bottom w:val="single" w:sz="4" w:space="0" w:color="auto"/>
              <w:right w:val="single" w:sz="4" w:space="0" w:color="auto"/>
            </w:tcBorders>
            <w:shd w:val="clear" w:color="auto" w:fill="auto"/>
            <w:noWrap/>
            <w:vAlign w:val="bottom"/>
            <w:hideMark/>
          </w:tcPr>
          <w:p w14:paraId="1CF263A2"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19E5002A"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0.581818</w:t>
            </w:r>
          </w:p>
        </w:tc>
      </w:tr>
      <w:tr w:rsidR="00CA7A4E" w:rsidRPr="004A57BF" w14:paraId="0F01146C" w14:textId="77777777" w:rsidTr="005468A7">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CE2F22E"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lastRenderedPageBreak/>
              <w:t>2016-2017</w:t>
            </w:r>
          </w:p>
        </w:tc>
        <w:tc>
          <w:tcPr>
            <w:tcW w:w="960" w:type="dxa"/>
            <w:tcBorders>
              <w:top w:val="nil"/>
              <w:left w:val="nil"/>
              <w:bottom w:val="single" w:sz="4" w:space="0" w:color="auto"/>
              <w:right w:val="single" w:sz="4" w:space="0" w:color="auto"/>
            </w:tcBorders>
            <w:shd w:val="clear" w:color="auto" w:fill="auto"/>
            <w:noWrap/>
            <w:vAlign w:val="bottom"/>
            <w:hideMark/>
          </w:tcPr>
          <w:p w14:paraId="19719A64"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4,498</w:t>
            </w:r>
          </w:p>
        </w:tc>
        <w:tc>
          <w:tcPr>
            <w:tcW w:w="960" w:type="dxa"/>
            <w:tcBorders>
              <w:top w:val="nil"/>
              <w:left w:val="nil"/>
              <w:bottom w:val="single" w:sz="4" w:space="0" w:color="auto"/>
              <w:right w:val="single" w:sz="4" w:space="0" w:color="auto"/>
            </w:tcBorders>
            <w:shd w:val="clear" w:color="auto" w:fill="auto"/>
            <w:noWrap/>
            <w:vAlign w:val="bottom"/>
            <w:hideMark/>
          </w:tcPr>
          <w:p w14:paraId="363CBED7"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4.30%</w:t>
            </w:r>
          </w:p>
        </w:tc>
        <w:tc>
          <w:tcPr>
            <w:tcW w:w="960" w:type="dxa"/>
            <w:tcBorders>
              <w:top w:val="nil"/>
              <w:left w:val="nil"/>
              <w:bottom w:val="single" w:sz="4" w:space="0" w:color="auto"/>
              <w:right w:val="single" w:sz="4" w:space="0" w:color="auto"/>
            </w:tcBorders>
            <w:shd w:val="clear" w:color="auto" w:fill="auto"/>
            <w:noWrap/>
            <w:vAlign w:val="bottom"/>
            <w:hideMark/>
          </w:tcPr>
          <w:p w14:paraId="53720B65"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0.054503</w:t>
            </w:r>
          </w:p>
        </w:tc>
        <w:tc>
          <w:tcPr>
            <w:tcW w:w="960" w:type="dxa"/>
            <w:tcBorders>
              <w:top w:val="nil"/>
              <w:left w:val="nil"/>
              <w:bottom w:val="single" w:sz="4" w:space="0" w:color="auto"/>
              <w:right w:val="single" w:sz="4" w:space="0" w:color="auto"/>
            </w:tcBorders>
            <w:shd w:val="clear" w:color="auto" w:fill="auto"/>
            <w:noWrap/>
            <w:vAlign w:val="bottom"/>
            <w:hideMark/>
          </w:tcPr>
          <w:p w14:paraId="592BF636"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06914B44"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0.630952</w:t>
            </w:r>
          </w:p>
        </w:tc>
      </w:tr>
      <w:tr w:rsidR="00CA7A4E" w:rsidRPr="004A57BF" w14:paraId="20D33055" w14:textId="77777777" w:rsidTr="005468A7">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77926DC"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2018-2019</w:t>
            </w:r>
          </w:p>
        </w:tc>
        <w:tc>
          <w:tcPr>
            <w:tcW w:w="960" w:type="dxa"/>
            <w:tcBorders>
              <w:top w:val="nil"/>
              <w:left w:val="nil"/>
              <w:bottom w:val="single" w:sz="4" w:space="0" w:color="auto"/>
              <w:right w:val="single" w:sz="4" w:space="0" w:color="auto"/>
            </w:tcBorders>
            <w:shd w:val="clear" w:color="auto" w:fill="auto"/>
            <w:noWrap/>
            <w:vAlign w:val="bottom"/>
            <w:hideMark/>
          </w:tcPr>
          <w:p w14:paraId="3DD4A588"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4,435</w:t>
            </w:r>
          </w:p>
        </w:tc>
        <w:tc>
          <w:tcPr>
            <w:tcW w:w="960" w:type="dxa"/>
            <w:tcBorders>
              <w:top w:val="nil"/>
              <w:left w:val="nil"/>
              <w:bottom w:val="single" w:sz="4" w:space="0" w:color="auto"/>
              <w:right w:val="single" w:sz="4" w:space="0" w:color="auto"/>
            </w:tcBorders>
            <w:shd w:val="clear" w:color="auto" w:fill="auto"/>
            <w:noWrap/>
            <w:vAlign w:val="bottom"/>
            <w:hideMark/>
          </w:tcPr>
          <w:p w14:paraId="21DF238E"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4.17%</w:t>
            </w:r>
          </w:p>
        </w:tc>
        <w:tc>
          <w:tcPr>
            <w:tcW w:w="960" w:type="dxa"/>
            <w:tcBorders>
              <w:top w:val="nil"/>
              <w:left w:val="nil"/>
              <w:bottom w:val="single" w:sz="4" w:space="0" w:color="auto"/>
              <w:right w:val="single" w:sz="4" w:space="0" w:color="auto"/>
            </w:tcBorders>
            <w:shd w:val="clear" w:color="auto" w:fill="auto"/>
            <w:noWrap/>
            <w:vAlign w:val="bottom"/>
            <w:hideMark/>
          </w:tcPr>
          <w:p w14:paraId="0863CD90"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0.053912</w:t>
            </w:r>
          </w:p>
        </w:tc>
        <w:tc>
          <w:tcPr>
            <w:tcW w:w="960" w:type="dxa"/>
            <w:tcBorders>
              <w:top w:val="nil"/>
              <w:left w:val="nil"/>
              <w:bottom w:val="single" w:sz="4" w:space="0" w:color="auto"/>
              <w:right w:val="single" w:sz="4" w:space="0" w:color="auto"/>
            </w:tcBorders>
            <w:shd w:val="clear" w:color="auto" w:fill="auto"/>
            <w:noWrap/>
            <w:vAlign w:val="bottom"/>
            <w:hideMark/>
          </w:tcPr>
          <w:p w14:paraId="77D1D205"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772F94F"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0.739496</w:t>
            </w:r>
          </w:p>
        </w:tc>
      </w:tr>
      <w:tr w:rsidR="00CA7A4E" w:rsidRPr="004A57BF" w14:paraId="4BA92827" w14:textId="77777777" w:rsidTr="005468A7">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0F1DE2E"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Grup finanțat</w:t>
            </w:r>
          </w:p>
        </w:tc>
        <w:tc>
          <w:tcPr>
            <w:tcW w:w="960" w:type="dxa"/>
            <w:tcBorders>
              <w:top w:val="nil"/>
              <w:left w:val="nil"/>
              <w:bottom w:val="single" w:sz="4" w:space="0" w:color="auto"/>
              <w:right w:val="single" w:sz="4" w:space="0" w:color="auto"/>
            </w:tcBorders>
            <w:shd w:val="clear" w:color="auto" w:fill="auto"/>
            <w:noWrap/>
            <w:vAlign w:val="bottom"/>
            <w:hideMark/>
          </w:tcPr>
          <w:p w14:paraId="39E5787B"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334BE47F"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01899F80"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17B8B04B"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 </w:t>
            </w:r>
          </w:p>
        </w:tc>
        <w:tc>
          <w:tcPr>
            <w:tcW w:w="960" w:type="dxa"/>
            <w:tcBorders>
              <w:top w:val="nil"/>
              <w:left w:val="nil"/>
              <w:bottom w:val="single" w:sz="4" w:space="0" w:color="auto"/>
              <w:right w:val="single" w:sz="4" w:space="0" w:color="auto"/>
            </w:tcBorders>
            <w:shd w:val="clear" w:color="auto" w:fill="auto"/>
            <w:noWrap/>
            <w:vAlign w:val="bottom"/>
            <w:hideMark/>
          </w:tcPr>
          <w:p w14:paraId="234FE8F8"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 </w:t>
            </w:r>
          </w:p>
        </w:tc>
      </w:tr>
      <w:tr w:rsidR="00CA7A4E" w:rsidRPr="004A57BF" w14:paraId="4AC51377" w14:textId="77777777" w:rsidTr="005468A7">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33764F40"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2014-2015</w:t>
            </w:r>
          </w:p>
        </w:tc>
        <w:tc>
          <w:tcPr>
            <w:tcW w:w="960" w:type="dxa"/>
            <w:tcBorders>
              <w:top w:val="nil"/>
              <w:left w:val="nil"/>
              <w:bottom w:val="single" w:sz="4" w:space="0" w:color="auto"/>
              <w:right w:val="single" w:sz="4" w:space="0" w:color="auto"/>
            </w:tcBorders>
            <w:shd w:val="clear" w:color="auto" w:fill="auto"/>
            <w:noWrap/>
            <w:vAlign w:val="bottom"/>
            <w:hideMark/>
          </w:tcPr>
          <w:p w14:paraId="5CCB1BC5"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381</w:t>
            </w:r>
          </w:p>
        </w:tc>
        <w:tc>
          <w:tcPr>
            <w:tcW w:w="960" w:type="dxa"/>
            <w:tcBorders>
              <w:top w:val="nil"/>
              <w:left w:val="nil"/>
              <w:bottom w:val="single" w:sz="4" w:space="0" w:color="auto"/>
              <w:right w:val="single" w:sz="4" w:space="0" w:color="auto"/>
            </w:tcBorders>
            <w:shd w:val="clear" w:color="auto" w:fill="auto"/>
            <w:noWrap/>
            <w:vAlign w:val="bottom"/>
            <w:hideMark/>
          </w:tcPr>
          <w:p w14:paraId="76F54661"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8.81%</w:t>
            </w:r>
          </w:p>
        </w:tc>
        <w:tc>
          <w:tcPr>
            <w:tcW w:w="960" w:type="dxa"/>
            <w:tcBorders>
              <w:top w:val="nil"/>
              <w:left w:val="nil"/>
              <w:bottom w:val="single" w:sz="4" w:space="0" w:color="auto"/>
              <w:right w:val="single" w:sz="4" w:space="0" w:color="auto"/>
            </w:tcBorders>
            <w:shd w:val="clear" w:color="auto" w:fill="auto"/>
            <w:noWrap/>
            <w:vAlign w:val="bottom"/>
            <w:hideMark/>
          </w:tcPr>
          <w:p w14:paraId="3A99F412"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0.080678</w:t>
            </w:r>
          </w:p>
        </w:tc>
        <w:tc>
          <w:tcPr>
            <w:tcW w:w="960" w:type="dxa"/>
            <w:tcBorders>
              <w:top w:val="nil"/>
              <w:left w:val="nil"/>
              <w:bottom w:val="single" w:sz="4" w:space="0" w:color="auto"/>
              <w:right w:val="single" w:sz="4" w:space="0" w:color="auto"/>
            </w:tcBorders>
            <w:shd w:val="clear" w:color="auto" w:fill="auto"/>
            <w:noWrap/>
            <w:vAlign w:val="bottom"/>
            <w:hideMark/>
          </w:tcPr>
          <w:p w14:paraId="3F3521B1"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745A6441"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0.476923</w:t>
            </w:r>
          </w:p>
        </w:tc>
      </w:tr>
      <w:tr w:rsidR="00CA7A4E" w:rsidRPr="004A57BF" w14:paraId="791492CB" w14:textId="77777777" w:rsidTr="005468A7">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05888DD5"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2015-2016</w:t>
            </w:r>
          </w:p>
        </w:tc>
        <w:tc>
          <w:tcPr>
            <w:tcW w:w="960" w:type="dxa"/>
            <w:tcBorders>
              <w:top w:val="nil"/>
              <w:left w:val="nil"/>
              <w:bottom w:val="single" w:sz="4" w:space="0" w:color="auto"/>
              <w:right w:val="single" w:sz="4" w:space="0" w:color="auto"/>
            </w:tcBorders>
            <w:shd w:val="clear" w:color="auto" w:fill="auto"/>
            <w:noWrap/>
            <w:vAlign w:val="bottom"/>
            <w:hideMark/>
          </w:tcPr>
          <w:p w14:paraId="62B5D06F"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382</w:t>
            </w:r>
          </w:p>
        </w:tc>
        <w:tc>
          <w:tcPr>
            <w:tcW w:w="960" w:type="dxa"/>
            <w:tcBorders>
              <w:top w:val="nil"/>
              <w:left w:val="nil"/>
              <w:bottom w:val="single" w:sz="4" w:space="0" w:color="auto"/>
              <w:right w:val="single" w:sz="4" w:space="0" w:color="auto"/>
            </w:tcBorders>
            <w:shd w:val="clear" w:color="auto" w:fill="auto"/>
            <w:noWrap/>
            <w:vAlign w:val="bottom"/>
            <w:hideMark/>
          </w:tcPr>
          <w:p w14:paraId="740A2B08"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9.45%</w:t>
            </w:r>
          </w:p>
        </w:tc>
        <w:tc>
          <w:tcPr>
            <w:tcW w:w="960" w:type="dxa"/>
            <w:tcBorders>
              <w:top w:val="nil"/>
              <w:left w:val="nil"/>
              <w:bottom w:val="single" w:sz="4" w:space="0" w:color="auto"/>
              <w:right w:val="single" w:sz="4" w:space="0" w:color="auto"/>
            </w:tcBorders>
            <w:shd w:val="clear" w:color="auto" w:fill="auto"/>
            <w:noWrap/>
            <w:vAlign w:val="bottom"/>
            <w:hideMark/>
          </w:tcPr>
          <w:p w14:paraId="4521C3A6"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0.086831</w:t>
            </w:r>
          </w:p>
        </w:tc>
        <w:tc>
          <w:tcPr>
            <w:tcW w:w="960" w:type="dxa"/>
            <w:tcBorders>
              <w:top w:val="nil"/>
              <w:left w:val="nil"/>
              <w:bottom w:val="single" w:sz="4" w:space="0" w:color="auto"/>
              <w:right w:val="single" w:sz="4" w:space="0" w:color="auto"/>
            </w:tcBorders>
            <w:shd w:val="clear" w:color="auto" w:fill="auto"/>
            <w:noWrap/>
            <w:vAlign w:val="bottom"/>
            <w:hideMark/>
          </w:tcPr>
          <w:p w14:paraId="3B5B86F4"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41551BB4"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0.508685</w:t>
            </w:r>
          </w:p>
        </w:tc>
      </w:tr>
      <w:tr w:rsidR="00CA7A4E" w:rsidRPr="004A57BF" w14:paraId="50948B16" w14:textId="77777777" w:rsidTr="005468A7">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25505DC0"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2016-2017</w:t>
            </w:r>
          </w:p>
        </w:tc>
        <w:tc>
          <w:tcPr>
            <w:tcW w:w="960" w:type="dxa"/>
            <w:tcBorders>
              <w:top w:val="nil"/>
              <w:left w:val="nil"/>
              <w:bottom w:val="single" w:sz="4" w:space="0" w:color="auto"/>
              <w:right w:val="single" w:sz="4" w:space="0" w:color="auto"/>
            </w:tcBorders>
            <w:shd w:val="clear" w:color="auto" w:fill="auto"/>
            <w:noWrap/>
            <w:vAlign w:val="bottom"/>
            <w:hideMark/>
          </w:tcPr>
          <w:p w14:paraId="172946B9"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381</w:t>
            </w:r>
          </w:p>
        </w:tc>
        <w:tc>
          <w:tcPr>
            <w:tcW w:w="960" w:type="dxa"/>
            <w:tcBorders>
              <w:top w:val="nil"/>
              <w:left w:val="nil"/>
              <w:bottom w:val="single" w:sz="4" w:space="0" w:color="auto"/>
              <w:right w:val="single" w:sz="4" w:space="0" w:color="auto"/>
            </w:tcBorders>
            <w:shd w:val="clear" w:color="auto" w:fill="auto"/>
            <w:noWrap/>
            <w:vAlign w:val="bottom"/>
            <w:hideMark/>
          </w:tcPr>
          <w:p w14:paraId="258AF4FC"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9.05%</w:t>
            </w:r>
          </w:p>
        </w:tc>
        <w:tc>
          <w:tcPr>
            <w:tcW w:w="960" w:type="dxa"/>
            <w:tcBorders>
              <w:top w:val="nil"/>
              <w:left w:val="nil"/>
              <w:bottom w:val="single" w:sz="4" w:space="0" w:color="auto"/>
              <w:right w:val="single" w:sz="4" w:space="0" w:color="auto"/>
            </w:tcBorders>
            <w:shd w:val="clear" w:color="auto" w:fill="auto"/>
            <w:noWrap/>
            <w:vAlign w:val="bottom"/>
            <w:hideMark/>
          </w:tcPr>
          <w:p w14:paraId="5EE52FDA"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0.084563</w:t>
            </w:r>
          </w:p>
        </w:tc>
        <w:tc>
          <w:tcPr>
            <w:tcW w:w="960" w:type="dxa"/>
            <w:tcBorders>
              <w:top w:val="nil"/>
              <w:left w:val="nil"/>
              <w:bottom w:val="single" w:sz="4" w:space="0" w:color="auto"/>
              <w:right w:val="single" w:sz="4" w:space="0" w:color="auto"/>
            </w:tcBorders>
            <w:shd w:val="clear" w:color="auto" w:fill="auto"/>
            <w:noWrap/>
            <w:vAlign w:val="bottom"/>
            <w:hideMark/>
          </w:tcPr>
          <w:p w14:paraId="1969A2E7"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049B3031"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0.492126</w:t>
            </w:r>
          </w:p>
        </w:tc>
      </w:tr>
      <w:tr w:rsidR="00CA7A4E" w:rsidRPr="004A57BF" w14:paraId="2BE10A49" w14:textId="77777777" w:rsidTr="005468A7">
        <w:trPr>
          <w:trHeight w:val="290"/>
        </w:trPr>
        <w:tc>
          <w:tcPr>
            <w:tcW w:w="1800" w:type="dxa"/>
            <w:tcBorders>
              <w:top w:val="nil"/>
              <w:left w:val="single" w:sz="4" w:space="0" w:color="auto"/>
              <w:bottom w:val="single" w:sz="4" w:space="0" w:color="auto"/>
              <w:right w:val="single" w:sz="4" w:space="0" w:color="auto"/>
            </w:tcBorders>
            <w:shd w:val="clear" w:color="auto" w:fill="auto"/>
            <w:noWrap/>
            <w:vAlign w:val="bottom"/>
            <w:hideMark/>
          </w:tcPr>
          <w:p w14:paraId="6DA8A92D"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2018-2019</w:t>
            </w:r>
          </w:p>
        </w:tc>
        <w:tc>
          <w:tcPr>
            <w:tcW w:w="960" w:type="dxa"/>
            <w:tcBorders>
              <w:top w:val="nil"/>
              <w:left w:val="nil"/>
              <w:bottom w:val="single" w:sz="4" w:space="0" w:color="auto"/>
              <w:right w:val="single" w:sz="4" w:space="0" w:color="auto"/>
            </w:tcBorders>
            <w:shd w:val="clear" w:color="auto" w:fill="auto"/>
            <w:noWrap/>
            <w:vAlign w:val="bottom"/>
            <w:hideMark/>
          </w:tcPr>
          <w:p w14:paraId="7A6F098C"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381</w:t>
            </w:r>
          </w:p>
        </w:tc>
        <w:tc>
          <w:tcPr>
            <w:tcW w:w="960" w:type="dxa"/>
            <w:tcBorders>
              <w:top w:val="nil"/>
              <w:left w:val="nil"/>
              <w:bottom w:val="single" w:sz="4" w:space="0" w:color="auto"/>
              <w:right w:val="single" w:sz="4" w:space="0" w:color="auto"/>
            </w:tcBorders>
            <w:shd w:val="clear" w:color="auto" w:fill="auto"/>
            <w:noWrap/>
            <w:vAlign w:val="bottom"/>
            <w:hideMark/>
          </w:tcPr>
          <w:p w14:paraId="10CE36C6"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9.27%</w:t>
            </w:r>
          </w:p>
        </w:tc>
        <w:tc>
          <w:tcPr>
            <w:tcW w:w="960" w:type="dxa"/>
            <w:tcBorders>
              <w:top w:val="nil"/>
              <w:left w:val="nil"/>
              <w:bottom w:val="single" w:sz="4" w:space="0" w:color="auto"/>
              <w:right w:val="single" w:sz="4" w:space="0" w:color="auto"/>
            </w:tcBorders>
            <w:shd w:val="clear" w:color="auto" w:fill="auto"/>
            <w:noWrap/>
            <w:vAlign w:val="bottom"/>
            <w:hideMark/>
          </w:tcPr>
          <w:p w14:paraId="52180798"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0.090627</w:t>
            </w:r>
          </w:p>
        </w:tc>
        <w:tc>
          <w:tcPr>
            <w:tcW w:w="960" w:type="dxa"/>
            <w:tcBorders>
              <w:top w:val="nil"/>
              <w:left w:val="nil"/>
              <w:bottom w:val="single" w:sz="4" w:space="0" w:color="auto"/>
              <w:right w:val="single" w:sz="4" w:space="0" w:color="auto"/>
            </w:tcBorders>
            <w:shd w:val="clear" w:color="auto" w:fill="auto"/>
            <w:noWrap/>
            <w:vAlign w:val="bottom"/>
            <w:hideMark/>
          </w:tcPr>
          <w:p w14:paraId="7EE83EDC"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w:t>
            </w:r>
          </w:p>
        </w:tc>
        <w:tc>
          <w:tcPr>
            <w:tcW w:w="960" w:type="dxa"/>
            <w:tcBorders>
              <w:top w:val="nil"/>
              <w:left w:val="nil"/>
              <w:bottom w:val="single" w:sz="4" w:space="0" w:color="auto"/>
              <w:right w:val="single" w:sz="4" w:space="0" w:color="auto"/>
            </w:tcBorders>
            <w:shd w:val="clear" w:color="auto" w:fill="auto"/>
            <w:noWrap/>
            <w:vAlign w:val="bottom"/>
            <w:hideMark/>
          </w:tcPr>
          <w:p w14:paraId="2EC08CA9" w14:textId="77777777" w:rsidR="00CA7A4E" w:rsidRPr="004A57BF" w:rsidRDefault="00CA7A4E" w:rsidP="005468A7">
            <w:pPr>
              <w:spacing w:after="0" w:line="240" w:lineRule="auto"/>
              <w:jc w:val="right"/>
              <w:rPr>
                <w:rFonts w:eastAsia="Times New Roman" w:cstheme="minorHAnsi"/>
                <w:color w:val="000000"/>
                <w:sz w:val="18"/>
                <w:szCs w:val="18"/>
              </w:rPr>
            </w:pPr>
            <w:r w:rsidRPr="004A57BF">
              <w:rPr>
                <w:rFonts w:eastAsia="Times New Roman" w:cstheme="minorHAnsi"/>
                <w:color w:val="000000"/>
                <w:sz w:val="18"/>
                <w:szCs w:val="18"/>
              </w:rPr>
              <w:t>0.476431</w:t>
            </w:r>
          </w:p>
        </w:tc>
      </w:tr>
    </w:tbl>
    <w:p w14:paraId="735452A8" w14:textId="77777777" w:rsidR="00CA7A4E" w:rsidRPr="00551C01" w:rsidRDefault="00CA7A4E" w:rsidP="00CA7A4E">
      <w:pPr>
        <w:rPr>
          <w:rFonts w:cstheme="minorHAnsi"/>
          <w:szCs w:val="20"/>
        </w:rPr>
      </w:pPr>
    </w:p>
    <w:p w14:paraId="04F3E375" w14:textId="77777777" w:rsidR="00CA7A4E" w:rsidRPr="00551C01" w:rsidRDefault="00CA7A4E" w:rsidP="00B82B7B">
      <w:pPr>
        <w:jc w:val="both"/>
        <w:rPr>
          <w:rFonts w:cstheme="minorHAnsi"/>
          <w:szCs w:val="20"/>
        </w:rPr>
      </w:pPr>
      <w:r w:rsidRPr="00551C01">
        <w:rPr>
          <w:rFonts w:cstheme="minorHAnsi"/>
          <w:szCs w:val="20"/>
        </w:rPr>
        <w:t>Aceste rezultate arată o diferență semnificativă în ceea ce privește riscul de abandon între cele două grupuri după încheierea intervențiilor, diferență în creștere de la cca 4% (2014-2015) la cca 5% (2018-2019)</w:t>
      </w:r>
    </w:p>
    <w:p w14:paraId="1B69ACB0" w14:textId="77777777" w:rsidR="00CA7A4E" w:rsidRPr="00551C01" w:rsidRDefault="00CA7A4E" w:rsidP="00B82B7B">
      <w:pPr>
        <w:jc w:val="both"/>
        <w:rPr>
          <w:rFonts w:cstheme="minorHAnsi"/>
          <w:b/>
          <w:szCs w:val="20"/>
        </w:rPr>
      </w:pPr>
      <w:r w:rsidRPr="00551C01">
        <w:rPr>
          <w:rFonts w:cstheme="minorHAnsi"/>
          <w:b/>
          <w:szCs w:val="20"/>
        </w:rPr>
        <w:t>Tabel 2. Descrierea grupului de control si tratat, 2014-2015 si 2016-2017</w:t>
      </w:r>
    </w:p>
    <w:tbl>
      <w:tblPr>
        <w:tblW w:w="0" w:type="auto"/>
        <w:tblLayout w:type="fixed"/>
        <w:tblLook w:val="04A0" w:firstRow="1" w:lastRow="0" w:firstColumn="1" w:lastColumn="0" w:noHBand="0" w:noVBand="1"/>
      </w:tblPr>
      <w:tblGrid>
        <w:gridCol w:w="2965"/>
        <w:gridCol w:w="1530"/>
        <w:gridCol w:w="1053"/>
        <w:gridCol w:w="1557"/>
        <w:gridCol w:w="1053"/>
      </w:tblGrid>
      <w:tr w:rsidR="00CA7A4E" w:rsidRPr="004A57BF" w14:paraId="7DB3073B" w14:textId="77777777" w:rsidTr="005468A7">
        <w:trPr>
          <w:trHeight w:val="290"/>
        </w:trPr>
        <w:tc>
          <w:tcPr>
            <w:tcW w:w="29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2A3B8" w14:textId="77777777" w:rsidR="00CA7A4E" w:rsidRPr="004A57BF" w:rsidRDefault="00CA7A4E" w:rsidP="005468A7">
            <w:pPr>
              <w:spacing w:after="0" w:line="240" w:lineRule="auto"/>
              <w:rPr>
                <w:rFonts w:eastAsia="Times New Roman" w:cstheme="minorHAnsi"/>
                <w:b/>
                <w:color w:val="000000"/>
                <w:sz w:val="18"/>
                <w:szCs w:val="18"/>
              </w:rPr>
            </w:pPr>
          </w:p>
        </w:tc>
        <w:tc>
          <w:tcPr>
            <w:tcW w:w="258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1FA422"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 Grup de control</w:t>
            </w:r>
          </w:p>
        </w:tc>
        <w:tc>
          <w:tcPr>
            <w:tcW w:w="2610" w:type="dxa"/>
            <w:gridSpan w:val="2"/>
            <w:tcBorders>
              <w:top w:val="single" w:sz="4" w:space="0" w:color="auto"/>
              <w:left w:val="nil"/>
              <w:bottom w:val="single" w:sz="4" w:space="0" w:color="auto"/>
              <w:right w:val="single" w:sz="4" w:space="0" w:color="auto"/>
            </w:tcBorders>
            <w:shd w:val="clear" w:color="auto" w:fill="auto"/>
            <w:noWrap/>
            <w:vAlign w:val="bottom"/>
            <w:hideMark/>
          </w:tcPr>
          <w:p w14:paraId="26E88179"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 </w:t>
            </w:r>
          </w:p>
          <w:p w14:paraId="40BBBF9F"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 xml:space="preserve"> Grup tratat </w:t>
            </w:r>
          </w:p>
        </w:tc>
      </w:tr>
      <w:tr w:rsidR="00CA7A4E" w:rsidRPr="004A57BF" w14:paraId="3550AB38" w14:textId="77777777" w:rsidTr="005468A7">
        <w:trPr>
          <w:trHeight w:val="29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582965C8" w14:textId="77777777" w:rsidR="00CA7A4E" w:rsidRPr="004A57BF" w:rsidRDefault="00CA7A4E" w:rsidP="005468A7">
            <w:pPr>
              <w:spacing w:after="0" w:line="240" w:lineRule="auto"/>
              <w:rPr>
                <w:rFonts w:eastAsia="Times New Roman" w:cstheme="minorHAnsi"/>
                <w:b/>
                <w:bCs/>
                <w:color w:val="000000"/>
                <w:sz w:val="18"/>
                <w:szCs w:val="18"/>
              </w:rPr>
            </w:pPr>
            <w:r w:rsidRPr="004A57BF">
              <w:rPr>
                <w:rFonts w:eastAsia="Times New Roman" w:cstheme="minorHAnsi"/>
                <w:b/>
                <w:bCs/>
                <w:color w:val="000000"/>
                <w:sz w:val="18"/>
                <w:szCs w:val="18"/>
              </w:rPr>
              <w:t>Variabile de corelare</w:t>
            </w:r>
          </w:p>
        </w:tc>
        <w:tc>
          <w:tcPr>
            <w:tcW w:w="1530" w:type="dxa"/>
            <w:tcBorders>
              <w:top w:val="nil"/>
              <w:left w:val="nil"/>
              <w:bottom w:val="single" w:sz="4" w:space="0" w:color="auto"/>
              <w:right w:val="single" w:sz="4" w:space="0" w:color="auto"/>
            </w:tcBorders>
            <w:shd w:val="clear" w:color="auto" w:fill="auto"/>
            <w:noWrap/>
            <w:vAlign w:val="bottom"/>
            <w:hideMark/>
          </w:tcPr>
          <w:p w14:paraId="47329388" w14:textId="77777777" w:rsidR="00CA7A4E" w:rsidRPr="004A57BF" w:rsidRDefault="00CA7A4E" w:rsidP="005468A7">
            <w:pPr>
              <w:spacing w:after="0" w:line="240" w:lineRule="auto"/>
              <w:rPr>
                <w:rFonts w:eastAsia="Times New Roman" w:cstheme="minorHAnsi"/>
                <w:b/>
                <w:bCs/>
                <w:color w:val="000000"/>
                <w:sz w:val="18"/>
                <w:szCs w:val="18"/>
              </w:rPr>
            </w:pPr>
            <w:r w:rsidRPr="004A57BF">
              <w:rPr>
                <w:rFonts w:eastAsia="Times New Roman" w:cstheme="minorHAnsi"/>
                <w:b/>
                <w:bCs/>
                <w:color w:val="000000"/>
                <w:sz w:val="18"/>
                <w:szCs w:val="18"/>
              </w:rPr>
              <w:t>Număr de unități școlare</w:t>
            </w:r>
          </w:p>
        </w:tc>
        <w:tc>
          <w:tcPr>
            <w:tcW w:w="1053" w:type="dxa"/>
            <w:tcBorders>
              <w:top w:val="nil"/>
              <w:left w:val="nil"/>
              <w:bottom w:val="single" w:sz="4" w:space="0" w:color="auto"/>
              <w:right w:val="single" w:sz="4" w:space="0" w:color="auto"/>
            </w:tcBorders>
            <w:shd w:val="clear" w:color="auto" w:fill="auto"/>
            <w:noWrap/>
            <w:vAlign w:val="bottom"/>
            <w:hideMark/>
          </w:tcPr>
          <w:p w14:paraId="7A529521" w14:textId="77777777" w:rsidR="00CA7A4E" w:rsidRPr="004A57BF" w:rsidRDefault="00CA7A4E" w:rsidP="005468A7">
            <w:pPr>
              <w:spacing w:after="0" w:line="240" w:lineRule="auto"/>
              <w:rPr>
                <w:rFonts w:eastAsia="Times New Roman" w:cstheme="minorHAnsi"/>
                <w:b/>
                <w:bCs/>
                <w:color w:val="000000"/>
                <w:sz w:val="18"/>
                <w:szCs w:val="18"/>
              </w:rPr>
            </w:pPr>
            <w:r w:rsidRPr="004A57BF">
              <w:rPr>
                <w:rFonts w:eastAsia="Times New Roman" w:cstheme="minorHAnsi"/>
                <w:b/>
                <w:bCs/>
                <w:color w:val="000000"/>
                <w:sz w:val="18"/>
                <w:szCs w:val="18"/>
              </w:rPr>
              <w:t>Media</w:t>
            </w:r>
          </w:p>
        </w:tc>
        <w:tc>
          <w:tcPr>
            <w:tcW w:w="1557" w:type="dxa"/>
            <w:tcBorders>
              <w:top w:val="nil"/>
              <w:left w:val="nil"/>
              <w:bottom w:val="single" w:sz="4" w:space="0" w:color="auto"/>
              <w:right w:val="single" w:sz="4" w:space="0" w:color="auto"/>
            </w:tcBorders>
            <w:shd w:val="clear" w:color="auto" w:fill="auto"/>
            <w:noWrap/>
            <w:hideMark/>
          </w:tcPr>
          <w:p w14:paraId="4D301331" w14:textId="77777777" w:rsidR="00CA7A4E" w:rsidRPr="004A57BF" w:rsidRDefault="00CA7A4E" w:rsidP="005468A7">
            <w:pPr>
              <w:rPr>
                <w:rFonts w:cstheme="minorHAnsi"/>
                <w:sz w:val="18"/>
                <w:szCs w:val="18"/>
              </w:rPr>
            </w:pPr>
            <w:r w:rsidRPr="004A57BF">
              <w:rPr>
                <w:rFonts w:eastAsia="Times New Roman" w:cstheme="minorHAnsi"/>
                <w:b/>
                <w:bCs/>
                <w:color w:val="000000"/>
                <w:sz w:val="18"/>
                <w:szCs w:val="18"/>
              </w:rPr>
              <w:t>Număr de unități școlare</w:t>
            </w:r>
          </w:p>
        </w:tc>
        <w:tc>
          <w:tcPr>
            <w:tcW w:w="1053" w:type="dxa"/>
            <w:tcBorders>
              <w:top w:val="nil"/>
              <w:left w:val="nil"/>
              <w:bottom w:val="single" w:sz="4" w:space="0" w:color="auto"/>
              <w:right w:val="single" w:sz="4" w:space="0" w:color="auto"/>
            </w:tcBorders>
            <w:shd w:val="clear" w:color="auto" w:fill="auto"/>
            <w:noWrap/>
            <w:hideMark/>
          </w:tcPr>
          <w:p w14:paraId="485D108C" w14:textId="77777777" w:rsidR="00CA7A4E" w:rsidRPr="004A57BF" w:rsidRDefault="00CA7A4E" w:rsidP="005468A7">
            <w:pPr>
              <w:rPr>
                <w:rFonts w:cstheme="minorHAnsi"/>
                <w:sz w:val="18"/>
                <w:szCs w:val="18"/>
              </w:rPr>
            </w:pPr>
            <w:r w:rsidRPr="004A57BF">
              <w:rPr>
                <w:rFonts w:eastAsia="Times New Roman" w:cstheme="minorHAnsi"/>
                <w:b/>
                <w:bCs/>
                <w:color w:val="000000"/>
                <w:sz w:val="18"/>
                <w:szCs w:val="18"/>
              </w:rPr>
              <w:t>Media</w:t>
            </w:r>
          </w:p>
        </w:tc>
      </w:tr>
      <w:tr w:rsidR="00CA7A4E" w:rsidRPr="004A57BF" w14:paraId="6F90DB29" w14:textId="77777777" w:rsidTr="005468A7">
        <w:trPr>
          <w:trHeight w:val="29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72C54D72"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Gradul de marginalizare</w:t>
            </w:r>
          </w:p>
        </w:tc>
        <w:tc>
          <w:tcPr>
            <w:tcW w:w="1530" w:type="dxa"/>
            <w:tcBorders>
              <w:top w:val="nil"/>
              <w:left w:val="nil"/>
              <w:bottom w:val="single" w:sz="4" w:space="0" w:color="auto"/>
              <w:right w:val="single" w:sz="4" w:space="0" w:color="auto"/>
            </w:tcBorders>
            <w:shd w:val="clear" w:color="auto" w:fill="auto"/>
            <w:noWrap/>
            <w:vAlign w:val="bottom"/>
            <w:hideMark/>
          </w:tcPr>
          <w:p w14:paraId="163900E8"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4,527</w:t>
            </w:r>
          </w:p>
        </w:tc>
        <w:tc>
          <w:tcPr>
            <w:tcW w:w="1053" w:type="dxa"/>
            <w:tcBorders>
              <w:top w:val="nil"/>
              <w:left w:val="nil"/>
              <w:bottom w:val="single" w:sz="4" w:space="0" w:color="auto"/>
              <w:right w:val="single" w:sz="4" w:space="0" w:color="auto"/>
            </w:tcBorders>
            <w:shd w:val="clear" w:color="auto" w:fill="auto"/>
            <w:noWrap/>
            <w:vAlign w:val="bottom"/>
            <w:hideMark/>
          </w:tcPr>
          <w:p w14:paraId="23E48CBD"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1.055887</w:t>
            </w:r>
          </w:p>
        </w:tc>
        <w:tc>
          <w:tcPr>
            <w:tcW w:w="15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F7FAF1"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382</w:t>
            </w:r>
          </w:p>
        </w:tc>
        <w:tc>
          <w:tcPr>
            <w:tcW w:w="1053" w:type="dxa"/>
            <w:tcBorders>
              <w:top w:val="single" w:sz="4" w:space="0" w:color="auto"/>
              <w:left w:val="nil"/>
              <w:bottom w:val="single" w:sz="4" w:space="0" w:color="auto"/>
              <w:right w:val="single" w:sz="4" w:space="0" w:color="auto"/>
            </w:tcBorders>
            <w:shd w:val="clear" w:color="auto" w:fill="auto"/>
            <w:noWrap/>
            <w:vAlign w:val="bottom"/>
            <w:hideMark/>
          </w:tcPr>
          <w:p w14:paraId="71629F94"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1.73822</w:t>
            </w:r>
          </w:p>
        </w:tc>
      </w:tr>
      <w:tr w:rsidR="00CA7A4E" w:rsidRPr="004A57BF" w14:paraId="43A67AE3" w14:textId="77777777" w:rsidTr="005468A7">
        <w:trPr>
          <w:trHeight w:val="29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2334B167"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Clasa de defavorizare</w:t>
            </w:r>
          </w:p>
        </w:tc>
        <w:tc>
          <w:tcPr>
            <w:tcW w:w="1530" w:type="dxa"/>
            <w:tcBorders>
              <w:top w:val="nil"/>
              <w:left w:val="nil"/>
              <w:bottom w:val="single" w:sz="4" w:space="0" w:color="auto"/>
              <w:right w:val="single" w:sz="4" w:space="0" w:color="auto"/>
            </w:tcBorders>
            <w:shd w:val="clear" w:color="auto" w:fill="auto"/>
            <w:noWrap/>
            <w:vAlign w:val="bottom"/>
            <w:hideMark/>
          </w:tcPr>
          <w:p w14:paraId="3786797C"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4,527</w:t>
            </w:r>
          </w:p>
        </w:tc>
        <w:tc>
          <w:tcPr>
            <w:tcW w:w="1053" w:type="dxa"/>
            <w:tcBorders>
              <w:top w:val="nil"/>
              <w:left w:val="nil"/>
              <w:bottom w:val="single" w:sz="4" w:space="0" w:color="auto"/>
              <w:right w:val="single" w:sz="4" w:space="0" w:color="auto"/>
            </w:tcBorders>
            <w:shd w:val="clear" w:color="auto" w:fill="auto"/>
            <w:noWrap/>
            <w:vAlign w:val="bottom"/>
            <w:hideMark/>
          </w:tcPr>
          <w:p w14:paraId="3CEF654F"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3.48288</w:t>
            </w:r>
          </w:p>
        </w:tc>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470E6AAE"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382</w:t>
            </w:r>
          </w:p>
        </w:tc>
        <w:tc>
          <w:tcPr>
            <w:tcW w:w="1053" w:type="dxa"/>
            <w:tcBorders>
              <w:top w:val="nil"/>
              <w:left w:val="nil"/>
              <w:bottom w:val="single" w:sz="4" w:space="0" w:color="auto"/>
              <w:right w:val="single" w:sz="4" w:space="0" w:color="auto"/>
            </w:tcBorders>
            <w:shd w:val="clear" w:color="auto" w:fill="auto"/>
            <w:noWrap/>
            <w:vAlign w:val="bottom"/>
            <w:hideMark/>
          </w:tcPr>
          <w:p w14:paraId="0F1F6D08"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2.623037</w:t>
            </w:r>
          </w:p>
        </w:tc>
      </w:tr>
      <w:tr w:rsidR="00CA7A4E" w:rsidRPr="004A57BF" w14:paraId="7BA20F8C" w14:textId="77777777" w:rsidTr="005468A7">
        <w:trPr>
          <w:trHeight w:val="290"/>
        </w:trPr>
        <w:tc>
          <w:tcPr>
            <w:tcW w:w="2965" w:type="dxa"/>
            <w:tcBorders>
              <w:top w:val="nil"/>
              <w:left w:val="single" w:sz="4" w:space="0" w:color="auto"/>
              <w:bottom w:val="single" w:sz="4" w:space="0" w:color="auto"/>
              <w:right w:val="single" w:sz="4" w:space="0" w:color="auto"/>
            </w:tcBorders>
            <w:shd w:val="clear" w:color="auto" w:fill="auto"/>
            <w:noWrap/>
            <w:vAlign w:val="bottom"/>
          </w:tcPr>
          <w:p w14:paraId="64C52C08"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RURAL</w:t>
            </w:r>
          </w:p>
        </w:tc>
        <w:tc>
          <w:tcPr>
            <w:tcW w:w="1530" w:type="dxa"/>
            <w:tcBorders>
              <w:top w:val="nil"/>
              <w:left w:val="nil"/>
              <w:bottom w:val="single" w:sz="4" w:space="0" w:color="auto"/>
              <w:right w:val="single" w:sz="4" w:space="0" w:color="auto"/>
            </w:tcBorders>
            <w:shd w:val="clear" w:color="auto" w:fill="auto"/>
            <w:noWrap/>
            <w:vAlign w:val="bottom"/>
          </w:tcPr>
          <w:p w14:paraId="7B371960"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4,527</w:t>
            </w:r>
          </w:p>
        </w:tc>
        <w:tc>
          <w:tcPr>
            <w:tcW w:w="1053" w:type="dxa"/>
            <w:tcBorders>
              <w:top w:val="nil"/>
              <w:left w:val="nil"/>
              <w:bottom w:val="single" w:sz="4" w:space="0" w:color="auto"/>
              <w:right w:val="single" w:sz="4" w:space="0" w:color="auto"/>
            </w:tcBorders>
            <w:shd w:val="clear" w:color="auto" w:fill="auto"/>
            <w:noWrap/>
            <w:vAlign w:val="bottom"/>
          </w:tcPr>
          <w:p w14:paraId="0BD57C5A"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0.631986</w:t>
            </w:r>
          </w:p>
        </w:tc>
        <w:tc>
          <w:tcPr>
            <w:tcW w:w="1557" w:type="dxa"/>
            <w:tcBorders>
              <w:top w:val="nil"/>
              <w:left w:val="single" w:sz="4" w:space="0" w:color="auto"/>
              <w:bottom w:val="single" w:sz="4" w:space="0" w:color="auto"/>
              <w:right w:val="single" w:sz="4" w:space="0" w:color="auto"/>
            </w:tcBorders>
            <w:shd w:val="clear" w:color="auto" w:fill="auto"/>
            <w:noWrap/>
            <w:vAlign w:val="bottom"/>
          </w:tcPr>
          <w:p w14:paraId="18104192"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382</w:t>
            </w:r>
          </w:p>
        </w:tc>
        <w:tc>
          <w:tcPr>
            <w:tcW w:w="1053" w:type="dxa"/>
            <w:tcBorders>
              <w:top w:val="nil"/>
              <w:left w:val="nil"/>
              <w:bottom w:val="single" w:sz="4" w:space="0" w:color="auto"/>
              <w:right w:val="single" w:sz="4" w:space="0" w:color="auto"/>
            </w:tcBorders>
            <w:shd w:val="clear" w:color="auto" w:fill="auto"/>
            <w:noWrap/>
            <w:vAlign w:val="bottom"/>
          </w:tcPr>
          <w:p w14:paraId="42B02C58"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0.515707</w:t>
            </w:r>
          </w:p>
        </w:tc>
      </w:tr>
      <w:tr w:rsidR="00CA7A4E" w:rsidRPr="004A57BF" w14:paraId="5C753D69" w14:textId="77777777" w:rsidTr="005468A7">
        <w:trPr>
          <w:trHeight w:val="29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33B5710"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Nr. total elevi 2014-2015</w:t>
            </w:r>
          </w:p>
        </w:tc>
        <w:tc>
          <w:tcPr>
            <w:tcW w:w="1530" w:type="dxa"/>
            <w:tcBorders>
              <w:top w:val="nil"/>
              <w:left w:val="nil"/>
              <w:bottom w:val="single" w:sz="4" w:space="0" w:color="auto"/>
              <w:right w:val="single" w:sz="4" w:space="0" w:color="auto"/>
            </w:tcBorders>
            <w:shd w:val="clear" w:color="auto" w:fill="auto"/>
            <w:noWrap/>
            <w:vAlign w:val="bottom"/>
            <w:hideMark/>
          </w:tcPr>
          <w:p w14:paraId="6687B52F"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4,516</w:t>
            </w:r>
          </w:p>
        </w:tc>
        <w:tc>
          <w:tcPr>
            <w:tcW w:w="1053" w:type="dxa"/>
            <w:tcBorders>
              <w:top w:val="nil"/>
              <w:left w:val="nil"/>
              <w:bottom w:val="single" w:sz="4" w:space="0" w:color="auto"/>
              <w:right w:val="single" w:sz="4" w:space="0" w:color="auto"/>
            </w:tcBorders>
            <w:shd w:val="clear" w:color="auto" w:fill="auto"/>
            <w:noWrap/>
            <w:vAlign w:val="bottom"/>
            <w:hideMark/>
          </w:tcPr>
          <w:p w14:paraId="7F3ECB00"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393.7989</w:t>
            </w:r>
          </w:p>
        </w:tc>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6FEB3AA"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381</w:t>
            </w:r>
          </w:p>
        </w:tc>
        <w:tc>
          <w:tcPr>
            <w:tcW w:w="1053" w:type="dxa"/>
            <w:tcBorders>
              <w:top w:val="nil"/>
              <w:left w:val="nil"/>
              <w:bottom w:val="single" w:sz="4" w:space="0" w:color="auto"/>
              <w:right w:val="single" w:sz="4" w:space="0" w:color="auto"/>
            </w:tcBorders>
            <w:shd w:val="clear" w:color="auto" w:fill="auto"/>
            <w:noWrap/>
            <w:vAlign w:val="bottom"/>
            <w:hideMark/>
          </w:tcPr>
          <w:p w14:paraId="143F538E"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453.3123</w:t>
            </w:r>
          </w:p>
        </w:tc>
      </w:tr>
      <w:tr w:rsidR="00CA7A4E" w:rsidRPr="004A57BF" w14:paraId="4DD65442" w14:textId="77777777" w:rsidTr="005468A7">
        <w:trPr>
          <w:trHeight w:val="29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18C1C248"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Nr elevi roma 2014-2015</w:t>
            </w:r>
          </w:p>
        </w:tc>
        <w:tc>
          <w:tcPr>
            <w:tcW w:w="1530" w:type="dxa"/>
            <w:tcBorders>
              <w:top w:val="nil"/>
              <w:left w:val="nil"/>
              <w:bottom w:val="single" w:sz="4" w:space="0" w:color="auto"/>
              <w:right w:val="single" w:sz="4" w:space="0" w:color="auto"/>
            </w:tcBorders>
            <w:shd w:val="clear" w:color="auto" w:fill="auto"/>
            <w:noWrap/>
            <w:vAlign w:val="bottom"/>
            <w:hideMark/>
          </w:tcPr>
          <w:p w14:paraId="5C471587"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4,516</w:t>
            </w:r>
          </w:p>
        </w:tc>
        <w:tc>
          <w:tcPr>
            <w:tcW w:w="1053" w:type="dxa"/>
            <w:tcBorders>
              <w:top w:val="nil"/>
              <w:left w:val="nil"/>
              <w:bottom w:val="single" w:sz="4" w:space="0" w:color="auto"/>
              <w:right w:val="single" w:sz="4" w:space="0" w:color="auto"/>
            </w:tcBorders>
            <w:shd w:val="clear" w:color="auto" w:fill="auto"/>
            <w:noWrap/>
            <w:vAlign w:val="bottom"/>
            <w:hideMark/>
          </w:tcPr>
          <w:p w14:paraId="2E11BFEC"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6.268822</w:t>
            </w:r>
          </w:p>
        </w:tc>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79FC9F71"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381</w:t>
            </w:r>
          </w:p>
        </w:tc>
        <w:tc>
          <w:tcPr>
            <w:tcW w:w="1053" w:type="dxa"/>
            <w:tcBorders>
              <w:top w:val="nil"/>
              <w:left w:val="nil"/>
              <w:bottom w:val="single" w:sz="4" w:space="0" w:color="auto"/>
              <w:right w:val="single" w:sz="4" w:space="0" w:color="auto"/>
            </w:tcBorders>
            <w:shd w:val="clear" w:color="auto" w:fill="auto"/>
            <w:noWrap/>
            <w:vAlign w:val="bottom"/>
            <w:hideMark/>
          </w:tcPr>
          <w:p w14:paraId="6B7DA2AA"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24.99475</w:t>
            </w:r>
          </w:p>
        </w:tc>
      </w:tr>
      <w:tr w:rsidR="00CA7A4E" w:rsidRPr="004A57BF" w14:paraId="45805ECB" w14:textId="77777777" w:rsidTr="005468A7">
        <w:trPr>
          <w:trHeight w:val="29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326B5599"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Norme Pers. Didactic 2014-2015</w:t>
            </w:r>
          </w:p>
        </w:tc>
        <w:tc>
          <w:tcPr>
            <w:tcW w:w="1530" w:type="dxa"/>
            <w:tcBorders>
              <w:top w:val="nil"/>
              <w:left w:val="nil"/>
              <w:bottom w:val="single" w:sz="4" w:space="0" w:color="auto"/>
              <w:right w:val="single" w:sz="4" w:space="0" w:color="auto"/>
            </w:tcBorders>
            <w:shd w:val="clear" w:color="auto" w:fill="auto"/>
            <w:noWrap/>
            <w:vAlign w:val="bottom"/>
            <w:hideMark/>
          </w:tcPr>
          <w:p w14:paraId="5ABF9E74"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4,272</w:t>
            </w:r>
          </w:p>
        </w:tc>
        <w:tc>
          <w:tcPr>
            <w:tcW w:w="1053" w:type="dxa"/>
            <w:tcBorders>
              <w:top w:val="nil"/>
              <w:left w:val="nil"/>
              <w:bottom w:val="single" w:sz="4" w:space="0" w:color="auto"/>
              <w:right w:val="single" w:sz="4" w:space="0" w:color="auto"/>
            </w:tcBorders>
            <w:shd w:val="clear" w:color="auto" w:fill="auto"/>
            <w:noWrap/>
            <w:vAlign w:val="bottom"/>
            <w:hideMark/>
          </w:tcPr>
          <w:p w14:paraId="042EBA1C"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46.25609</w:t>
            </w:r>
          </w:p>
        </w:tc>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0FA68237"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356</w:t>
            </w:r>
          </w:p>
        </w:tc>
        <w:tc>
          <w:tcPr>
            <w:tcW w:w="1053" w:type="dxa"/>
            <w:tcBorders>
              <w:top w:val="nil"/>
              <w:left w:val="nil"/>
              <w:bottom w:val="single" w:sz="4" w:space="0" w:color="auto"/>
              <w:right w:val="single" w:sz="4" w:space="0" w:color="auto"/>
            </w:tcBorders>
            <w:shd w:val="clear" w:color="auto" w:fill="auto"/>
            <w:noWrap/>
            <w:vAlign w:val="bottom"/>
            <w:hideMark/>
          </w:tcPr>
          <w:p w14:paraId="01DE3ABF"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51.08989</w:t>
            </w:r>
          </w:p>
        </w:tc>
      </w:tr>
      <w:tr w:rsidR="00CA7A4E" w:rsidRPr="004A57BF" w14:paraId="4B75CB8B" w14:textId="77777777" w:rsidTr="005468A7">
        <w:trPr>
          <w:trHeight w:val="290"/>
        </w:trPr>
        <w:tc>
          <w:tcPr>
            <w:tcW w:w="2965" w:type="dxa"/>
            <w:tcBorders>
              <w:top w:val="nil"/>
              <w:left w:val="single" w:sz="4" w:space="0" w:color="auto"/>
              <w:bottom w:val="single" w:sz="4" w:space="0" w:color="auto"/>
              <w:right w:val="single" w:sz="4" w:space="0" w:color="auto"/>
            </w:tcBorders>
            <w:shd w:val="clear" w:color="auto" w:fill="auto"/>
            <w:noWrap/>
            <w:vAlign w:val="bottom"/>
            <w:hideMark/>
          </w:tcPr>
          <w:p w14:paraId="68C16E6F"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Norme_nedidactice 2014-2015</w:t>
            </w:r>
          </w:p>
        </w:tc>
        <w:tc>
          <w:tcPr>
            <w:tcW w:w="1530" w:type="dxa"/>
            <w:tcBorders>
              <w:top w:val="nil"/>
              <w:left w:val="nil"/>
              <w:bottom w:val="single" w:sz="4" w:space="0" w:color="auto"/>
              <w:right w:val="single" w:sz="4" w:space="0" w:color="auto"/>
            </w:tcBorders>
            <w:shd w:val="clear" w:color="auto" w:fill="auto"/>
            <w:noWrap/>
            <w:vAlign w:val="bottom"/>
            <w:hideMark/>
          </w:tcPr>
          <w:p w14:paraId="5FB67D40"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4,272</w:t>
            </w:r>
          </w:p>
        </w:tc>
        <w:tc>
          <w:tcPr>
            <w:tcW w:w="1053" w:type="dxa"/>
            <w:tcBorders>
              <w:top w:val="nil"/>
              <w:left w:val="nil"/>
              <w:bottom w:val="single" w:sz="4" w:space="0" w:color="auto"/>
              <w:right w:val="single" w:sz="4" w:space="0" w:color="auto"/>
            </w:tcBorders>
            <w:shd w:val="clear" w:color="auto" w:fill="auto"/>
            <w:noWrap/>
            <w:vAlign w:val="bottom"/>
            <w:hideMark/>
          </w:tcPr>
          <w:p w14:paraId="76EFF3C9"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8.099953</w:t>
            </w:r>
          </w:p>
        </w:tc>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6E6869AB"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356</w:t>
            </w:r>
          </w:p>
        </w:tc>
        <w:tc>
          <w:tcPr>
            <w:tcW w:w="1053" w:type="dxa"/>
            <w:tcBorders>
              <w:top w:val="nil"/>
              <w:left w:val="nil"/>
              <w:bottom w:val="single" w:sz="4" w:space="0" w:color="auto"/>
              <w:right w:val="single" w:sz="4" w:space="0" w:color="auto"/>
            </w:tcBorders>
            <w:shd w:val="clear" w:color="auto" w:fill="auto"/>
            <w:noWrap/>
            <w:vAlign w:val="bottom"/>
            <w:hideMark/>
          </w:tcPr>
          <w:p w14:paraId="36AAA481"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9.800562</w:t>
            </w:r>
          </w:p>
        </w:tc>
      </w:tr>
      <w:tr w:rsidR="00CA7A4E" w:rsidRPr="004A57BF" w14:paraId="2AD3CC34" w14:textId="77777777" w:rsidTr="005468A7">
        <w:trPr>
          <w:trHeight w:val="290"/>
        </w:trPr>
        <w:tc>
          <w:tcPr>
            <w:tcW w:w="2965" w:type="dxa"/>
            <w:tcBorders>
              <w:top w:val="nil"/>
              <w:left w:val="single" w:sz="4" w:space="0" w:color="auto"/>
              <w:bottom w:val="single" w:sz="4" w:space="0" w:color="auto"/>
              <w:right w:val="single" w:sz="4" w:space="0" w:color="auto"/>
            </w:tcBorders>
            <w:shd w:val="clear" w:color="auto" w:fill="auto"/>
            <w:noWrap/>
            <w:vAlign w:val="bottom"/>
          </w:tcPr>
          <w:p w14:paraId="010E75CE"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Nr. total elevi 2018-2019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A1F4D"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4,435</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3F1FA10B"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383.469</w:t>
            </w:r>
          </w:p>
        </w:tc>
        <w:tc>
          <w:tcPr>
            <w:tcW w:w="1557" w:type="dxa"/>
            <w:tcBorders>
              <w:top w:val="nil"/>
              <w:left w:val="single" w:sz="4" w:space="0" w:color="auto"/>
              <w:bottom w:val="single" w:sz="4" w:space="0" w:color="auto"/>
              <w:right w:val="single" w:sz="4" w:space="0" w:color="auto"/>
            </w:tcBorders>
            <w:shd w:val="clear" w:color="auto" w:fill="auto"/>
            <w:noWrap/>
            <w:vAlign w:val="bottom"/>
          </w:tcPr>
          <w:p w14:paraId="3B7200B2"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381</w:t>
            </w:r>
          </w:p>
        </w:tc>
        <w:tc>
          <w:tcPr>
            <w:tcW w:w="1053" w:type="dxa"/>
            <w:tcBorders>
              <w:top w:val="nil"/>
              <w:left w:val="nil"/>
              <w:bottom w:val="single" w:sz="4" w:space="0" w:color="auto"/>
              <w:right w:val="single" w:sz="4" w:space="0" w:color="auto"/>
            </w:tcBorders>
            <w:shd w:val="clear" w:color="auto" w:fill="auto"/>
            <w:noWrap/>
            <w:vAlign w:val="bottom"/>
          </w:tcPr>
          <w:p w14:paraId="1F9178CB"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435.0236</w:t>
            </w:r>
          </w:p>
        </w:tc>
      </w:tr>
      <w:tr w:rsidR="00CA7A4E" w:rsidRPr="004A57BF" w14:paraId="1AAD6810" w14:textId="77777777" w:rsidTr="005468A7">
        <w:trPr>
          <w:trHeight w:val="290"/>
        </w:trPr>
        <w:tc>
          <w:tcPr>
            <w:tcW w:w="2965" w:type="dxa"/>
            <w:tcBorders>
              <w:top w:val="nil"/>
              <w:left w:val="single" w:sz="4" w:space="0" w:color="auto"/>
              <w:bottom w:val="single" w:sz="4" w:space="0" w:color="auto"/>
              <w:right w:val="single" w:sz="4" w:space="0" w:color="auto"/>
            </w:tcBorders>
            <w:shd w:val="clear" w:color="auto" w:fill="auto"/>
            <w:noWrap/>
            <w:vAlign w:val="bottom"/>
          </w:tcPr>
          <w:p w14:paraId="1A4DB32C"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Nr elevi CES 2018-2019</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31DF4F04"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4,435</w:t>
            </w:r>
          </w:p>
        </w:tc>
        <w:tc>
          <w:tcPr>
            <w:tcW w:w="1053" w:type="dxa"/>
            <w:tcBorders>
              <w:top w:val="nil"/>
              <w:left w:val="nil"/>
              <w:bottom w:val="single" w:sz="4" w:space="0" w:color="auto"/>
              <w:right w:val="single" w:sz="4" w:space="0" w:color="auto"/>
            </w:tcBorders>
            <w:shd w:val="clear" w:color="auto" w:fill="auto"/>
            <w:noWrap/>
            <w:vAlign w:val="bottom"/>
          </w:tcPr>
          <w:p w14:paraId="5EE7107D"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7.192785</w:t>
            </w:r>
          </w:p>
        </w:tc>
        <w:tc>
          <w:tcPr>
            <w:tcW w:w="1557" w:type="dxa"/>
            <w:tcBorders>
              <w:top w:val="nil"/>
              <w:left w:val="single" w:sz="4" w:space="0" w:color="auto"/>
              <w:bottom w:val="single" w:sz="4" w:space="0" w:color="auto"/>
              <w:right w:val="single" w:sz="4" w:space="0" w:color="auto"/>
            </w:tcBorders>
            <w:shd w:val="clear" w:color="auto" w:fill="auto"/>
            <w:noWrap/>
            <w:vAlign w:val="bottom"/>
          </w:tcPr>
          <w:p w14:paraId="6170628D"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381</w:t>
            </w:r>
          </w:p>
        </w:tc>
        <w:tc>
          <w:tcPr>
            <w:tcW w:w="1053" w:type="dxa"/>
            <w:tcBorders>
              <w:top w:val="nil"/>
              <w:left w:val="nil"/>
              <w:bottom w:val="single" w:sz="4" w:space="0" w:color="auto"/>
              <w:right w:val="single" w:sz="4" w:space="0" w:color="auto"/>
            </w:tcBorders>
            <w:shd w:val="clear" w:color="auto" w:fill="auto"/>
            <w:noWrap/>
            <w:vAlign w:val="bottom"/>
          </w:tcPr>
          <w:p w14:paraId="2F819E94"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13.49081</w:t>
            </w:r>
          </w:p>
        </w:tc>
      </w:tr>
      <w:tr w:rsidR="00CA7A4E" w:rsidRPr="004A57BF" w14:paraId="115B00D4" w14:textId="77777777" w:rsidTr="005468A7">
        <w:trPr>
          <w:trHeight w:val="290"/>
        </w:trPr>
        <w:tc>
          <w:tcPr>
            <w:tcW w:w="2965" w:type="dxa"/>
            <w:tcBorders>
              <w:top w:val="nil"/>
              <w:left w:val="single" w:sz="4" w:space="0" w:color="auto"/>
              <w:bottom w:val="single" w:sz="4" w:space="0" w:color="auto"/>
              <w:right w:val="single" w:sz="4" w:space="0" w:color="auto"/>
            </w:tcBorders>
            <w:shd w:val="clear" w:color="auto" w:fill="auto"/>
            <w:noWrap/>
            <w:vAlign w:val="bottom"/>
          </w:tcPr>
          <w:p w14:paraId="097DEE8E"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Nr elevi roma 2018-2019</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3F356EAA"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4,435</w:t>
            </w:r>
          </w:p>
        </w:tc>
        <w:tc>
          <w:tcPr>
            <w:tcW w:w="1053" w:type="dxa"/>
            <w:tcBorders>
              <w:top w:val="nil"/>
              <w:left w:val="nil"/>
              <w:bottom w:val="single" w:sz="4" w:space="0" w:color="auto"/>
              <w:right w:val="single" w:sz="4" w:space="0" w:color="auto"/>
            </w:tcBorders>
            <w:shd w:val="clear" w:color="auto" w:fill="auto"/>
            <w:noWrap/>
            <w:vAlign w:val="bottom"/>
          </w:tcPr>
          <w:p w14:paraId="7FE3489F"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5.848703</w:t>
            </w:r>
          </w:p>
        </w:tc>
        <w:tc>
          <w:tcPr>
            <w:tcW w:w="1557" w:type="dxa"/>
            <w:tcBorders>
              <w:top w:val="nil"/>
              <w:left w:val="single" w:sz="4" w:space="0" w:color="auto"/>
              <w:bottom w:val="single" w:sz="4" w:space="0" w:color="auto"/>
              <w:right w:val="single" w:sz="4" w:space="0" w:color="auto"/>
            </w:tcBorders>
            <w:shd w:val="clear" w:color="auto" w:fill="auto"/>
            <w:noWrap/>
            <w:vAlign w:val="bottom"/>
          </w:tcPr>
          <w:p w14:paraId="4D65E5EF"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381</w:t>
            </w:r>
          </w:p>
        </w:tc>
        <w:tc>
          <w:tcPr>
            <w:tcW w:w="1053" w:type="dxa"/>
            <w:tcBorders>
              <w:top w:val="nil"/>
              <w:left w:val="nil"/>
              <w:bottom w:val="single" w:sz="4" w:space="0" w:color="auto"/>
              <w:right w:val="single" w:sz="4" w:space="0" w:color="auto"/>
            </w:tcBorders>
            <w:shd w:val="clear" w:color="auto" w:fill="auto"/>
            <w:noWrap/>
            <w:vAlign w:val="bottom"/>
          </w:tcPr>
          <w:p w14:paraId="5932EA7F"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24.94226</w:t>
            </w:r>
          </w:p>
        </w:tc>
      </w:tr>
      <w:tr w:rsidR="00CA7A4E" w:rsidRPr="004A57BF" w14:paraId="009E0789" w14:textId="77777777" w:rsidTr="005468A7">
        <w:trPr>
          <w:trHeight w:val="290"/>
        </w:trPr>
        <w:tc>
          <w:tcPr>
            <w:tcW w:w="2965" w:type="dxa"/>
            <w:tcBorders>
              <w:top w:val="nil"/>
              <w:left w:val="single" w:sz="4" w:space="0" w:color="auto"/>
              <w:bottom w:val="single" w:sz="4" w:space="0" w:color="auto"/>
              <w:right w:val="single" w:sz="4" w:space="0" w:color="auto"/>
            </w:tcBorders>
            <w:shd w:val="clear" w:color="auto" w:fill="auto"/>
            <w:noWrap/>
            <w:vAlign w:val="bottom"/>
          </w:tcPr>
          <w:p w14:paraId="6B3B6DB3"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Norme Pers. Didactic 2018-2019</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EC5E11"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4,274</w:t>
            </w:r>
          </w:p>
        </w:tc>
        <w:tc>
          <w:tcPr>
            <w:tcW w:w="1053" w:type="dxa"/>
            <w:tcBorders>
              <w:top w:val="single" w:sz="4" w:space="0" w:color="auto"/>
              <w:left w:val="nil"/>
              <w:bottom w:val="single" w:sz="4" w:space="0" w:color="auto"/>
              <w:right w:val="single" w:sz="4" w:space="0" w:color="auto"/>
            </w:tcBorders>
            <w:shd w:val="clear" w:color="auto" w:fill="auto"/>
            <w:noWrap/>
            <w:vAlign w:val="bottom"/>
          </w:tcPr>
          <w:p w14:paraId="43E19DB3"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55.81797</w:t>
            </w:r>
          </w:p>
        </w:tc>
        <w:tc>
          <w:tcPr>
            <w:tcW w:w="1557" w:type="dxa"/>
            <w:tcBorders>
              <w:top w:val="nil"/>
              <w:left w:val="single" w:sz="4" w:space="0" w:color="auto"/>
              <w:bottom w:val="single" w:sz="4" w:space="0" w:color="auto"/>
              <w:right w:val="single" w:sz="4" w:space="0" w:color="auto"/>
            </w:tcBorders>
            <w:shd w:val="clear" w:color="auto" w:fill="auto"/>
            <w:noWrap/>
            <w:vAlign w:val="bottom"/>
          </w:tcPr>
          <w:p w14:paraId="416BA89B"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357</w:t>
            </w:r>
          </w:p>
        </w:tc>
        <w:tc>
          <w:tcPr>
            <w:tcW w:w="1053" w:type="dxa"/>
            <w:tcBorders>
              <w:top w:val="nil"/>
              <w:left w:val="nil"/>
              <w:bottom w:val="single" w:sz="4" w:space="0" w:color="auto"/>
              <w:right w:val="single" w:sz="4" w:space="0" w:color="auto"/>
            </w:tcBorders>
            <w:shd w:val="clear" w:color="auto" w:fill="auto"/>
            <w:noWrap/>
            <w:vAlign w:val="bottom"/>
          </w:tcPr>
          <w:p w14:paraId="5A300E36"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59.73669</w:t>
            </w:r>
          </w:p>
        </w:tc>
      </w:tr>
      <w:tr w:rsidR="00CA7A4E" w:rsidRPr="004A57BF" w14:paraId="30CD61B9" w14:textId="77777777" w:rsidTr="005468A7">
        <w:trPr>
          <w:trHeight w:val="290"/>
        </w:trPr>
        <w:tc>
          <w:tcPr>
            <w:tcW w:w="2965" w:type="dxa"/>
            <w:tcBorders>
              <w:top w:val="nil"/>
              <w:left w:val="single" w:sz="4" w:space="0" w:color="auto"/>
              <w:bottom w:val="single" w:sz="4" w:space="0" w:color="auto"/>
              <w:right w:val="single" w:sz="4" w:space="0" w:color="auto"/>
            </w:tcBorders>
            <w:shd w:val="clear" w:color="auto" w:fill="auto"/>
            <w:noWrap/>
            <w:vAlign w:val="bottom"/>
          </w:tcPr>
          <w:p w14:paraId="4993C50C"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Norme_nedidactice 2018-2019</w:t>
            </w:r>
          </w:p>
        </w:tc>
        <w:tc>
          <w:tcPr>
            <w:tcW w:w="1530" w:type="dxa"/>
            <w:tcBorders>
              <w:top w:val="nil"/>
              <w:left w:val="single" w:sz="4" w:space="0" w:color="auto"/>
              <w:bottom w:val="single" w:sz="4" w:space="0" w:color="auto"/>
              <w:right w:val="single" w:sz="4" w:space="0" w:color="auto"/>
            </w:tcBorders>
            <w:shd w:val="clear" w:color="auto" w:fill="auto"/>
            <w:noWrap/>
            <w:vAlign w:val="bottom"/>
          </w:tcPr>
          <w:p w14:paraId="44FB32A1"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4,274</w:t>
            </w:r>
          </w:p>
        </w:tc>
        <w:tc>
          <w:tcPr>
            <w:tcW w:w="1053" w:type="dxa"/>
            <w:tcBorders>
              <w:top w:val="nil"/>
              <w:left w:val="nil"/>
              <w:bottom w:val="single" w:sz="4" w:space="0" w:color="auto"/>
              <w:right w:val="single" w:sz="4" w:space="0" w:color="auto"/>
            </w:tcBorders>
            <w:shd w:val="clear" w:color="auto" w:fill="auto"/>
            <w:noWrap/>
            <w:vAlign w:val="bottom"/>
          </w:tcPr>
          <w:p w14:paraId="73D2248D"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7.813758</w:t>
            </w:r>
          </w:p>
        </w:tc>
        <w:tc>
          <w:tcPr>
            <w:tcW w:w="1557" w:type="dxa"/>
            <w:tcBorders>
              <w:top w:val="nil"/>
              <w:left w:val="single" w:sz="4" w:space="0" w:color="auto"/>
              <w:bottom w:val="single" w:sz="4" w:space="0" w:color="auto"/>
              <w:right w:val="single" w:sz="4" w:space="0" w:color="auto"/>
            </w:tcBorders>
            <w:shd w:val="clear" w:color="auto" w:fill="auto"/>
            <w:noWrap/>
            <w:vAlign w:val="bottom"/>
          </w:tcPr>
          <w:p w14:paraId="5FD11BCC"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357</w:t>
            </w:r>
          </w:p>
        </w:tc>
        <w:tc>
          <w:tcPr>
            <w:tcW w:w="1053" w:type="dxa"/>
            <w:tcBorders>
              <w:top w:val="nil"/>
              <w:left w:val="nil"/>
              <w:bottom w:val="single" w:sz="4" w:space="0" w:color="auto"/>
              <w:right w:val="single" w:sz="4" w:space="0" w:color="auto"/>
            </w:tcBorders>
            <w:shd w:val="clear" w:color="auto" w:fill="auto"/>
            <w:noWrap/>
            <w:vAlign w:val="bottom"/>
          </w:tcPr>
          <w:p w14:paraId="74245492"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9.268908</w:t>
            </w:r>
          </w:p>
        </w:tc>
      </w:tr>
    </w:tbl>
    <w:p w14:paraId="522AB346" w14:textId="77777777" w:rsidR="00CA7A4E" w:rsidRPr="00551C01" w:rsidRDefault="00CA7A4E" w:rsidP="00CA7A4E">
      <w:pPr>
        <w:rPr>
          <w:rFonts w:cstheme="minorHAnsi"/>
          <w:szCs w:val="20"/>
        </w:rPr>
      </w:pPr>
    </w:p>
    <w:p w14:paraId="4B2C5FB1" w14:textId="77777777" w:rsidR="00CA7A4E" w:rsidRPr="00551C01" w:rsidRDefault="00CA7A4E" w:rsidP="004A57BF">
      <w:pPr>
        <w:jc w:val="both"/>
        <w:rPr>
          <w:rFonts w:cstheme="minorHAnsi"/>
          <w:szCs w:val="20"/>
        </w:rPr>
      </w:pPr>
      <w:r w:rsidRPr="00551C01">
        <w:rPr>
          <w:rFonts w:cstheme="minorHAnsi"/>
          <w:szCs w:val="20"/>
        </w:rPr>
        <w:t>Rezultatele analizei contrafactuale prin PSM (Tabelul 3), derulată la finele anului școlar 2018-2019, arată următoarele: Rata riscului de abandon este încă semnificativ mai mare în grupul de control, diferența este de 3,76% si semnificativă din punct de vedere statistic.</w:t>
      </w:r>
    </w:p>
    <w:p w14:paraId="005FEC49" w14:textId="77777777" w:rsidR="00CA7A4E" w:rsidRPr="00551C01" w:rsidRDefault="00CA7A4E" w:rsidP="00B82B7B">
      <w:pPr>
        <w:jc w:val="both"/>
        <w:rPr>
          <w:rFonts w:cstheme="minorHAnsi"/>
          <w:b/>
          <w:szCs w:val="20"/>
        </w:rPr>
      </w:pPr>
      <w:r w:rsidRPr="00551C01">
        <w:rPr>
          <w:rFonts w:cstheme="minorHAnsi"/>
          <w:b/>
          <w:szCs w:val="20"/>
        </w:rPr>
        <w:t xml:space="preserve">Tabel 3. </w:t>
      </w:r>
      <w:r w:rsidRPr="00551C01">
        <w:rPr>
          <w:rFonts w:eastAsia="Times New Roman" w:cstheme="minorHAnsi"/>
          <w:b/>
          <w:color w:val="000000"/>
          <w:szCs w:val="20"/>
        </w:rPr>
        <w:t>Rezultate PSM-la 1 an si la 3 ani după intervenție</w:t>
      </w:r>
    </w:p>
    <w:tbl>
      <w:tblPr>
        <w:tblW w:w="8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1013"/>
        <w:gridCol w:w="1053"/>
        <w:gridCol w:w="1053"/>
        <w:gridCol w:w="1053"/>
        <w:gridCol w:w="1053"/>
        <w:gridCol w:w="960"/>
      </w:tblGrid>
      <w:tr w:rsidR="00CA7A4E" w:rsidRPr="004A57BF" w14:paraId="16E0F26C" w14:textId="77777777" w:rsidTr="005468A7">
        <w:trPr>
          <w:trHeight w:val="290"/>
        </w:trPr>
        <w:tc>
          <w:tcPr>
            <w:tcW w:w="2000" w:type="dxa"/>
            <w:shd w:val="clear" w:color="auto" w:fill="auto"/>
            <w:noWrap/>
            <w:vAlign w:val="bottom"/>
            <w:hideMark/>
          </w:tcPr>
          <w:p w14:paraId="7AF85DF8"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Rezultate după aplicarea Corelării scorului de propensitate</w:t>
            </w:r>
          </w:p>
        </w:tc>
        <w:tc>
          <w:tcPr>
            <w:tcW w:w="1013" w:type="dxa"/>
            <w:shd w:val="clear" w:color="auto" w:fill="auto"/>
            <w:noWrap/>
            <w:vAlign w:val="bottom"/>
            <w:hideMark/>
          </w:tcPr>
          <w:p w14:paraId="2539EECE"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 </w:t>
            </w:r>
          </w:p>
        </w:tc>
        <w:tc>
          <w:tcPr>
            <w:tcW w:w="1053" w:type="dxa"/>
            <w:shd w:val="clear" w:color="auto" w:fill="auto"/>
            <w:noWrap/>
            <w:vAlign w:val="bottom"/>
            <w:hideMark/>
          </w:tcPr>
          <w:p w14:paraId="3A8B1281"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 </w:t>
            </w:r>
          </w:p>
        </w:tc>
        <w:tc>
          <w:tcPr>
            <w:tcW w:w="1053" w:type="dxa"/>
            <w:shd w:val="clear" w:color="auto" w:fill="auto"/>
            <w:noWrap/>
            <w:vAlign w:val="bottom"/>
            <w:hideMark/>
          </w:tcPr>
          <w:p w14:paraId="0451A526"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 </w:t>
            </w:r>
          </w:p>
        </w:tc>
        <w:tc>
          <w:tcPr>
            <w:tcW w:w="1053" w:type="dxa"/>
            <w:shd w:val="clear" w:color="auto" w:fill="auto"/>
            <w:noWrap/>
            <w:vAlign w:val="bottom"/>
            <w:hideMark/>
          </w:tcPr>
          <w:p w14:paraId="4B3964D1"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 </w:t>
            </w:r>
          </w:p>
        </w:tc>
        <w:tc>
          <w:tcPr>
            <w:tcW w:w="1053" w:type="dxa"/>
            <w:shd w:val="clear" w:color="auto" w:fill="auto"/>
            <w:noWrap/>
            <w:vAlign w:val="bottom"/>
            <w:hideMark/>
          </w:tcPr>
          <w:p w14:paraId="73DD80BC"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 </w:t>
            </w:r>
          </w:p>
        </w:tc>
        <w:tc>
          <w:tcPr>
            <w:tcW w:w="960" w:type="dxa"/>
            <w:shd w:val="clear" w:color="auto" w:fill="auto"/>
            <w:noWrap/>
            <w:vAlign w:val="bottom"/>
            <w:hideMark/>
          </w:tcPr>
          <w:p w14:paraId="13A0B232"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 </w:t>
            </w:r>
          </w:p>
        </w:tc>
      </w:tr>
      <w:tr w:rsidR="00CA7A4E" w:rsidRPr="004A57BF" w14:paraId="311C291B" w14:textId="77777777" w:rsidTr="005468A7">
        <w:trPr>
          <w:trHeight w:val="290"/>
        </w:trPr>
        <w:tc>
          <w:tcPr>
            <w:tcW w:w="2000" w:type="dxa"/>
            <w:shd w:val="clear" w:color="auto" w:fill="auto"/>
            <w:noWrap/>
            <w:vAlign w:val="center"/>
            <w:hideMark/>
          </w:tcPr>
          <w:p w14:paraId="4EC0CCEF"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Variabile de impact</w:t>
            </w:r>
          </w:p>
        </w:tc>
        <w:tc>
          <w:tcPr>
            <w:tcW w:w="1013" w:type="dxa"/>
            <w:shd w:val="clear" w:color="auto" w:fill="auto"/>
            <w:noWrap/>
            <w:vAlign w:val="center"/>
            <w:hideMark/>
          </w:tcPr>
          <w:p w14:paraId="5582D366"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Eșantion</w:t>
            </w:r>
          </w:p>
        </w:tc>
        <w:tc>
          <w:tcPr>
            <w:tcW w:w="1053" w:type="dxa"/>
            <w:shd w:val="clear" w:color="auto" w:fill="auto"/>
            <w:noWrap/>
            <w:vAlign w:val="center"/>
            <w:hideMark/>
          </w:tcPr>
          <w:p w14:paraId="16F4E372"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Tratat</w:t>
            </w:r>
          </w:p>
        </w:tc>
        <w:tc>
          <w:tcPr>
            <w:tcW w:w="1053" w:type="dxa"/>
            <w:shd w:val="clear" w:color="auto" w:fill="auto"/>
            <w:noWrap/>
            <w:vAlign w:val="center"/>
            <w:hideMark/>
          </w:tcPr>
          <w:p w14:paraId="4BC65BC3"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Control</w:t>
            </w:r>
          </w:p>
        </w:tc>
        <w:tc>
          <w:tcPr>
            <w:tcW w:w="1053" w:type="dxa"/>
            <w:shd w:val="clear" w:color="auto" w:fill="auto"/>
            <w:noWrap/>
            <w:vAlign w:val="center"/>
            <w:hideMark/>
          </w:tcPr>
          <w:p w14:paraId="13BB2F65"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Diferența</w:t>
            </w:r>
          </w:p>
        </w:tc>
        <w:tc>
          <w:tcPr>
            <w:tcW w:w="1053" w:type="dxa"/>
            <w:shd w:val="clear" w:color="auto" w:fill="auto"/>
            <w:noWrap/>
            <w:vAlign w:val="center"/>
            <w:hideMark/>
          </w:tcPr>
          <w:p w14:paraId="0F15EA38"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Eroarea standard</w:t>
            </w:r>
          </w:p>
        </w:tc>
        <w:tc>
          <w:tcPr>
            <w:tcW w:w="960" w:type="dxa"/>
            <w:shd w:val="clear" w:color="auto" w:fill="auto"/>
            <w:noWrap/>
            <w:vAlign w:val="center"/>
            <w:hideMark/>
          </w:tcPr>
          <w:p w14:paraId="56C7267B"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T-stat</w:t>
            </w:r>
          </w:p>
        </w:tc>
      </w:tr>
      <w:tr w:rsidR="00CA7A4E" w:rsidRPr="004A57BF" w14:paraId="2C4D7C6F" w14:textId="77777777" w:rsidTr="005468A7">
        <w:trPr>
          <w:trHeight w:val="290"/>
        </w:trPr>
        <w:tc>
          <w:tcPr>
            <w:tcW w:w="2000" w:type="dxa"/>
            <w:shd w:val="clear" w:color="auto" w:fill="auto"/>
            <w:noWrap/>
            <w:vAlign w:val="bottom"/>
            <w:hideMark/>
          </w:tcPr>
          <w:p w14:paraId="2061C448"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Risc_Abandon 2016-2017</w:t>
            </w:r>
          </w:p>
        </w:tc>
        <w:tc>
          <w:tcPr>
            <w:tcW w:w="1013" w:type="dxa"/>
            <w:shd w:val="clear" w:color="auto" w:fill="auto"/>
            <w:noWrap/>
            <w:vAlign w:val="bottom"/>
            <w:hideMark/>
          </w:tcPr>
          <w:p w14:paraId="61B3BEF8"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Necorelat</w:t>
            </w:r>
          </w:p>
        </w:tc>
        <w:tc>
          <w:tcPr>
            <w:tcW w:w="1053" w:type="dxa"/>
            <w:shd w:val="clear" w:color="auto" w:fill="auto"/>
            <w:noWrap/>
            <w:vAlign w:val="bottom"/>
            <w:hideMark/>
          </w:tcPr>
          <w:p w14:paraId="47B20E81"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0.093068</w:t>
            </w:r>
          </w:p>
        </w:tc>
        <w:tc>
          <w:tcPr>
            <w:tcW w:w="1053" w:type="dxa"/>
            <w:shd w:val="clear" w:color="auto" w:fill="auto"/>
            <w:noWrap/>
            <w:vAlign w:val="bottom"/>
            <w:hideMark/>
          </w:tcPr>
          <w:p w14:paraId="14E33F9C"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0.043672</w:t>
            </w:r>
          </w:p>
        </w:tc>
        <w:tc>
          <w:tcPr>
            <w:tcW w:w="1053" w:type="dxa"/>
            <w:shd w:val="clear" w:color="auto" w:fill="auto"/>
            <w:noWrap/>
            <w:vAlign w:val="bottom"/>
            <w:hideMark/>
          </w:tcPr>
          <w:p w14:paraId="6D0C07DB"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0.049396</w:t>
            </w:r>
          </w:p>
        </w:tc>
        <w:tc>
          <w:tcPr>
            <w:tcW w:w="1053" w:type="dxa"/>
            <w:shd w:val="clear" w:color="auto" w:fill="auto"/>
            <w:noWrap/>
            <w:vAlign w:val="bottom"/>
            <w:hideMark/>
          </w:tcPr>
          <w:p w14:paraId="019641A4"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0.003083</w:t>
            </w:r>
          </w:p>
        </w:tc>
        <w:tc>
          <w:tcPr>
            <w:tcW w:w="960" w:type="dxa"/>
            <w:shd w:val="clear" w:color="auto" w:fill="auto"/>
            <w:noWrap/>
            <w:vAlign w:val="bottom"/>
            <w:hideMark/>
          </w:tcPr>
          <w:p w14:paraId="7C60E566"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16.02</w:t>
            </w:r>
          </w:p>
        </w:tc>
      </w:tr>
      <w:tr w:rsidR="00CA7A4E" w:rsidRPr="004A57BF" w14:paraId="12D2663B" w14:textId="77777777" w:rsidTr="005468A7">
        <w:trPr>
          <w:trHeight w:val="290"/>
        </w:trPr>
        <w:tc>
          <w:tcPr>
            <w:tcW w:w="2000" w:type="dxa"/>
            <w:shd w:val="clear" w:color="auto" w:fill="auto"/>
            <w:noWrap/>
            <w:vAlign w:val="bottom"/>
            <w:hideMark/>
          </w:tcPr>
          <w:p w14:paraId="33AB6F70" w14:textId="77777777" w:rsidR="00CA7A4E" w:rsidRPr="004A57BF" w:rsidRDefault="00CA7A4E" w:rsidP="005468A7">
            <w:pPr>
              <w:spacing w:after="0" w:line="240" w:lineRule="auto"/>
              <w:rPr>
                <w:rFonts w:eastAsia="Times New Roman" w:cstheme="minorHAnsi"/>
                <w:color w:val="000000"/>
                <w:sz w:val="18"/>
                <w:szCs w:val="18"/>
              </w:rPr>
            </w:pPr>
          </w:p>
        </w:tc>
        <w:tc>
          <w:tcPr>
            <w:tcW w:w="1013" w:type="dxa"/>
            <w:shd w:val="clear" w:color="auto" w:fill="auto"/>
            <w:noWrap/>
            <w:vAlign w:val="bottom"/>
            <w:hideMark/>
          </w:tcPr>
          <w:p w14:paraId="52DEEF9B"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Corelat</w:t>
            </w:r>
          </w:p>
        </w:tc>
        <w:tc>
          <w:tcPr>
            <w:tcW w:w="1053" w:type="dxa"/>
            <w:shd w:val="clear" w:color="auto" w:fill="auto"/>
            <w:noWrap/>
            <w:vAlign w:val="bottom"/>
            <w:hideMark/>
          </w:tcPr>
          <w:p w14:paraId="4D9AF7EE"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0.092026</w:t>
            </w:r>
          </w:p>
        </w:tc>
        <w:tc>
          <w:tcPr>
            <w:tcW w:w="1053" w:type="dxa"/>
            <w:shd w:val="clear" w:color="auto" w:fill="auto"/>
            <w:noWrap/>
            <w:vAlign w:val="bottom"/>
            <w:hideMark/>
          </w:tcPr>
          <w:p w14:paraId="4D265182"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0.070963</w:t>
            </w:r>
          </w:p>
        </w:tc>
        <w:tc>
          <w:tcPr>
            <w:tcW w:w="1053" w:type="dxa"/>
            <w:shd w:val="clear" w:color="auto" w:fill="auto"/>
            <w:noWrap/>
            <w:vAlign w:val="bottom"/>
            <w:hideMark/>
          </w:tcPr>
          <w:p w14:paraId="5211BF38"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0.021063</w:t>
            </w:r>
          </w:p>
        </w:tc>
        <w:tc>
          <w:tcPr>
            <w:tcW w:w="1053" w:type="dxa"/>
            <w:shd w:val="clear" w:color="auto" w:fill="auto"/>
            <w:noWrap/>
            <w:vAlign w:val="bottom"/>
            <w:hideMark/>
          </w:tcPr>
          <w:p w14:paraId="0DE19CC4"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0.006072</w:t>
            </w:r>
          </w:p>
        </w:tc>
        <w:tc>
          <w:tcPr>
            <w:tcW w:w="960" w:type="dxa"/>
            <w:shd w:val="clear" w:color="auto" w:fill="auto"/>
            <w:noWrap/>
            <w:vAlign w:val="bottom"/>
            <w:hideMark/>
          </w:tcPr>
          <w:p w14:paraId="2347C161"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3.47</w:t>
            </w:r>
          </w:p>
        </w:tc>
      </w:tr>
      <w:tr w:rsidR="00CA7A4E" w:rsidRPr="004A57BF" w14:paraId="7E4080C0" w14:textId="77777777" w:rsidTr="005468A7">
        <w:trPr>
          <w:trHeight w:val="290"/>
        </w:trPr>
        <w:tc>
          <w:tcPr>
            <w:tcW w:w="2000" w:type="dxa"/>
            <w:shd w:val="clear" w:color="auto" w:fill="auto"/>
            <w:noWrap/>
            <w:vAlign w:val="bottom"/>
          </w:tcPr>
          <w:p w14:paraId="2CA89D8E"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Risc_Abandon 2018-2019</w:t>
            </w:r>
          </w:p>
        </w:tc>
        <w:tc>
          <w:tcPr>
            <w:tcW w:w="1013" w:type="dxa"/>
            <w:shd w:val="clear" w:color="auto" w:fill="auto"/>
            <w:noWrap/>
            <w:vAlign w:val="bottom"/>
          </w:tcPr>
          <w:p w14:paraId="5BB12C4C"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Necorelat</w:t>
            </w:r>
          </w:p>
        </w:tc>
        <w:tc>
          <w:tcPr>
            <w:tcW w:w="1053" w:type="dxa"/>
            <w:shd w:val="clear" w:color="auto" w:fill="auto"/>
            <w:noWrap/>
            <w:vAlign w:val="bottom"/>
          </w:tcPr>
          <w:p w14:paraId="36FD460A"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0.092061</w:t>
            </w:r>
          </w:p>
        </w:tc>
        <w:tc>
          <w:tcPr>
            <w:tcW w:w="1053" w:type="dxa"/>
            <w:shd w:val="clear" w:color="auto" w:fill="auto"/>
            <w:noWrap/>
            <w:vAlign w:val="bottom"/>
          </w:tcPr>
          <w:p w14:paraId="2D74ACB9"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0.041821</w:t>
            </w:r>
          </w:p>
        </w:tc>
        <w:tc>
          <w:tcPr>
            <w:tcW w:w="1053" w:type="dxa"/>
            <w:shd w:val="clear" w:color="auto" w:fill="auto"/>
            <w:noWrap/>
            <w:vAlign w:val="bottom"/>
          </w:tcPr>
          <w:p w14:paraId="70130CCC"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0.05024</w:t>
            </w:r>
          </w:p>
        </w:tc>
        <w:tc>
          <w:tcPr>
            <w:tcW w:w="1053" w:type="dxa"/>
            <w:shd w:val="clear" w:color="auto" w:fill="auto"/>
            <w:noWrap/>
            <w:vAlign w:val="bottom"/>
          </w:tcPr>
          <w:p w14:paraId="25DED4EA"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0.003204</w:t>
            </w:r>
          </w:p>
        </w:tc>
        <w:tc>
          <w:tcPr>
            <w:tcW w:w="960" w:type="dxa"/>
            <w:shd w:val="clear" w:color="auto" w:fill="auto"/>
            <w:noWrap/>
            <w:vAlign w:val="bottom"/>
          </w:tcPr>
          <w:p w14:paraId="709AD093"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15.68</w:t>
            </w:r>
          </w:p>
        </w:tc>
      </w:tr>
      <w:tr w:rsidR="00CA7A4E" w:rsidRPr="004A57BF" w14:paraId="5C4A86C5" w14:textId="77777777" w:rsidTr="000C2D3F">
        <w:trPr>
          <w:trHeight w:val="290"/>
        </w:trPr>
        <w:tc>
          <w:tcPr>
            <w:tcW w:w="2000" w:type="dxa"/>
            <w:shd w:val="clear" w:color="auto" w:fill="auto"/>
            <w:noWrap/>
            <w:vAlign w:val="bottom"/>
          </w:tcPr>
          <w:p w14:paraId="0B982E94" w14:textId="77777777" w:rsidR="00CA7A4E" w:rsidRPr="004A57BF" w:rsidRDefault="00CA7A4E" w:rsidP="005468A7">
            <w:pPr>
              <w:spacing w:after="0" w:line="240" w:lineRule="auto"/>
              <w:rPr>
                <w:rFonts w:eastAsia="Times New Roman" w:cstheme="minorHAnsi"/>
                <w:color w:val="000000"/>
                <w:sz w:val="18"/>
                <w:szCs w:val="18"/>
              </w:rPr>
            </w:pPr>
          </w:p>
        </w:tc>
        <w:tc>
          <w:tcPr>
            <w:tcW w:w="1013" w:type="dxa"/>
            <w:shd w:val="clear" w:color="auto" w:fill="auto"/>
            <w:noWrap/>
            <w:vAlign w:val="bottom"/>
          </w:tcPr>
          <w:p w14:paraId="683F9BBC"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Corelat</w:t>
            </w:r>
          </w:p>
        </w:tc>
        <w:tc>
          <w:tcPr>
            <w:tcW w:w="1053" w:type="dxa"/>
            <w:shd w:val="clear" w:color="auto" w:fill="auto"/>
            <w:noWrap/>
            <w:vAlign w:val="bottom"/>
          </w:tcPr>
          <w:p w14:paraId="6B466F6F"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0.090952</w:t>
            </w:r>
          </w:p>
        </w:tc>
        <w:tc>
          <w:tcPr>
            <w:tcW w:w="1053" w:type="dxa"/>
            <w:shd w:val="clear" w:color="auto" w:fill="auto"/>
            <w:noWrap/>
            <w:vAlign w:val="bottom"/>
          </w:tcPr>
          <w:p w14:paraId="082DE3FF"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0.065976</w:t>
            </w:r>
          </w:p>
        </w:tc>
        <w:tc>
          <w:tcPr>
            <w:tcW w:w="1053" w:type="dxa"/>
            <w:shd w:val="clear" w:color="auto" w:fill="auto"/>
            <w:noWrap/>
            <w:vAlign w:val="bottom"/>
          </w:tcPr>
          <w:p w14:paraId="63906C0D"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0.024976</w:t>
            </w:r>
          </w:p>
        </w:tc>
        <w:tc>
          <w:tcPr>
            <w:tcW w:w="1053" w:type="dxa"/>
            <w:shd w:val="clear" w:color="auto" w:fill="auto"/>
            <w:noWrap/>
            <w:vAlign w:val="bottom"/>
          </w:tcPr>
          <w:p w14:paraId="368E1454"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0.006925</w:t>
            </w:r>
          </w:p>
        </w:tc>
        <w:tc>
          <w:tcPr>
            <w:tcW w:w="960" w:type="dxa"/>
            <w:shd w:val="clear" w:color="auto" w:fill="auto"/>
            <w:noWrap/>
            <w:vAlign w:val="bottom"/>
          </w:tcPr>
          <w:p w14:paraId="03AE99AF"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3.61</w:t>
            </w:r>
          </w:p>
        </w:tc>
      </w:tr>
    </w:tbl>
    <w:p w14:paraId="32211640" w14:textId="77777777" w:rsidR="00CA7A4E" w:rsidRPr="00551C01" w:rsidRDefault="00CA7A4E" w:rsidP="00CA7A4E">
      <w:pPr>
        <w:rPr>
          <w:rFonts w:cstheme="minorHAnsi"/>
          <w:szCs w:val="20"/>
        </w:rPr>
      </w:pPr>
    </w:p>
    <w:p w14:paraId="3A5F5131" w14:textId="77777777" w:rsidR="00CA7A4E" w:rsidRPr="00551C01" w:rsidRDefault="00CA7A4E" w:rsidP="00CA7A4E">
      <w:pPr>
        <w:rPr>
          <w:rFonts w:cstheme="minorHAnsi"/>
          <w:szCs w:val="20"/>
        </w:rPr>
      </w:pPr>
      <w:r w:rsidRPr="00551C01">
        <w:rPr>
          <w:rFonts w:cstheme="minorHAnsi"/>
          <w:szCs w:val="20"/>
        </w:rPr>
        <w:t>Datele din tabelul de mai sus arată că intervenția nu a avut efect asupra reducerii riscului de abandon, nici la un an de la încheierea intervențiilor, nici la trei ani.</w:t>
      </w:r>
    </w:p>
    <w:p w14:paraId="75BAAAA0" w14:textId="77777777" w:rsidR="00CA7A4E" w:rsidRPr="00551C01" w:rsidRDefault="00CA7A4E" w:rsidP="004A57BF">
      <w:pPr>
        <w:jc w:val="both"/>
        <w:rPr>
          <w:rFonts w:cstheme="minorHAnsi"/>
          <w:szCs w:val="20"/>
        </w:rPr>
      </w:pPr>
      <w:r w:rsidRPr="00551C01">
        <w:rPr>
          <w:rFonts w:cstheme="minorHAnsi"/>
          <w:szCs w:val="20"/>
        </w:rPr>
        <w:t xml:space="preserve">Ponderea elevilor aflați în situație de risc de abandon școlar a rămas ridicată în ansamblu atât în grupul tratat cât și în grupul de control. Diferența între cele două grupuri s-a menținut la cca 2% atât după un an de la implementarea proiectelor, cât și după trei ani.  Această diferență este semnificativă din punct de vedere statistic. </w:t>
      </w:r>
    </w:p>
    <w:p w14:paraId="1530B690" w14:textId="77777777" w:rsidR="00CA7A4E" w:rsidRPr="00551C01" w:rsidRDefault="00CA7A4E" w:rsidP="004A57BF">
      <w:pPr>
        <w:jc w:val="both"/>
        <w:rPr>
          <w:rFonts w:cstheme="minorHAnsi"/>
          <w:szCs w:val="20"/>
        </w:rPr>
      </w:pPr>
      <w:r w:rsidRPr="00551C01">
        <w:rPr>
          <w:rFonts w:cstheme="minorHAnsi"/>
          <w:szCs w:val="20"/>
        </w:rPr>
        <w:t>Prin urmare, intervențiile asupra creșterii participării școlare și a reducerii riscului de abandon implementate prin DMI 2.2 în perioada 2010-2015 nu au generat nici un efect (pozitiv sau negativ). Diferența între grupul tratat și cel de control s-a menținut la cca 2% procente mai mare în cazul școlilor tratate. Este un efect semnificativ statistic, ce persistă și în anul 2018-2019.</w:t>
      </w:r>
    </w:p>
    <w:p w14:paraId="08D85E4D" w14:textId="77777777" w:rsidR="00CA7A4E" w:rsidRPr="00551C01" w:rsidRDefault="00CA7A4E" w:rsidP="00B82B7B">
      <w:pPr>
        <w:pStyle w:val="Heading1"/>
        <w:numPr>
          <w:ilvl w:val="0"/>
          <w:numId w:val="14"/>
        </w:numPr>
        <w:jc w:val="both"/>
      </w:pPr>
      <w:bookmarkStart w:id="3" w:name="_Toc68685049"/>
      <w:r w:rsidRPr="00551C01">
        <w:t>Rezultatele ECI pentru subeșantionul proiectelor începute in anii 2014-2015: Analiza combinată DID și PSM</w:t>
      </w:r>
      <w:bookmarkEnd w:id="3"/>
    </w:p>
    <w:p w14:paraId="6FA654FC" w14:textId="77777777" w:rsidR="00CA7A4E" w:rsidRPr="00551C01" w:rsidRDefault="00CA7A4E" w:rsidP="004A57BF">
      <w:pPr>
        <w:jc w:val="both"/>
        <w:rPr>
          <w:rFonts w:cstheme="minorHAnsi"/>
          <w:szCs w:val="20"/>
        </w:rPr>
      </w:pPr>
      <w:r w:rsidRPr="00551C01">
        <w:rPr>
          <w:rFonts w:cstheme="minorHAnsi"/>
          <w:szCs w:val="20"/>
        </w:rPr>
        <w:t>Din lipsa unor date statistice înainte de anul 2014, rezultatele produse ex-post ignoră situația pre- tratament, prin urmare este necesar să se continue analiza prin compararea cu situația la momentul pre-intervenție si calcularea dublelor diferențe. Combinarea celor două metode, PSM si DID produce rezultate robuste, prezentate în tabelul de mai jos. Am aplicat aceste metode pe un subeșantion al școlilor tratate, care au început proiectele în anul 2015, al cărui volum ridicat (259 școli) creează premisele obținerii rezultate semnificative.  Astfel, se poate considera ca datele din anul școlar 2014-2015 sunt cele din momentul pre-intervenție, iar cele din anul 2018-2019 sunt cele post-intervenție.</w:t>
      </w:r>
    </w:p>
    <w:p w14:paraId="5B173D68" w14:textId="77777777" w:rsidR="00CA7A4E" w:rsidRPr="00551C01" w:rsidRDefault="00CA7A4E" w:rsidP="00CA7A4E">
      <w:pPr>
        <w:rPr>
          <w:rFonts w:cstheme="minorHAnsi"/>
          <w:szCs w:val="20"/>
        </w:rPr>
      </w:pPr>
      <w:r w:rsidRPr="00551C01">
        <w:rPr>
          <w:rFonts w:cstheme="minorHAnsi"/>
          <w:szCs w:val="20"/>
        </w:rPr>
        <w:t xml:space="preserve">Datele confirmă rezultatul identificat în etapa precedentă: o diferență de cca 2% între cele două grupuri în ambele perioade. </w:t>
      </w:r>
    </w:p>
    <w:p w14:paraId="259BB458" w14:textId="20E6049F" w:rsidR="00CA7A4E" w:rsidRPr="00551C01" w:rsidRDefault="00CA7A4E" w:rsidP="00B82B7B">
      <w:pPr>
        <w:jc w:val="both"/>
        <w:rPr>
          <w:rFonts w:cstheme="minorHAnsi"/>
          <w:b/>
          <w:szCs w:val="20"/>
        </w:rPr>
      </w:pPr>
      <w:r w:rsidRPr="00551C01">
        <w:rPr>
          <w:rFonts w:cstheme="minorHAnsi"/>
          <w:b/>
          <w:szCs w:val="20"/>
        </w:rPr>
        <w:t xml:space="preserve">Tabel </w:t>
      </w:r>
      <w:r w:rsidR="004A57BF">
        <w:rPr>
          <w:rFonts w:cstheme="minorHAnsi"/>
          <w:b/>
          <w:szCs w:val="20"/>
        </w:rPr>
        <w:t>4</w:t>
      </w:r>
      <w:r w:rsidRPr="00551C01">
        <w:rPr>
          <w:rFonts w:cstheme="minorHAnsi"/>
          <w:b/>
          <w:szCs w:val="20"/>
        </w:rPr>
        <w:t>. Impactul net al intervențiilor prin DMI 2.2 POSDRU asupra participării școlare</w:t>
      </w:r>
    </w:p>
    <w:tbl>
      <w:tblPr>
        <w:tblW w:w="6876" w:type="dxa"/>
        <w:jc w:val="center"/>
        <w:tblLook w:val="04A0" w:firstRow="1" w:lastRow="0" w:firstColumn="1" w:lastColumn="0" w:noHBand="0" w:noVBand="1"/>
      </w:tblPr>
      <w:tblGrid>
        <w:gridCol w:w="3060"/>
        <w:gridCol w:w="1170"/>
        <w:gridCol w:w="1260"/>
        <w:gridCol w:w="1386"/>
      </w:tblGrid>
      <w:tr w:rsidR="00CA7A4E" w:rsidRPr="004A57BF" w14:paraId="315BB797" w14:textId="77777777" w:rsidTr="005468A7">
        <w:trPr>
          <w:trHeight w:val="290"/>
          <w:jc w:val="center"/>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26D95"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Risc abandon scolar</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812D043"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2014-2015</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24CC59BB"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2018-2019</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14:paraId="4E9B2809"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Dif 2019-2015</w:t>
            </w:r>
          </w:p>
        </w:tc>
      </w:tr>
      <w:tr w:rsidR="00CA7A4E" w:rsidRPr="004A57BF" w14:paraId="6AF27552" w14:textId="77777777" w:rsidTr="005468A7">
        <w:trPr>
          <w:trHeight w:val="29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69ED8ED" w14:textId="77777777" w:rsidR="00CA7A4E" w:rsidRPr="004A57BF" w:rsidRDefault="00CA7A4E" w:rsidP="005468A7">
            <w:pPr>
              <w:spacing w:after="0" w:line="240" w:lineRule="auto"/>
              <w:rPr>
                <w:rFonts w:eastAsia="Times New Roman" w:cstheme="minorHAnsi"/>
                <w:b/>
                <w:bCs/>
                <w:color w:val="000000"/>
                <w:sz w:val="18"/>
                <w:szCs w:val="18"/>
              </w:rPr>
            </w:pPr>
            <w:r w:rsidRPr="004A57BF">
              <w:rPr>
                <w:rFonts w:eastAsia="Times New Roman" w:cstheme="minorHAnsi"/>
                <w:b/>
                <w:bCs/>
                <w:color w:val="000000"/>
                <w:sz w:val="18"/>
                <w:szCs w:val="18"/>
              </w:rPr>
              <w:t>TRATAT (259 școli)</w:t>
            </w:r>
          </w:p>
        </w:tc>
        <w:tc>
          <w:tcPr>
            <w:tcW w:w="11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4B0FF"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9.46%</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437099D"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10.13%</w:t>
            </w:r>
          </w:p>
        </w:tc>
        <w:tc>
          <w:tcPr>
            <w:tcW w:w="1386" w:type="dxa"/>
            <w:tcBorders>
              <w:top w:val="single" w:sz="4" w:space="0" w:color="auto"/>
              <w:left w:val="nil"/>
              <w:bottom w:val="single" w:sz="4" w:space="0" w:color="auto"/>
              <w:right w:val="single" w:sz="4" w:space="0" w:color="auto"/>
            </w:tcBorders>
            <w:shd w:val="clear" w:color="auto" w:fill="auto"/>
            <w:noWrap/>
            <w:vAlign w:val="bottom"/>
            <w:hideMark/>
          </w:tcPr>
          <w:p w14:paraId="2E78CA37"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0.66%</w:t>
            </w:r>
          </w:p>
        </w:tc>
      </w:tr>
      <w:tr w:rsidR="00CA7A4E" w:rsidRPr="004A57BF" w14:paraId="0CF33034" w14:textId="77777777" w:rsidTr="005468A7">
        <w:trPr>
          <w:trHeight w:val="29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28BC6B8" w14:textId="77777777" w:rsidR="00CA7A4E" w:rsidRPr="004A57BF" w:rsidRDefault="00CA7A4E" w:rsidP="005468A7">
            <w:pPr>
              <w:spacing w:after="0" w:line="240" w:lineRule="auto"/>
              <w:rPr>
                <w:rFonts w:eastAsia="Times New Roman" w:cstheme="minorHAnsi"/>
                <w:color w:val="000000"/>
                <w:sz w:val="18"/>
                <w:szCs w:val="18"/>
              </w:rPr>
            </w:pPr>
            <w:r w:rsidRPr="004A57BF">
              <w:rPr>
                <w:rFonts w:eastAsia="Times New Roman" w:cstheme="minorHAnsi"/>
                <w:color w:val="000000"/>
                <w:sz w:val="18"/>
                <w:szCs w:val="18"/>
              </w:rPr>
              <w:t>CONTROL (4527 școli)</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77536B77"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7.44%</w:t>
            </w:r>
          </w:p>
        </w:tc>
        <w:tc>
          <w:tcPr>
            <w:tcW w:w="1260" w:type="dxa"/>
            <w:tcBorders>
              <w:top w:val="nil"/>
              <w:left w:val="nil"/>
              <w:bottom w:val="single" w:sz="4" w:space="0" w:color="auto"/>
              <w:right w:val="single" w:sz="4" w:space="0" w:color="auto"/>
            </w:tcBorders>
            <w:shd w:val="clear" w:color="auto" w:fill="auto"/>
            <w:noWrap/>
            <w:vAlign w:val="bottom"/>
            <w:hideMark/>
          </w:tcPr>
          <w:p w14:paraId="564EA05A"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7.84%</w:t>
            </w:r>
          </w:p>
        </w:tc>
        <w:tc>
          <w:tcPr>
            <w:tcW w:w="1386" w:type="dxa"/>
            <w:tcBorders>
              <w:top w:val="nil"/>
              <w:left w:val="nil"/>
              <w:bottom w:val="single" w:sz="4" w:space="0" w:color="auto"/>
              <w:right w:val="single" w:sz="4" w:space="0" w:color="auto"/>
            </w:tcBorders>
            <w:shd w:val="clear" w:color="auto" w:fill="auto"/>
            <w:noWrap/>
            <w:vAlign w:val="bottom"/>
            <w:hideMark/>
          </w:tcPr>
          <w:p w14:paraId="216A7ABC"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0.40%</w:t>
            </w:r>
          </w:p>
        </w:tc>
      </w:tr>
      <w:tr w:rsidR="00CA7A4E" w:rsidRPr="004A57BF" w14:paraId="1D3EFFC7" w14:textId="77777777" w:rsidTr="005468A7">
        <w:trPr>
          <w:trHeight w:val="300"/>
          <w:jc w:val="center"/>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88CED51" w14:textId="77777777" w:rsidR="00CA7A4E" w:rsidRPr="004A57BF" w:rsidRDefault="00CA7A4E" w:rsidP="005468A7">
            <w:pPr>
              <w:spacing w:after="0" w:line="240" w:lineRule="auto"/>
              <w:rPr>
                <w:rFonts w:eastAsia="Times New Roman" w:cstheme="minorHAnsi"/>
                <w:b/>
                <w:color w:val="000000"/>
                <w:sz w:val="18"/>
                <w:szCs w:val="18"/>
              </w:rPr>
            </w:pPr>
            <w:r w:rsidRPr="004A57BF">
              <w:rPr>
                <w:rFonts w:eastAsia="Times New Roman" w:cstheme="minorHAnsi"/>
                <w:b/>
                <w:color w:val="000000"/>
                <w:sz w:val="18"/>
                <w:szCs w:val="18"/>
              </w:rPr>
              <w:t>Diferența-în-diferență</w:t>
            </w:r>
          </w:p>
        </w:tc>
        <w:tc>
          <w:tcPr>
            <w:tcW w:w="1170" w:type="dxa"/>
            <w:tcBorders>
              <w:top w:val="nil"/>
              <w:left w:val="single" w:sz="4" w:space="0" w:color="auto"/>
              <w:bottom w:val="single" w:sz="4" w:space="0" w:color="auto"/>
              <w:right w:val="single" w:sz="4" w:space="0" w:color="auto"/>
            </w:tcBorders>
            <w:shd w:val="clear" w:color="auto" w:fill="auto"/>
            <w:noWrap/>
            <w:vAlign w:val="bottom"/>
            <w:hideMark/>
          </w:tcPr>
          <w:p w14:paraId="01791FA3"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2.03%</w:t>
            </w:r>
          </w:p>
        </w:tc>
        <w:tc>
          <w:tcPr>
            <w:tcW w:w="1260" w:type="dxa"/>
            <w:tcBorders>
              <w:top w:val="nil"/>
              <w:left w:val="nil"/>
              <w:bottom w:val="single" w:sz="4" w:space="0" w:color="auto"/>
              <w:right w:val="single" w:sz="4" w:space="0" w:color="auto"/>
            </w:tcBorders>
            <w:shd w:val="clear" w:color="auto" w:fill="auto"/>
            <w:noWrap/>
            <w:vAlign w:val="bottom"/>
            <w:hideMark/>
          </w:tcPr>
          <w:p w14:paraId="1EBF5036"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2.29%</w:t>
            </w:r>
          </w:p>
        </w:tc>
        <w:tc>
          <w:tcPr>
            <w:tcW w:w="1386" w:type="dxa"/>
            <w:tcBorders>
              <w:top w:val="nil"/>
              <w:left w:val="nil"/>
              <w:bottom w:val="single" w:sz="4" w:space="0" w:color="auto"/>
              <w:right w:val="single" w:sz="4" w:space="0" w:color="auto"/>
            </w:tcBorders>
            <w:shd w:val="clear" w:color="auto" w:fill="auto"/>
            <w:noWrap/>
            <w:vAlign w:val="bottom"/>
            <w:hideMark/>
          </w:tcPr>
          <w:p w14:paraId="2C74F09A" w14:textId="77777777" w:rsidR="00CA7A4E" w:rsidRPr="004A57BF" w:rsidRDefault="00CA7A4E" w:rsidP="005468A7">
            <w:pPr>
              <w:jc w:val="right"/>
              <w:rPr>
                <w:rFonts w:ascii="Calibri" w:hAnsi="Calibri" w:cs="Calibri"/>
                <w:color w:val="000000"/>
                <w:sz w:val="18"/>
                <w:szCs w:val="18"/>
              </w:rPr>
            </w:pPr>
            <w:r w:rsidRPr="004A57BF">
              <w:rPr>
                <w:rFonts w:ascii="Calibri" w:hAnsi="Calibri" w:cs="Calibri"/>
                <w:color w:val="000000"/>
                <w:sz w:val="18"/>
                <w:szCs w:val="18"/>
              </w:rPr>
              <w:t>0.26%</w:t>
            </w:r>
          </w:p>
        </w:tc>
      </w:tr>
    </w:tbl>
    <w:p w14:paraId="14E73D7D" w14:textId="77777777" w:rsidR="00CA7A4E" w:rsidRPr="00551C01" w:rsidRDefault="00CA7A4E" w:rsidP="00CA7A4E">
      <w:pPr>
        <w:rPr>
          <w:rFonts w:cstheme="minorHAnsi"/>
          <w:szCs w:val="20"/>
        </w:rPr>
      </w:pPr>
    </w:p>
    <w:p w14:paraId="062EAB7C" w14:textId="77777777" w:rsidR="00CA7A4E" w:rsidRPr="00551C01" w:rsidRDefault="00CA7A4E" w:rsidP="004A57BF">
      <w:pPr>
        <w:jc w:val="both"/>
        <w:rPr>
          <w:rFonts w:cstheme="minorHAnsi"/>
          <w:szCs w:val="20"/>
        </w:rPr>
      </w:pPr>
      <w:r w:rsidRPr="00551C01">
        <w:rPr>
          <w:rFonts w:cstheme="minorHAnsi"/>
          <w:szCs w:val="20"/>
        </w:rPr>
        <w:t>Din punct de vedere statistic, rezultatele sunt robuste și confirma aceeași lipsa de efect observată în etapa precedentă. Calitatea corelării a fost testată, iar graficul de mai jos arată o similaritate în distribuția grupului tratat și a celui de control în funcție de scorul de corelare.</w:t>
      </w:r>
    </w:p>
    <w:p w14:paraId="47755F51" w14:textId="77777777" w:rsidR="00CA7A4E" w:rsidRPr="00551C01" w:rsidRDefault="00CA7A4E" w:rsidP="00CA7A4E">
      <w:pPr>
        <w:rPr>
          <w:rFonts w:cstheme="minorHAnsi"/>
          <w:szCs w:val="20"/>
        </w:rPr>
      </w:pPr>
      <w:r w:rsidRPr="00551C01">
        <w:rPr>
          <w:noProof/>
        </w:rPr>
        <w:lastRenderedPageBreak/>
        <w:drawing>
          <wp:inline distT="0" distB="0" distL="0" distR="0" wp14:anchorId="04323176" wp14:editId="14A01D5D">
            <wp:extent cx="5041900" cy="3657600"/>
            <wp:effectExtent l="0" t="0" r="6350" b="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1900" cy="36576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CD68F82" w14:textId="77777777" w:rsidR="00CA7A4E" w:rsidRPr="00551C01" w:rsidRDefault="00CA7A4E" w:rsidP="00CA7A4E">
      <w:pPr>
        <w:tabs>
          <w:tab w:val="left" w:pos="3981"/>
        </w:tabs>
        <w:rPr>
          <w:rFonts w:cstheme="minorHAnsi"/>
          <w:szCs w:val="20"/>
        </w:rPr>
      </w:pPr>
      <w:r w:rsidRPr="00551C01">
        <w:rPr>
          <w:rFonts w:cstheme="minorHAnsi"/>
          <w:szCs w:val="20"/>
        </w:rPr>
        <w:tab/>
      </w:r>
    </w:p>
    <w:p w14:paraId="4E4C7818" w14:textId="77777777" w:rsidR="00CA7A4E" w:rsidRPr="004A57BF" w:rsidRDefault="00CA7A4E" w:rsidP="004A57BF">
      <w:pPr>
        <w:jc w:val="both"/>
        <w:rPr>
          <w:rFonts w:cstheme="minorHAnsi"/>
          <w:szCs w:val="20"/>
        </w:rPr>
      </w:pPr>
      <w:r w:rsidRPr="00551C01">
        <w:rPr>
          <w:rFonts w:cstheme="minorHAnsi"/>
          <w:szCs w:val="20"/>
        </w:rPr>
        <w:t xml:space="preserve">În cazul </w:t>
      </w:r>
      <w:r w:rsidRPr="004A57BF">
        <w:rPr>
          <w:rFonts w:cstheme="minorHAnsi"/>
          <w:szCs w:val="20"/>
        </w:rPr>
        <w:t xml:space="preserve">variabilei de impact </w:t>
      </w:r>
      <w:r w:rsidRPr="004A57BF">
        <w:rPr>
          <w:rFonts w:cstheme="minorHAnsi"/>
          <w:b/>
          <w:szCs w:val="20"/>
        </w:rPr>
        <w:t>Riscul de abandon</w:t>
      </w:r>
      <w:r w:rsidRPr="004A57BF">
        <w:rPr>
          <w:rFonts w:cstheme="minorHAnsi"/>
          <w:szCs w:val="20"/>
        </w:rPr>
        <w:t>, in aplicarea combinată a DID si PSM pentru eșantionul școlilor care a început proiectele în anul 2014-2015, se constată:</w:t>
      </w:r>
    </w:p>
    <w:p w14:paraId="66A812F3" w14:textId="77777777" w:rsidR="00CA7A4E" w:rsidRPr="004A57BF" w:rsidRDefault="00CA7A4E" w:rsidP="004A57BF">
      <w:pPr>
        <w:pStyle w:val="ListParagraph"/>
        <w:numPr>
          <w:ilvl w:val="0"/>
          <w:numId w:val="11"/>
        </w:numPr>
        <w:spacing w:after="200" w:line="276" w:lineRule="auto"/>
        <w:jc w:val="both"/>
        <w:rPr>
          <w:rFonts w:cstheme="minorHAnsi"/>
          <w:szCs w:val="20"/>
          <w:lang w:val="ro-RO"/>
        </w:rPr>
      </w:pPr>
      <w:r w:rsidRPr="004A57BF">
        <w:rPr>
          <w:rFonts w:cstheme="minorHAnsi"/>
          <w:szCs w:val="20"/>
          <w:lang w:val="ro-RO"/>
        </w:rPr>
        <w:t>În grupul școlilor tratate a crescut riscul de abandon cu 0,66% de-a lungul celor 4 ani dintre momentul pre și post intervenție.</w:t>
      </w:r>
    </w:p>
    <w:p w14:paraId="58EBD323" w14:textId="77777777" w:rsidR="00CA7A4E" w:rsidRPr="004A57BF" w:rsidRDefault="00CA7A4E" w:rsidP="004A57BF">
      <w:pPr>
        <w:pStyle w:val="ListParagraph"/>
        <w:numPr>
          <w:ilvl w:val="0"/>
          <w:numId w:val="11"/>
        </w:numPr>
        <w:spacing w:after="200" w:line="276" w:lineRule="auto"/>
        <w:jc w:val="both"/>
        <w:rPr>
          <w:rFonts w:cstheme="minorHAnsi"/>
          <w:szCs w:val="20"/>
          <w:lang w:val="ro-RO"/>
        </w:rPr>
      </w:pPr>
      <w:r w:rsidRPr="004A57BF">
        <w:rPr>
          <w:rFonts w:cstheme="minorHAnsi"/>
          <w:szCs w:val="20"/>
          <w:lang w:val="ro-RO"/>
        </w:rPr>
        <w:t>În grupul școlilor tratate a crescut riscul de abandon cu 0,4% de-a lungul celor 4 ani dintre momentul pre și post intervenție.</w:t>
      </w:r>
    </w:p>
    <w:p w14:paraId="6A0FBDE7" w14:textId="77777777" w:rsidR="00CA7A4E" w:rsidRPr="004A57BF" w:rsidRDefault="00CA7A4E" w:rsidP="004A57BF">
      <w:pPr>
        <w:pStyle w:val="ListParagraph"/>
        <w:numPr>
          <w:ilvl w:val="0"/>
          <w:numId w:val="11"/>
        </w:numPr>
        <w:spacing w:after="200" w:line="276" w:lineRule="auto"/>
        <w:jc w:val="both"/>
        <w:rPr>
          <w:rFonts w:cstheme="minorHAnsi"/>
          <w:szCs w:val="20"/>
          <w:lang w:val="ro-RO"/>
        </w:rPr>
      </w:pPr>
      <w:r w:rsidRPr="004A57BF">
        <w:rPr>
          <w:rFonts w:cstheme="minorHAnsi"/>
          <w:szCs w:val="20"/>
          <w:lang w:val="ro-RO"/>
        </w:rPr>
        <w:t>Prin urmare se constată o creștere sensibil mai ridicată în cazul grupului tratat cu 0,26%,  ceea ce confirmă lipsa de efect a intervențiilor asupra scăderii generale a riscului de abandon și sugerează un posibil efect negativ.</w:t>
      </w:r>
    </w:p>
    <w:p w14:paraId="78F53F1A" w14:textId="77777777" w:rsidR="00CA7A4E" w:rsidRPr="004A57BF" w:rsidRDefault="00CA7A4E" w:rsidP="004A57BF">
      <w:pPr>
        <w:jc w:val="both"/>
        <w:rPr>
          <w:rFonts w:cstheme="minorHAnsi"/>
          <w:szCs w:val="20"/>
        </w:rPr>
      </w:pPr>
      <w:r w:rsidRPr="004A57BF">
        <w:rPr>
          <w:rFonts w:cstheme="minorHAnsi"/>
          <w:szCs w:val="20"/>
        </w:rPr>
        <w:t>Prin urmare, fenomenul creșterii riscului abandonului școlar persistă în grupul tratat si nu s-a diminuat.</w:t>
      </w:r>
    </w:p>
    <w:p w14:paraId="7382AFC5" w14:textId="77777777" w:rsidR="00CA7A4E" w:rsidRPr="004A57BF" w:rsidRDefault="00CA7A4E" w:rsidP="004A57BF">
      <w:pPr>
        <w:jc w:val="both"/>
        <w:rPr>
          <w:rFonts w:cstheme="minorHAnsi"/>
          <w:szCs w:val="20"/>
        </w:rPr>
      </w:pPr>
      <w:r w:rsidRPr="004A57BF">
        <w:rPr>
          <w:rFonts w:cstheme="minorHAnsi"/>
          <w:szCs w:val="20"/>
        </w:rPr>
        <w:t>Cauzele trebuie analizate la nivel societal și de sistem educațional, precum si la nivel de program. Analizele calitative (Focus grup si interviuri) confirmă aspecte legate de dificultăți de implementare: birocrație excesiva, de dificultăți in constituirea grupului de control, accentul pus pe elementele cantitative (număr de cursanți sau număr de cursuri) si mai puțin pe calitate. Fiind primul exercițiu de programare, așa cum s-a menționat din analizele calitative, a avut si  un caracter de experimentare si de adaptare la rigorile specifice programelor si standardelor europene.</w:t>
      </w:r>
    </w:p>
    <w:p w14:paraId="779E04FC" w14:textId="77777777" w:rsidR="00CA7A4E" w:rsidRPr="00DA3DD1" w:rsidRDefault="00CA7A4E" w:rsidP="00CA7A4E"/>
    <w:p w14:paraId="75B9B89E" w14:textId="77777777" w:rsidR="00FD52AC" w:rsidRDefault="00FD52AC" w:rsidP="00F01820">
      <w:pPr>
        <w:jc w:val="center"/>
        <w:rPr>
          <w:b/>
          <w:bCs/>
          <w:color w:val="134753" w:themeColor="text1"/>
        </w:rPr>
      </w:pPr>
    </w:p>
    <w:sectPr w:rsidR="00FD52AC" w:rsidSect="004A57BF">
      <w:headerReference w:type="default" r:id="rId9"/>
      <w:footerReference w:type="default" r:id="rId10"/>
      <w:headerReference w:type="first" r:id="rId11"/>
      <w:footerReference w:type="first" r:id="rId12"/>
      <w:pgSz w:w="11906" w:h="16838"/>
      <w:pgMar w:top="1440" w:right="1077" w:bottom="1440" w:left="1440" w:header="284"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3C3B3B" w14:textId="77777777" w:rsidR="00E72619" w:rsidRDefault="00E72619" w:rsidP="006F0DFE">
      <w:pPr>
        <w:spacing w:after="0" w:line="240" w:lineRule="auto"/>
      </w:pPr>
      <w:r>
        <w:separator/>
      </w:r>
    </w:p>
  </w:endnote>
  <w:endnote w:type="continuationSeparator" w:id="0">
    <w:p w14:paraId="3B24CAAA" w14:textId="77777777" w:rsidR="00E72619" w:rsidRDefault="00E72619" w:rsidP="006F0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10569"/>
      <w:docPartObj>
        <w:docPartGallery w:val="Page Numbers (Bottom of Page)"/>
        <w:docPartUnique/>
      </w:docPartObj>
    </w:sdtPr>
    <w:sdtEndPr>
      <w:rPr>
        <w:noProof/>
      </w:rPr>
    </w:sdtEndPr>
    <w:sdtContent>
      <w:p w14:paraId="4EB0CE62" w14:textId="053A40DD" w:rsidR="00E07967" w:rsidRDefault="00E07967" w:rsidP="00E07967">
        <w:pPr>
          <w:pStyle w:val="Footer"/>
        </w:pPr>
        <w:r>
          <w:t xml:space="preserve">     __________________________________________________________________________________________  </w:t>
        </w:r>
      </w:p>
      <w:p w14:paraId="2A648F0B" w14:textId="043CE651" w:rsidR="00E07967" w:rsidRDefault="00E07967">
        <w:pPr>
          <w:pStyle w:val="Footer"/>
          <w:jc w:val="right"/>
        </w:pPr>
        <w:r w:rsidRPr="00E07967">
          <w:rPr>
            <w:noProof/>
          </w:rPr>
          <w:drawing>
            <wp:inline distT="0" distB="0" distL="0" distR="0" wp14:anchorId="05306CBC" wp14:editId="29AADEF4">
              <wp:extent cx="5730240" cy="373380"/>
              <wp:effectExtent l="0" t="0" r="381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373380"/>
                      </a:xfrm>
                      <a:prstGeom prst="rect">
                        <a:avLst/>
                      </a:prstGeom>
                      <a:noFill/>
                      <a:ln>
                        <a:noFill/>
                      </a:ln>
                    </pic:spPr>
                  </pic:pic>
                </a:graphicData>
              </a:graphic>
            </wp:inline>
          </w:drawing>
        </w: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8A6B6" w14:textId="079B6BC0" w:rsidR="001E2B3B" w:rsidRPr="000636D9" w:rsidRDefault="001E2B3B" w:rsidP="00E07967">
    <w:pPr>
      <w:pBdr>
        <w:top w:val="single" w:sz="4" w:space="31" w:color="auto"/>
      </w:pBdr>
      <w:jc w:val="right"/>
      <w:rPr>
        <w:rFonts w:cstheme="majorHAnsi"/>
        <w:b/>
        <w:color w:val="819C28" w:themeColor="accent5" w:themeShade="BF"/>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6DD22" w14:textId="77777777" w:rsidR="00E72619" w:rsidRDefault="00E72619" w:rsidP="006F0DFE">
      <w:pPr>
        <w:spacing w:after="0" w:line="240" w:lineRule="auto"/>
      </w:pPr>
      <w:r>
        <w:separator/>
      </w:r>
    </w:p>
  </w:footnote>
  <w:footnote w:type="continuationSeparator" w:id="0">
    <w:p w14:paraId="3FEEB89A" w14:textId="77777777" w:rsidR="00E72619" w:rsidRDefault="00E72619" w:rsidP="006F0DFE">
      <w:pPr>
        <w:spacing w:after="0" w:line="240" w:lineRule="auto"/>
      </w:pPr>
      <w:r>
        <w:continuationSeparator/>
      </w:r>
    </w:p>
  </w:footnote>
  <w:footnote w:id="1">
    <w:p w14:paraId="5D9333AD" w14:textId="77777777" w:rsidR="00CA7A4E" w:rsidRPr="006104E0" w:rsidRDefault="00CA7A4E" w:rsidP="00CA7A4E">
      <w:pPr>
        <w:pStyle w:val="FootnoteText"/>
        <w:rPr>
          <w:lang w:val="ro-RO"/>
        </w:rPr>
      </w:pPr>
      <w:r>
        <w:rPr>
          <w:rStyle w:val="FootnoteReference"/>
        </w:rPr>
        <w:footnoteRef/>
      </w:r>
      <w:r>
        <w:t xml:space="preserve"> </w:t>
      </w:r>
      <w:r w:rsidRPr="004A57BF">
        <w:rPr>
          <w:rFonts w:ascii="Segoe UI" w:hAnsi="Segoe UI" w:cs="Segoe UI"/>
          <w:color w:val="333333"/>
          <w:sz w:val="16"/>
          <w:szCs w:val="16"/>
          <w:shd w:val="clear" w:color="auto" w:fill="FFFFFF"/>
        </w:rPr>
        <w:t>Pirracchio, R., Resche-Rigon, M. &amp; Chevret, S. Evaluation of the Propensity score methods for estimating marginal odds ratios in case of small sample size. </w:t>
      </w:r>
      <w:r w:rsidRPr="004A57BF">
        <w:rPr>
          <w:rFonts w:ascii="Segoe UI" w:hAnsi="Segoe UI" w:cs="Segoe UI"/>
          <w:i/>
          <w:iCs/>
          <w:color w:val="333333"/>
          <w:sz w:val="16"/>
          <w:szCs w:val="16"/>
          <w:shd w:val="clear" w:color="auto" w:fill="FFFFFF"/>
        </w:rPr>
        <w:t>BMC Med Res Methodol</w:t>
      </w:r>
      <w:r w:rsidRPr="004A57BF">
        <w:rPr>
          <w:rFonts w:ascii="Segoe UI" w:hAnsi="Segoe UI" w:cs="Segoe UI"/>
          <w:color w:val="333333"/>
          <w:sz w:val="16"/>
          <w:szCs w:val="16"/>
          <w:shd w:val="clear" w:color="auto" w:fill="FFFFFF"/>
        </w:rPr>
        <w:t> </w:t>
      </w:r>
      <w:r w:rsidRPr="004A57BF">
        <w:rPr>
          <w:rFonts w:ascii="Segoe UI" w:hAnsi="Segoe UI" w:cs="Segoe UI"/>
          <w:b/>
          <w:bCs/>
          <w:color w:val="333333"/>
          <w:sz w:val="16"/>
          <w:szCs w:val="16"/>
          <w:shd w:val="clear" w:color="auto" w:fill="FFFFFF"/>
        </w:rPr>
        <w:t>12, </w:t>
      </w:r>
      <w:r w:rsidRPr="004A57BF">
        <w:rPr>
          <w:rFonts w:ascii="Segoe UI" w:hAnsi="Segoe UI" w:cs="Segoe UI"/>
          <w:color w:val="333333"/>
          <w:sz w:val="16"/>
          <w:szCs w:val="16"/>
          <w:shd w:val="clear" w:color="auto" w:fill="FFFFFF"/>
        </w:rPr>
        <w:t>70 (2012). https://doi.org/10.1186/1471-2288-12-70</w:t>
      </w:r>
    </w:p>
  </w:footnote>
  <w:footnote w:id="2">
    <w:p w14:paraId="73326B35" w14:textId="77777777" w:rsidR="00CA7A4E" w:rsidRPr="00752241" w:rsidRDefault="00CA7A4E" w:rsidP="00CA7A4E">
      <w:pPr>
        <w:pStyle w:val="FootnoteText"/>
        <w:rPr>
          <w:lang w:val="ro-RO"/>
        </w:rPr>
      </w:pPr>
    </w:p>
  </w:footnote>
  <w:footnote w:id="3">
    <w:p w14:paraId="7047B7A7" w14:textId="77777777" w:rsidR="00CA7A4E" w:rsidRPr="00456117" w:rsidRDefault="00CA7A4E" w:rsidP="004A57BF">
      <w:pPr>
        <w:pStyle w:val="FootnoteText"/>
        <w:rPr>
          <w:lang w:val="ro-RO"/>
        </w:rPr>
      </w:pPr>
      <w:r>
        <w:rPr>
          <w:rStyle w:val="FootnoteReference"/>
        </w:rPr>
        <w:footnoteRef/>
      </w:r>
      <w:r>
        <w:t xml:space="preserve"> </w:t>
      </w:r>
      <w:r w:rsidRPr="004A57BF">
        <w:rPr>
          <w:sz w:val="16"/>
          <w:szCs w:val="16"/>
        </w:rPr>
        <w:t>Metodologia detaliată este accesibilă la: https://www.fonduri-ue.ro/images/files/comunicate/2016/13.09/Metodologie_ierarhizare_unitati_scolare.pdf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7BDBD" w14:textId="77777777" w:rsidR="007F2001" w:rsidRDefault="007F2001" w:rsidP="007F2001">
    <w:bookmarkStart w:id="4" w:name="_Hlk65854054"/>
    <w:bookmarkStart w:id="5" w:name="_Hlk65854055"/>
    <w:bookmarkStart w:id="6" w:name="_Hlk65854086"/>
    <w:bookmarkStart w:id="7" w:name="_Hlk65854087"/>
    <w:bookmarkStart w:id="8" w:name="_Hlk65854111"/>
    <w:bookmarkStart w:id="9" w:name="_Hlk65854112"/>
    <w:bookmarkStart w:id="10" w:name="_Hlk65854132"/>
    <w:bookmarkStart w:id="11" w:name="_Hlk65854133"/>
    <w:bookmarkStart w:id="12" w:name="_Hlk65854155"/>
    <w:bookmarkStart w:id="13" w:name="_Hlk65854156"/>
    <w:bookmarkStart w:id="14" w:name="_Hlk65854178"/>
    <w:bookmarkStart w:id="15" w:name="_Hlk65854179"/>
    <w:bookmarkStart w:id="16" w:name="_Hlk65854201"/>
    <w:bookmarkStart w:id="17" w:name="_Hlk65854202"/>
    <w:r>
      <w:rPr>
        <w:noProof/>
        <w:lang w:val="en-US"/>
      </w:rPr>
      <w:drawing>
        <wp:inline distT="0" distB="0" distL="0" distR="0" wp14:anchorId="0156C4DF" wp14:editId="78CB3DE1">
          <wp:extent cx="800100" cy="6705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2811DAA6" wp14:editId="4FFDE5B3">
          <wp:extent cx="670560" cy="6400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
                    <a:extLst>
                      <a:ext uri="{28A0092B-C50C-407E-A947-70E740481C1C}">
                        <a14:useLocalDpi xmlns:a14="http://schemas.microsoft.com/office/drawing/2010/main" val="0"/>
                      </a:ext>
                    </a:extLst>
                  </a:blip>
                  <a:srcRect r="76346"/>
                  <a:stretch>
                    <a:fillRect/>
                  </a:stretch>
                </pic:blipFill>
                <pic:spPr bwMode="auto">
                  <a:xfrm>
                    <a:off x="0" y="0"/>
                    <a:ext cx="670560" cy="640080"/>
                  </a:xfrm>
                  <a:prstGeom prst="rect">
                    <a:avLst/>
                  </a:prstGeom>
                  <a:noFill/>
                  <a:ln>
                    <a:noFill/>
                  </a:ln>
                </pic:spPr>
              </pic:pic>
            </a:graphicData>
          </a:graphic>
        </wp:inline>
      </w:drawing>
    </w:r>
    <w:r>
      <w:rPr>
        <w:noProof/>
        <w:lang w:val="en-US"/>
      </w:rPr>
      <w:t xml:space="preserve">                                                                </w:t>
    </w:r>
    <w:r>
      <w:rPr>
        <w:noProof/>
        <w:lang w:val="en-US"/>
      </w:rPr>
      <w:drawing>
        <wp:inline distT="0" distB="0" distL="0" distR="0" wp14:anchorId="5A61E43C" wp14:editId="787DB453">
          <wp:extent cx="693420" cy="69342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3420" cy="693420"/>
                  </a:xfrm>
                  <a:prstGeom prst="rect">
                    <a:avLst/>
                  </a:prstGeom>
                  <a:noFill/>
                  <a:ln>
                    <a:noFill/>
                  </a:ln>
                </pic:spPr>
              </pic:pic>
            </a:graphicData>
          </a:graphic>
        </wp:inline>
      </w:drawing>
    </w:r>
    <w:r>
      <w:rPr>
        <w:noProof/>
        <w:lang w:val="en-US"/>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p>
  <w:p w14:paraId="7B753264" w14:textId="4F4C4FA1" w:rsidR="001E2B3B" w:rsidRPr="007F2001" w:rsidRDefault="001E2B3B" w:rsidP="007F2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9D1E9" w14:textId="2EA073CB" w:rsidR="00E07967" w:rsidRDefault="00E07967" w:rsidP="00E07967">
    <w:pPr>
      <w:pStyle w:val="Header"/>
      <w:rPr>
        <w:noProof/>
        <w:lang w:val="en-US"/>
      </w:rPr>
    </w:pPr>
    <w:r w:rsidRPr="00E07967">
      <w:rPr>
        <w:noProof/>
      </w:rPr>
      <w:drawing>
        <wp:anchor distT="0" distB="0" distL="114300" distR="114300" simplePos="0" relativeHeight="251658240" behindDoc="0" locked="0" layoutInCell="1" allowOverlap="1" wp14:anchorId="761DFAB5" wp14:editId="706919C3">
          <wp:simplePos x="0" y="0"/>
          <wp:positionH relativeFrom="column">
            <wp:posOffset>0</wp:posOffset>
          </wp:positionH>
          <wp:positionV relativeFrom="paragraph">
            <wp:posOffset>154940</wp:posOffset>
          </wp:positionV>
          <wp:extent cx="5981700" cy="708660"/>
          <wp:effectExtent l="0" t="0" r="0" b="0"/>
          <wp:wrapSquare wrapText="bothSides"/>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81700" cy="708660"/>
                  </a:xfrm>
                  <a:prstGeom prst="rect">
                    <a:avLst/>
                  </a:prstGeom>
                  <a:noFill/>
                  <a:ln>
                    <a:noFill/>
                  </a:ln>
                </pic:spPr>
              </pic:pic>
            </a:graphicData>
          </a:graphic>
          <wp14:sizeRelH relativeFrom="margin">
            <wp14:pctWidth>0</wp14:pctWidth>
          </wp14:sizeRelH>
        </wp:anchor>
      </w:drawing>
    </w:r>
    <w:r>
      <w:rPr>
        <w:noProof/>
        <w:lang w:val="en-US"/>
      </w:rPr>
      <w:t xml:space="preserve">   </w:t>
    </w:r>
    <w:r w:rsidR="001E2B3B">
      <w:rPr>
        <w:noProof/>
        <w:lang w:val="en-US"/>
      </w:rPr>
      <w:t xml:space="preserve">                                                                                       </w:t>
    </w:r>
  </w:p>
  <w:p w14:paraId="2440EE44" w14:textId="5F87A460" w:rsidR="000A1EC1" w:rsidRDefault="001E2B3B">
    <w:pPr>
      <w:pStyle w:val="Header"/>
    </w:pP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074CC"/>
    <w:multiLevelType w:val="hybridMultilevel"/>
    <w:tmpl w:val="25BCE04E"/>
    <w:lvl w:ilvl="0" w:tplc="0809000F">
      <w:start w:val="1"/>
      <w:numFmt w:val="decimal"/>
      <w:lvlText w:val="%1."/>
      <w:lvlJc w:val="left"/>
      <w:pPr>
        <w:ind w:left="720" w:hanging="360"/>
      </w:pPr>
      <w:rPr>
        <w:rFonts w:hint="default"/>
        <w:b w:val="0"/>
        <w:color w:val="222222"/>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7952903"/>
    <w:multiLevelType w:val="multilevel"/>
    <w:tmpl w:val="FD787E10"/>
    <w:styleLink w:val="Headings"/>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82" w:hanging="357"/>
      </w:pPr>
      <w:rPr>
        <w:rFonts w:hint="default"/>
      </w:rPr>
    </w:lvl>
    <w:lvl w:ilvl="3">
      <w:start w:val="1"/>
      <w:numFmt w:val="decimal"/>
      <w:lvlText w:val="%1.%2.%3.%4."/>
      <w:lvlJc w:val="left"/>
      <w:pPr>
        <w:ind w:left="1634"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 w15:restartNumberingAfterBreak="0">
    <w:nsid w:val="2CDD58C7"/>
    <w:multiLevelType w:val="hybridMultilevel"/>
    <w:tmpl w:val="18B68304"/>
    <w:lvl w:ilvl="0" w:tplc="92AA0EC4">
      <w:start w:val="1"/>
      <w:numFmt w:val="bullet"/>
      <w:lvlText w:val="•"/>
      <w:lvlJc w:val="left"/>
      <w:pPr>
        <w:tabs>
          <w:tab w:val="num" w:pos="720"/>
        </w:tabs>
        <w:ind w:left="720" w:hanging="360"/>
      </w:pPr>
      <w:rPr>
        <w:rFonts w:ascii="Arial" w:hAnsi="Arial" w:cs="Times New Roman" w:hint="default"/>
      </w:rPr>
    </w:lvl>
    <w:lvl w:ilvl="1" w:tplc="E38C364E">
      <w:start w:val="1"/>
      <w:numFmt w:val="bullet"/>
      <w:lvlText w:val="•"/>
      <w:lvlJc w:val="left"/>
      <w:pPr>
        <w:tabs>
          <w:tab w:val="num" w:pos="1440"/>
        </w:tabs>
        <w:ind w:left="1440" w:hanging="360"/>
      </w:pPr>
      <w:rPr>
        <w:rFonts w:ascii="Arial" w:hAnsi="Arial" w:cs="Times New Roman" w:hint="default"/>
      </w:rPr>
    </w:lvl>
    <w:lvl w:ilvl="2" w:tplc="BBB473A4">
      <w:start w:val="1"/>
      <w:numFmt w:val="bullet"/>
      <w:lvlText w:val="•"/>
      <w:lvlJc w:val="left"/>
      <w:pPr>
        <w:tabs>
          <w:tab w:val="num" w:pos="2160"/>
        </w:tabs>
        <w:ind w:left="2160" w:hanging="360"/>
      </w:pPr>
      <w:rPr>
        <w:rFonts w:ascii="Arial" w:hAnsi="Arial" w:cs="Times New Roman" w:hint="default"/>
      </w:rPr>
    </w:lvl>
    <w:lvl w:ilvl="3" w:tplc="B78871B2">
      <w:start w:val="1"/>
      <w:numFmt w:val="bullet"/>
      <w:lvlText w:val="•"/>
      <w:lvlJc w:val="left"/>
      <w:pPr>
        <w:tabs>
          <w:tab w:val="num" w:pos="2880"/>
        </w:tabs>
        <w:ind w:left="2880" w:hanging="360"/>
      </w:pPr>
      <w:rPr>
        <w:rFonts w:ascii="Arial" w:hAnsi="Arial" w:cs="Times New Roman" w:hint="default"/>
      </w:rPr>
    </w:lvl>
    <w:lvl w:ilvl="4" w:tplc="57164DEE">
      <w:start w:val="1"/>
      <w:numFmt w:val="bullet"/>
      <w:lvlText w:val="•"/>
      <w:lvlJc w:val="left"/>
      <w:pPr>
        <w:tabs>
          <w:tab w:val="num" w:pos="3600"/>
        </w:tabs>
        <w:ind w:left="3600" w:hanging="360"/>
      </w:pPr>
      <w:rPr>
        <w:rFonts w:ascii="Arial" w:hAnsi="Arial" w:cs="Times New Roman" w:hint="default"/>
      </w:rPr>
    </w:lvl>
    <w:lvl w:ilvl="5" w:tplc="37A07232">
      <w:start w:val="1"/>
      <w:numFmt w:val="bullet"/>
      <w:lvlText w:val="•"/>
      <w:lvlJc w:val="left"/>
      <w:pPr>
        <w:tabs>
          <w:tab w:val="num" w:pos="4320"/>
        </w:tabs>
        <w:ind w:left="4320" w:hanging="360"/>
      </w:pPr>
      <w:rPr>
        <w:rFonts w:ascii="Arial" w:hAnsi="Arial" w:cs="Times New Roman" w:hint="default"/>
      </w:rPr>
    </w:lvl>
    <w:lvl w:ilvl="6" w:tplc="5A501A86">
      <w:start w:val="1"/>
      <w:numFmt w:val="bullet"/>
      <w:lvlText w:val="•"/>
      <w:lvlJc w:val="left"/>
      <w:pPr>
        <w:tabs>
          <w:tab w:val="num" w:pos="5040"/>
        </w:tabs>
        <w:ind w:left="5040" w:hanging="360"/>
      </w:pPr>
      <w:rPr>
        <w:rFonts w:ascii="Arial" w:hAnsi="Arial" w:cs="Times New Roman" w:hint="default"/>
      </w:rPr>
    </w:lvl>
    <w:lvl w:ilvl="7" w:tplc="02C817F2">
      <w:start w:val="1"/>
      <w:numFmt w:val="bullet"/>
      <w:lvlText w:val="•"/>
      <w:lvlJc w:val="left"/>
      <w:pPr>
        <w:tabs>
          <w:tab w:val="num" w:pos="5760"/>
        </w:tabs>
        <w:ind w:left="5760" w:hanging="360"/>
      </w:pPr>
      <w:rPr>
        <w:rFonts w:ascii="Arial" w:hAnsi="Arial" w:cs="Times New Roman" w:hint="default"/>
      </w:rPr>
    </w:lvl>
    <w:lvl w:ilvl="8" w:tplc="18C6E30C">
      <w:start w:val="1"/>
      <w:numFmt w:val="bullet"/>
      <w:lvlText w:val="•"/>
      <w:lvlJc w:val="left"/>
      <w:pPr>
        <w:tabs>
          <w:tab w:val="num" w:pos="6480"/>
        </w:tabs>
        <w:ind w:left="6480" w:hanging="360"/>
      </w:pPr>
      <w:rPr>
        <w:rFonts w:ascii="Arial" w:hAnsi="Arial" w:cs="Times New Roman" w:hint="default"/>
      </w:rPr>
    </w:lvl>
  </w:abstractNum>
  <w:abstractNum w:abstractNumId="3" w15:restartNumberingAfterBreak="0">
    <w:nsid w:val="41732AC4"/>
    <w:multiLevelType w:val="hybridMultilevel"/>
    <w:tmpl w:val="B73AD95E"/>
    <w:lvl w:ilvl="0" w:tplc="A022A1FE">
      <w:start w:val="1"/>
      <w:numFmt w:val="decimal"/>
      <w:lvlText w:val="%1."/>
      <w:lvlJc w:val="left"/>
      <w:pPr>
        <w:ind w:left="46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15:restartNumberingAfterBreak="0">
    <w:nsid w:val="479734FB"/>
    <w:multiLevelType w:val="hybridMultilevel"/>
    <w:tmpl w:val="8E54A142"/>
    <w:lvl w:ilvl="0" w:tplc="01BA80BA">
      <w:start w:val="1"/>
      <w:numFmt w:val="bullet"/>
      <w:lvlText w:val="-"/>
      <w:lvlJc w:val="left"/>
      <w:pPr>
        <w:tabs>
          <w:tab w:val="num" w:pos="720"/>
        </w:tabs>
        <w:ind w:left="720" w:hanging="360"/>
      </w:pPr>
      <w:rPr>
        <w:rFonts w:ascii="Calibri" w:hAnsi="Calibri" w:cs="Times New Roman" w:hint="default"/>
      </w:rPr>
    </w:lvl>
    <w:lvl w:ilvl="1" w:tplc="FDF69226">
      <w:start w:val="1"/>
      <w:numFmt w:val="bullet"/>
      <w:lvlText w:val="-"/>
      <w:lvlJc w:val="left"/>
      <w:pPr>
        <w:tabs>
          <w:tab w:val="num" w:pos="1440"/>
        </w:tabs>
        <w:ind w:left="1440" w:hanging="360"/>
      </w:pPr>
      <w:rPr>
        <w:rFonts w:ascii="Calibri" w:hAnsi="Calibri" w:cs="Times New Roman" w:hint="default"/>
      </w:rPr>
    </w:lvl>
    <w:lvl w:ilvl="2" w:tplc="59C69B4C">
      <w:start w:val="1"/>
      <w:numFmt w:val="bullet"/>
      <w:lvlText w:val="-"/>
      <w:lvlJc w:val="left"/>
      <w:pPr>
        <w:tabs>
          <w:tab w:val="num" w:pos="2160"/>
        </w:tabs>
        <w:ind w:left="2160" w:hanging="360"/>
      </w:pPr>
      <w:rPr>
        <w:rFonts w:ascii="Calibri" w:hAnsi="Calibri" w:cs="Times New Roman" w:hint="default"/>
      </w:rPr>
    </w:lvl>
    <w:lvl w:ilvl="3" w:tplc="2236F5FE">
      <w:start w:val="1"/>
      <w:numFmt w:val="bullet"/>
      <w:lvlText w:val="-"/>
      <w:lvlJc w:val="left"/>
      <w:pPr>
        <w:tabs>
          <w:tab w:val="num" w:pos="2880"/>
        </w:tabs>
        <w:ind w:left="2880" w:hanging="360"/>
      </w:pPr>
      <w:rPr>
        <w:rFonts w:ascii="Calibri" w:hAnsi="Calibri" w:cs="Times New Roman" w:hint="default"/>
      </w:rPr>
    </w:lvl>
    <w:lvl w:ilvl="4" w:tplc="CFA6C9EA">
      <w:start w:val="1"/>
      <w:numFmt w:val="bullet"/>
      <w:lvlText w:val="-"/>
      <w:lvlJc w:val="left"/>
      <w:pPr>
        <w:tabs>
          <w:tab w:val="num" w:pos="3600"/>
        </w:tabs>
        <w:ind w:left="3600" w:hanging="360"/>
      </w:pPr>
      <w:rPr>
        <w:rFonts w:ascii="Calibri" w:hAnsi="Calibri" w:cs="Times New Roman" w:hint="default"/>
      </w:rPr>
    </w:lvl>
    <w:lvl w:ilvl="5" w:tplc="A71686CA">
      <w:start w:val="1"/>
      <w:numFmt w:val="bullet"/>
      <w:lvlText w:val="-"/>
      <w:lvlJc w:val="left"/>
      <w:pPr>
        <w:tabs>
          <w:tab w:val="num" w:pos="4320"/>
        </w:tabs>
        <w:ind w:left="4320" w:hanging="360"/>
      </w:pPr>
      <w:rPr>
        <w:rFonts w:ascii="Calibri" w:hAnsi="Calibri" w:cs="Times New Roman" w:hint="default"/>
      </w:rPr>
    </w:lvl>
    <w:lvl w:ilvl="6" w:tplc="9CE8FBD8">
      <w:start w:val="1"/>
      <w:numFmt w:val="bullet"/>
      <w:lvlText w:val="-"/>
      <w:lvlJc w:val="left"/>
      <w:pPr>
        <w:tabs>
          <w:tab w:val="num" w:pos="5040"/>
        </w:tabs>
        <w:ind w:left="5040" w:hanging="360"/>
      </w:pPr>
      <w:rPr>
        <w:rFonts w:ascii="Calibri" w:hAnsi="Calibri" w:cs="Times New Roman" w:hint="default"/>
      </w:rPr>
    </w:lvl>
    <w:lvl w:ilvl="7" w:tplc="46CA3610">
      <w:start w:val="1"/>
      <w:numFmt w:val="bullet"/>
      <w:lvlText w:val="-"/>
      <w:lvlJc w:val="left"/>
      <w:pPr>
        <w:tabs>
          <w:tab w:val="num" w:pos="5760"/>
        </w:tabs>
        <w:ind w:left="5760" w:hanging="360"/>
      </w:pPr>
      <w:rPr>
        <w:rFonts w:ascii="Calibri" w:hAnsi="Calibri" w:cs="Times New Roman" w:hint="default"/>
      </w:rPr>
    </w:lvl>
    <w:lvl w:ilvl="8" w:tplc="6F7EA0B0">
      <w:start w:val="1"/>
      <w:numFmt w:val="bullet"/>
      <w:lvlText w:val="-"/>
      <w:lvlJc w:val="left"/>
      <w:pPr>
        <w:tabs>
          <w:tab w:val="num" w:pos="6480"/>
        </w:tabs>
        <w:ind w:left="6480" w:hanging="360"/>
      </w:pPr>
      <w:rPr>
        <w:rFonts w:ascii="Calibri" w:hAnsi="Calibri" w:cs="Times New Roman" w:hint="default"/>
      </w:rPr>
    </w:lvl>
  </w:abstractNum>
  <w:abstractNum w:abstractNumId="5" w15:restartNumberingAfterBreak="0">
    <w:nsid w:val="4DA151FF"/>
    <w:multiLevelType w:val="hybridMultilevel"/>
    <w:tmpl w:val="C40A6358"/>
    <w:lvl w:ilvl="0" w:tplc="A4E0A0C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F13BEB"/>
    <w:multiLevelType w:val="hybridMultilevel"/>
    <w:tmpl w:val="C4E86FFA"/>
    <w:lvl w:ilvl="0" w:tplc="A4E0A0C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040FBA"/>
    <w:multiLevelType w:val="hybridMultilevel"/>
    <w:tmpl w:val="2B862CDC"/>
    <w:lvl w:ilvl="0" w:tplc="A022A1FE">
      <w:start w:val="1"/>
      <w:numFmt w:val="decimal"/>
      <w:lvlText w:val="%1."/>
      <w:lvlJc w:val="left"/>
      <w:pPr>
        <w:ind w:left="4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FF7A5A"/>
    <w:multiLevelType w:val="hybridMultilevel"/>
    <w:tmpl w:val="2EBAF184"/>
    <w:lvl w:ilvl="0" w:tplc="1818AAC8">
      <w:start w:val="1"/>
      <w:numFmt w:val="bullet"/>
      <w:lvlText w:val="•"/>
      <w:lvlJc w:val="left"/>
      <w:pPr>
        <w:tabs>
          <w:tab w:val="num" w:pos="720"/>
        </w:tabs>
        <w:ind w:left="720" w:hanging="360"/>
      </w:pPr>
      <w:rPr>
        <w:rFonts w:ascii="Arial" w:hAnsi="Arial" w:cs="Times New Roman" w:hint="default"/>
      </w:rPr>
    </w:lvl>
    <w:lvl w:ilvl="1" w:tplc="2D02289E">
      <w:start w:val="1"/>
      <w:numFmt w:val="bullet"/>
      <w:lvlText w:val="•"/>
      <w:lvlJc w:val="left"/>
      <w:pPr>
        <w:tabs>
          <w:tab w:val="num" w:pos="1440"/>
        </w:tabs>
        <w:ind w:left="1440" w:hanging="360"/>
      </w:pPr>
      <w:rPr>
        <w:rFonts w:ascii="Arial" w:hAnsi="Arial" w:cs="Times New Roman" w:hint="default"/>
      </w:rPr>
    </w:lvl>
    <w:lvl w:ilvl="2" w:tplc="C28865AA">
      <w:start w:val="1"/>
      <w:numFmt w:val="bullet"/>
      <w:lvlText w:val="•"/>
      <w:lvlJc w:val="left"/>
      <w:pPr>
        <w:tabs>
          <w:tab w:val="num" w:pos="2160"/>
        </w:tabs>
        <w:ind w:left="2160" w:hanging="360"/>
      </w:pPr>
      <w:rPr>
        <w:rFonts w:ascii="Arial" w:hAnsi="Arial" w:cs="Times New Roman" w:hint="default"/>
      </w:rPr>
    </w:lvl>
    <w:lvl w:ilvl="3" w:tplc="AE18745A">
      <w:start w:val="1"/>
      <w:numFmt w:val="bullet"/>
      <w:lvlText w:val="•"/>
      <w:lvlJc w:val="left"/>
      <w:pPr>
        <w:tabs>
          <w:tab w:val="num" w:pos="2880"/>
        </w:tabs>
        <w:ind w:left="2880" w:hanging="360"/>
      </w:pPr>
      <w:rPr>
        <w:rFonts w:ascii="Arial" w:hAnsi="Arial" w:cs="Times New Roman" w:hint="default"/>
      </w:rPr>
    </w:lvl>
    <w:lvl w:ilvl="4" w:tplc="002A8ACE">
      <w:start w:val="1"/>
      <w:numFmt w:val="bullet"/>
      <w:lvlText w:val="•"/>
      <w:lvlJc w:val="left"/>
      <w:pPr>
        <w:tabs>
          <w:tab w:val="num" w:pos="3600"/>
        </w:tabs>
        <w:ind w:left="3600" w:hanging="360"/>
      </w:pPr>
      <w:rPr>
        <w:rFonts w:ascii="Arial" w:hAnsi="Arial" w:cs="Times New Roman" w:hint="default"/>
      </w:rPr>
    </w:lvl>
    <w:lvl w:ilvl="5" w:tplc="6746820A">
      <w:start w:val="1"/>
      <w:numFmt w:val="bullet"/>
      <w:lvlText w:val="•"/>
      <w:lvlJc w:val="left"/>
      <w:pPr>
        <w:tabs>
          <w:tab w:val="num" w:pos="4320"/>
        </w:tabs>
        <w:ind w:left="4320" w:hanging="360"/>
      </w:pPr>
      <w:rPr>
        <w:rFonts w:ascii="Arial" w:hAnsi="Arial" w:cs="Times New Roman" w:hint="default"/>
      </w:rPr>
    </w:lvl>
    <w:lvl w:ilvl="6" w:tplc="2E9C822C">
      <w:start w:val="1"/>
      <w:numFmt w:val="bullet"/>
      <w:lvlText w:val="•"/>
      <w:lvlJc w:val="left"/>
      <w:pPr>
        <w:tabs>
          <w:tab w:val="num" w:pos="5040"/>
        </w:tabs>
        <w:ind w:left="5040" w:hanging="360"/>
      </w:pPr>
      <w:rPr>
        <w:rFonts w:ascii="Arial" w:hAnsi="Arial" w:cs="Times New Roman" w:hint="default"/>
      </w:rPr>
    </w:lvl>
    <w:lvl w:ilvl="7" w:tplc="3FCE1908">
      <w:start w:val="1"/>
      <w:numFmt w:val="bullet"/>
      <w:lvlText w:val="•"/>
      <w:lvlJc w:val="left"/>
      <w:pPr>
        <w:tabs>
          <w:tab w:val="num" w:pos="5760"/>
        </w:tabs>
        <w:ind w:left="5760" w:hanging="360"/>
      </w:pPr>
      <w:rPr>
        <w:rFonts w:ascii="Arial" w:hAnsi="Arial" w:cs="Times New Roman" w:hint="default"/>
      </w:rPr>
    </w:lvl>
    <w:lvl w:ilvl="8" w:tplc="C67AEC42">
      <w:start w:val="1"/>
      <w:numFmt w:val="bullet"/>
      <w:lvlText w:val="•"/>
      <w:lvlJc w:val="left"/>
      <w:pPr>
        <w:tabs>
          <w:tab w:val="num" w:pos="6480"/>
        </w:tabs>
        <w:ind w:left="6480" w:hanging="360"/>
      </w:pPr>
      <w:rPr>
        <w:rFonts w:ascii="Arial" w:hAnsi="Arial" w:cs="Times New Roman" w:hint="default"/>
      </w:rPr>
    </w:lvl>
  </w:abstractNum>
  <w:abstractNum w:abstractNumId="9" w15:restartNumberingAfterBreak="0">
    <w:nsid w:val="5C131996"/>
    <w:multiLevelType w:val="hybridMultilevel"/>
    <w:tmpl w:val="7D20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2E1924"/>
    <w:multiLevelType w:val="hybridMultilevel"/>
    <w:tmpl w:val="6204A9DC"/>
    <w:lvl w:ilvl="0" w:tplc="0526F2AC">
      <w:start w:val="1"/>
      <w:numFmt w:val="bullet"/>
      <w:lvlText w:val="•"/>
      <w:lvlJc w:val="left"/>
      <w:pPr>
        <w:tabs>
          <w:tab w:val="num" w:pos="720"/>
        </w:tabs>
        <w:ind w:left="720" w:hanging="360"/>
      </w:pPr>
      <w:rPr>
        <w:rFonts w:ascii="Arial" w:hAnsi="Arial" w:cs="Times New Roman" w:hint="default"/>
      </w:rPr>
    </w:lvl>
    <w:lvl w:ilvl="1" w:tplc="57A4BF9A">
      <w:start w:val="1"/>
      <w:numFmt w:val="bullet"/>
      <w:lvlText w:val="•"/>
      <w:lvlJc w:val="left"/>
      <w:pPr>
        <w:tabs>
          <w:tab w:val="num" w:pos="1440"/>
        </w:tabs>
        <w:ind w:left="1440" w:hanging="360"/>
      </w:pPr>
      <w:rPr>
        <w:rFonts w:ascii="Arial" w:hAnsi="Arial" w:cs="Times New Roman" w:hint="default"/>
      </w:rPr>
    </w:lvl>
    <w:lvl w:ilvl="2" w:tplc="FBFED1B0">
      <w:start w:val="1"/>
      <w:numFmt w:val="bullet"/>
      <w:lvlText w:val="•"/>
      <w:lvlJc w:val="left"/>
      <w:pPr>
        <w:tabs>
          <w:tab w:val="num" w:pos="2160"/>
        </w:tabs>
        <w:ind w:left="2160" w:hanging="360"/>
      </w:pPr>
      <w:rPr>
        <w:rFonts w:ascii="Arial" w:hAnsi="Arial" w:cs="Times New Roman" w:hint="default"/>
      </w:rPr>
    </w:lvl>
    <w:lvl w:ilvl="3" w:tplc="F474D1EA">
      <w:start w:val="1"/>
      <w:numFmt w:val="bullet"/>
      <w:lvlText w:val="•"/>
      <w:lvlJc w:val="left"/>
      <w:pPr>
        <w:tabs>
          <w:tab w:val="num" w:pos="2880"/>
        </w:tabs>
        <w:ind w:left="2880" w:hanging="360"/>
      </w:pPr>
      <w:rPr>
        <w:rFonts w:ascii="Arial" w:hAnsi="Arial" w:cs="Times New Roman" w:hint="default"/>
      </w:rPr>
    </w:lvl>
    <w:lvl w:ilvl="4" w:tplc="B832F786">
      <w:start w:val="1"/>
      <w:numFmt w:val="bullet"/>
      <w:lvlText w:val="•"/>
      <w:lvlJc w:val="left"/>
      <w:pPr>
        <w:tabs>
          <w:tab w:val="num" w:pos="3600"/>
        </w:tabs>
        <w:ind w:left="3600" w:hanging="360"/>
      </w:pPr>
      <w:rPr>
        <w:rFonts w:ascii="Arial" w:hAnsi="Arial" w:cs="Times New Roman" w:hint="default"/>
      </w:rPr>
    </w:lvl>
    <w:lvl w:ilvl="5" w:tplc="694AD672">
      <w:start w:val="1"/>
      <w:numFmt w:val="bullet"/>
      <w:lvlText w:val="•"/>
      <w:lvlJc w:val="left"/>
      <w:pPr>
        <w:tabs>
          <w:tab w:val="num" w:pos="4320"/>
        </w:tabs>
        <w:ind w:left="4320" w:hanging="360"/>
      </w:pPr>
      <w:rPr>
        <w:rFonts w:ascii="Arial" w:hAnsi="Arial" w:cs="Times New Roman" w:hint="default"/>
      </w:rPr>
    </w:lvl>
    <w:lvl w:ilvl="6" w:tplc="8452C2A2">
      <w:start w:val="1"/>
      <w:numFmt w:val="bullet"/>
      <w:lvlText w:val="•"/>
      <w:lvlJc w:val="left"/>
      <w:pPr>
        <w:tabs>
          <w:tab w:val="num" w:pos="5040"/>
        </w:tabs>
        <w:ind w:left="5040" w:hanging="360"/>
      </w:pPr>
      <w:rPr>
        <w:rFonts w:ascii="Arial" w:hAnsi="Arial" w:cs="Times New Roman" w:hint="default"/>
      </w:rPr>
    </w:lvl>
    <w:lvl w:ilvl="7" w:tplc="5A62C360">
      <w:start w:val="1"/>
      <w:numFmt w:val="bullet"/>
      <w:lvlText w:val="•"/>
      <w:lvlJc w:val="left"/>
      <w:pPr>
        <w:tabs>
          <w:tab w:val="num" w:pos="5760"/>
        </w:tabs>
        <w:ind w:left="5760" w:hanging="360"/>
      </w:pPr>
      <w:rPr>
        <w:rFonts w:ascii="Arial" w:hAnsi="Arial" w:cs="Times New Roman" w:hint="default"/>
      </w:rPr>
    </w:lvl>
    <w:lvl w:ilvl="8" w:tplc="BDB07C7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693E4086"/>
    <w:multiLevelType w:val="hybridMultilevel"/>
    <w:tmpl w:val="1D6637F6"/>
    <w:lvl w:ilvl="0" w:tplc="6296A8F8">
      <w:start w:val="1"/>
      <w:numFmt w:val="bullet"/>
      <w:lvlText w:val="•"/>
      <w:lvlJc w:val="left"/>
      <w:pPr>
        <w:tabs>
          <w:tab w:val="num" w:pos="720"/>
        </w:tabs>
        <w:ind w:left="720" w:hanging="360"/>
      </w:pPr>
      <w:rPr>
        <w:rFonts w:ascii="Arial" w:hAnsi="Arial" w:cs="Times New Roman" w:hint="default"/>
      </w:rPr>
    </w:lvl>
    <w:lvl w:ilvl="1" w:tplc="9DC29F04">
      <w:start w:val="1"/>
      <w:numFmt w:val="bullet"/>
      <w:lvlText w:val="•"/>
      <w:lvlJc w:val="left"/>
      <w:pPr>
        <w:tabs>
          <w:tab w:val="num" w:pos="1440"/>
        </w:tabs>
        <w:ind w:left="1440" w:hanging="360"/>
      </w:pPr>
      <w:rPr>
        <w:rFonts w:ascii="Arial" w:hAnsi="Arial" w:cs="Times New Roman" w:hint="default"/>
      </w:rPr>
    </w:lvl>
    <w:lvl w:ilvl="2" w:tplc="EE5E50B2">
      <w:start w:val="1"/>
      <w:numFmt w:val="bullet"/>
      <w:lvlText w:val="•"/>
      <w:lvlJc w:val="left"/>
      <w:pPr>
        <w:tabs>
          <w:tab w:val="num" w:pos="2160"/>
        </w:tabs>
        <w:ind w:left="2160" w:hanging="360"/>
      </w:pPr>
      <w:rPr>
        <w:rFonts w:ascii="Arial" w:hAnsi="Arial" w:cs="Times New Roman" w:hint="default"/>
      </w:rPr>
    </w:lvl>
    <w:lvl w:ilvl="3" w:tplc="405C861E">
      <w:start w:val="1"/>
      <w:numFmt w:val="bullet"/>
      <w:lvlText w:val="•"/>
      <w:lvlJc w:val="left"/>
      <w:pPr>
        <w:tabs>
          <w:tab w:val="num" w:pos="2880"/>
        </w:tabs>
        <w:ind w:left="2880" w:hanging="360"/>
      </w:pPr>
      <w:rPr>
        <w:rFonts w:ascii="Arial" w:hAnsi="Arial" w:cs="Times New Roman" w:hint="default"/>
      </w:rPr>
    </w:lvl>
    <w:lvl w:ilvl="4" w:tplc="D1683844">
      <w:start w:val="1"/>
      <w:numFmt w:val="bullet"/>
      <w:lvlText w:val="•"/>
      <w:lvlJc w:val="left"/>
      <w:pPr>
        <w:tabs>
          <w:tab w:val="num" w:pos="3600"/>
        </w:tabs>
        <w:ind w:left="3600" w:hanging="360"/>
      </w:pPr>
      <w:rPr>
        <w:rFonts w:ascii="Arial" w:hAnsi="Arial" w:cs="Times New Roman" w:hint="default"/>
      </w:rPr>
    </w:lvl>
    <w:lvl w:ilvl="5" w:tplc="F6EA0E5C">
      <w:start w:val="1"/>
      <w:numFmt w:val="bullet"/>
      <w:lvlText w:val="•"/>
      <w:lvlJc w:val="left"/>
      <w:pPr>
        <w:tabs>
          <w:tab w:val="num" w:pos="4320"/>
        </w:tabs>
        <w:ind w:left="4320" w:hanging="360"/>
      </w:pPr>
      <w:rPr>
        <w:rFonts w:ascii="Arial" w:hAnsi="Arial" w:cs="Times New Roman" w:hint="default"/>
      </w:rPr>
    </w:lvl>
    <w:lvl w:ilvl="6" w:tplc="4724B3EA">
      <w:start w:val="1"/>
      <w:numFmt w:val="bullet"/>
      <w:lvlText w:val="•"/>
      <w:lvlJc w:val="left"/>
      <w:pPr>
        <w:tabs>
          <w:tab w:val="num" w:pos="5040"/>
        </w:tabs>
        <w:ind w:left="5040" w:hanging="360"/>
      </w:pPr>
      <w:rPr>
        <w:rFonts w:ascii="Arial" w:hAnsi="Arial" w:cs="Times New Roman" w:hint="default"/>
      </w:rPr>
    </w:lvl>
    <w:lvl w:ilvl="7" w:tplc="A008C1E4">
      <w:start w:val="1"/>
      <w:numFmt w:val="bullet"/>
      <w:lvlText w:val="•"/>
      <w:lvlJc w:val="left"/>
      <w:pPr>
        <w:tabs>
          <w:tab w:val="num" w:pos="5760"/>
        </w:tabs>
        <w:ind w:left="5760" w:hanging="360"/>
      </w:pPr>
      <w:rPr>
        <w:rFonts w:ascii="Arial" w:hAnsi="Arial" w:cs="Times New Roman" w:hint="default"/>
      </w:rPr>
    </w:lvl>
    <w:lvl w:ilvl="8" w:tplc="E15E91BA">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70582722"/>
    <w:multiLevelType w:val="hybridMultilevel"/>
    <w:tmpl w:val="017EBA22"/>
    <w:lvl w:ilvl="0" w:tplc="0809000F">
      <w:start w:val="1"/>
      <w:numFmt w:val="decimal"/>
      <w:lvlText w:val="%1."/>
      <w:lvlJc w:val="left"/>
      <w:pPr>
        <w:ind w:left="720" w:hanging="360"/>
      </w:pPr>
      <w:rPr>
        <w:rFonts w:hint="default"/>
        <w:b w:val="0"/>
        <w:color w:val="222222"/>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30D787D"/>
    <w:multiLevelType w:val="hybridMultilevel"/>
    <w:tmpl w:val="5046D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11"/>
  </w:num>
  <w:num w:numId="5">
    <w:abstractNumId w:val="10"/>
  </w:num>
  <w:num w:numId="6">
    <w:abstractNumId w:val="8"/>
  </w:num>
  <w:num w:numId="7">
    <w:abstractNumId w:val="0"/>
  </w:num>
  <w:num w:numId="8">
    <w:abstractNumId w:val="12"/>
  </w:num>
  <w:num w:numId="9">
    <w:abstractNumId w:val="5"/>
  </w:num>
  <w:num w:numId="10">
    <w:abstractNumId w:val="6"/>
  </w:num>
  <w:num w:numId="11">
    <w:abstractNumId w:val="13"/>
  </w:num>
  <w:num w:numId="12">
    <w:abstractNumId w:val="3"/>
  </w:num>
  <w:num w:numId="13">
    <w:abstractNumId w:val="9"/>
  </w:num>
  <w:num w:numId="14">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A53"/>
    <w:rsid w:val="00001CA9"/>
    <w:rsid w:val="00014FB6"/>
    <w:rsid w:val="00016494"/>
    <w:rsid w:val="00032202"/>
    <w:rsid w:val="00033BAA"/>
    <w:rsid w:val="00040E85"/>
    <w:rsid w:val="0004195D"/>
    <w:rsid w:val="00044274"/>
    <w:rsid w:val="00045769"/>
    <w:rsid w:val="000458FB"/>
    <w:rsid w:val="00051964"/>
    <w:rsid w:val="0005254C"/>
    <w:rsid w:val="000602B7"/>
    <w:rsid w:val="000636D9"/>
    <w:rsid w:val="00063B64"/>
    <w:rsid w:val="000663C4"/>
    <w:rsid w:val="00071BE2"/>
    <w:rsid w:val="000802A4"/>
    <w:rsid w:val="00084282"/>
    <w:rsid w:val="0008510E"/>
    <w:rsid w:val="0009484F"/>
    <w:rsid w:val="000A1EC1"/>
    <w:rsid w:val="000A1F58"/>
    <w:rsid w:val="000B1416"/>
    <w:rsid w:val="000B1CB3"/>
    <w:rsid w:val="000B73D2"/>
    <w:rsid w:val="000C2D3F"/>
    <w:rsid w:val="000D64B2"/>
    <w:rsid w:val="000F711C"/>
    <w:rsid w:val="00106AC5"/>
    <w:rsid w:val="00106B16"/>
    <w:rsid w:val="001129DE"/>
    <w:rsid w:val="001153DA"/>
    <w:rsid w:val="00115A39"/>
    <w:rsid w:val="00116049"/>
    <w:rsid w:val="001170B5"/>
    <w:rsid w:val="001211AA"/>
    <w:rsid w:val="00123F2C"/>
    <w:rsid w:val="00124C84"/>
    <w:rsid w:val="001251E0"/>
    <w:rsid w:val="00125204"/>
    <w:rsid w:val="00127026"/>
    <w:rsid w:val="00127129"/>
    <w:rsid w:val="00130D59"/>
    <w:rsid w:val="001324CB"/>
    <w:rsid w:val="0013255D"/>
    <w:rsid w:val="00133D50"/>
    <w:rsid w:val="00133EC7"/>
    <w:rsid w:val="00134068"/>
    <w:rsid w:val="001445DE"/>
    <w:rsid w:val="00150488"/>
    <w:rsid w:val="00156CE7"/>
    <w:rsid w:val="0016131E"/>
    <w:rsid w:val="001617D1"/>
    <w:rsid w:val="0016284A"/>
    <w:rsid w:val="00164E01"/>
    <w:rsid w:val="00166356"/>
    <w:rsid w:val="00172689"/>
    <w:rsid w:val="001735E5"/>
    <w:rsid w:val="00180D54"/>
    <w:rsid w:val="00182C21"/>
    <w:rsid w:val="00194058"/>
    <w:rsid w:val="001973B1"/>
    <w:rsid w:val="001B38BE"/>
    <w:rsid w:val="001B693C"/>
    <w:rsid w:val="001C0F2B"/>
    <w:rsid w:val="001C3ADB"/>
    <w:rsid w:val="001C6CB9"/>
    <w:rsid w:val="001D1EA9"/>
    <w:rsid w:val="001D58CB"/>
    <w:rsid w:val="001E2B3B"/>
    <w:rsid w:val="001E3505"/>
    <w:rsid w:val="001F7363"/>
    <w:rsid w:val="00201717"/>
    <w:rsid w:val="00207BE2"/>
    <w:rsid w:val="00210FBB"/>
    <w:rsid w:val="00211D08"/>
    <w:rsid w:val="00216BFB"/>
    <w:rsid w:val="00217D81"/>
    <w:rsid w:val="0022431A"/>
    <w:rsid w:val="002258D2"/>
    <w:rsid w:val="00234425"/>
    <w:rsid w:val="0023477C"/>
    <w:rsid w:val="00241ED5"/>
    <w:rsid w:val="00241F6F"/>
    <w:rsid w:val="002510E5"/>
    <w:rsid w:val="002557C4"/>
    <w:rsid w:val="002605F5"/>
    <w:rsid w:val="00260887"/>
    <w:rsid w:val="00260ABE"/>
    <w:rsid w:val="00273ED7"/>
    <w:rsid w:val="00273FF3"/>
    <w:rsid w:val="00274741"/>
    <w:rsid w:val="00286D8E"/>
    <w:rsid w:val="00290C1B"/>
    <w:rsid w:val="00296706"/>
    <w:rsid w:val="002A2303"/>
    <w:rsid w:val="002B4AAC"/>
    <w:rsid w:val="002B628F"/>
    <w:rsid w:val="002C0AE0"/>
    <w:rsid w:val="002C2240"/>
    <w:rsid w:val="002C6047"/>
    <w:rsid w:val="002C76BC"/>
    <w:rsid w:val="002D0848"/>
    <w:rsid w:val="002D6DF0"/>
    <w:rsid w:val="00301439"/>
    <w:rsid w:val="00307DBE"/>
    <w:rsid w:val="00314682"/>
    <w:rsid w:val="00317B60"/>
    <w:rsid w:val="00321093"/>
    <w:rsid w:val="003252FB"/>
    <w:rsid w:val="00327E22"/>
    <w:rsid w:val="00327FCD"/>
    <w:rsid w:val="0033096A"/>
    <w:rsid w:val="00332C2D"/>
    <w:rsid w:val="00342AE8"/>
    <w:rsid w:val="00343A39"/>
    <w:rsid w:val="00355F44"/>
    <w:rsid w:val="0036142E"/>
    <w:rsid w:val="00362889"/>
    <w:rsid w:val="00366E3E"/>
    <w:rsid w:val="00374A84"/>
    <w:rsid w:val="0037583B"/>
    <w:rsid w:val="0038051D"/>
    <w:rsid w:val="00384D4E"/>
    <w:rsid w:val="00395CC8"/>
    <w:rsid w:val="003A2547"/>
    <w:rsid w:val="003A2DE7"/>
    <w:rsid w:val="003A3687"/>
    <w:rsid w:val="003A7C60"/>
    <w:rsid w:val="003B0000"/>
    <w:rsid w:val="003B3B80"/>
    <w:rsid w:val="003B3E33"/>
    <w:rsid w:val="003B6153"/>
    <w:rsid w:val="003C0462"/>
    <w:rsid w:val="003C10F3"/>
    <w:rsid w:val="003D105F"/>
    <w:rsid w:val="003D3435"/>
    <w:rsid w:val="003D477E"/>
    <w:rsid w:val="003D7350"/>
    <w:rsid w:val="003E2367"/>
    <w:rsid w:val="00412CA1"/>
    <w:rsid w:val="004209F7"/>
    <w:rsid w:val="00420D03"/>
    <w:rsid w:val="004248B3"/>
    <w:rsid w:val="00424FCC"/>
    <w:rsid w:val="00427218"/>
    <w:rsid w:val="00431D4A"/>
    <w:rsid w:val="00434619"/>
    <w:rsid w:val="0043699E"/>
    <w:rsid w:val="00440D26"/>
    <w:rsid w:val="00443BC0"/>
    <w:rsid w:val="004541D5"/>
    <w:rsid w:val="00464B70"/>
    <w:rsid w:val="0046755C"/>
    <w:rsid w:val="00470E72"/>
    <w:rsid w:val="00471B71"/>
    <w:rsid w:val="00472F80"/>
    <w:rsid w:val="004736E0"/>
    <w:rsid w:val="004762E0"/>
    <w:rsid w:val="004764EC"/>
    <w:rsid w:val="0049232A"/>
    <w:rsid w:val="004A097F"/>
    <w:rsid w:val="004A0AFC"/>
    <w:rsid w:val="004A2999"/>
    <w:rsid w:val="004A57BF"/>
    <w:rsid w:val="004A7E83"/>
    <w:rsid w:val="004C2004"/>
    <w:rsid w:val="004D401E"/>
    <w:rsid w:val="004D751D"/>
    <w:rsid w:val="004E2A29"/>
    <w:rsid w:val="004F6B65"/>
    <w:rsid w:val="00500251"/>
    <w:rsid w:val="005007C9"/>
    <w:rsid w:val="005141F5"/>
    <w:rsid w:val="00514383"/>
    <w:rsid w:val="005162F8"/>
    <w:rsid w:val="00516E7F"/>
    <w:rsid w:val="00521505"/>
    <w:rsid w:val="00521FB2"/>
    <w:rsid w:val="00522D7D"/>
    <w:rsid w:val="00523A95"/>
    <w:rsid w:val="0052460D"/>
    <w:rsid w:val="00527879"/>
    <w:rsid w:val="00535409"/>
    <w:rsid w:val="005357FA"/>
    <w:rsid w:val="00540A74"/>
    <w:rsid w:val="00541CE7"/>
    <w:rsid w:val="0054253A"/>
    <w:rsid w:val="00552CB5"/>
    <w:rsid w:val="005620AC"/>
    <w:rsid w:val="00562D0F"/>
    <w:rsid w:val="0056432B"/>
    <w:rsid w:val="0057012F"/>
    <w:rsid w:val="0058062A"/>
    <w:rsid w:val="00582ABB"/>
    <w:rsid w:val="00585CE3"/>
    <w:rsid w:val="0058797F"/>
    <w:rsid w:val="0059306E"/>
    <w:rsid w:val="005939F2"/>
    <w:rsid w:val="005A2187"/>
    <w:rsid w:val="005A432C"/>
    <w:rsid w:val="005B21F0"/>
    <w:rsid w:val="005C37A8"/>
    <w:rsid w:val="005D090E"/>
    <w:rsid w:val="005D5A33"/>
    <w:rsid w:val="005D68E2"/>
    <w:rsid w:val="005E1F0E"/>
    <w:rsid w:val="005E3A52"/>
    <w:rsid w:val="005E754D"/>
    <w:rsid w:val="005E7853"/>
    <w:rsid w:val="005F0511"/>
    <w:rsid w:val="005F44EA"/>
    <w:rsid w:val="005F7CC8"/>
    <w:rsid w:val="00610B69"/>
    <w:rsid w:val="00612744"/>
    <w:rsid w:val="00626EEC"/>
    <w:rsid w:val="006370DF"/>
    <w:rsid w:val="00651E7D"/>
    <w:rsid w:val="006535B7"/>
    <w:rsid w:val="006607D0"/>
    <w:rsid w:val="00664208"/>
    <w:rsid w:val="00672BE4"/>
    <w:rsid w:val="006749B8"/>
    <w:rsid w:val="00675CD3"/>
    <w:rsid w:val="00676445"/>
    <w:rsid w:val="0068094F"/>
    <w:rsid w:val="00680A9D"/>
    <w:rsid w:val="00682D36"/>
    <w:rsid w:val="00683324"/>
    <w:rsid w:val="00684D0F"/>
    <w:rsid w:val="00696A65"/>
    <w:rsid w:val="006A2D75"/>
    <w:rsid w:val="006A4F8F"/>
    <w:rsid w:val="006A6F14"/>
    <w:rsid w:val="006B4238"/>
    <w:rsid w:val="006B48FF"/>
    <w:rsid w:val="006B692D"/>
    <w:rsid w:val="006C031E"/>
    <w:rsid w:val="006C1D8C"/>
    <w:rsid w:val="006D7C26"/>
    <w:rsid w:val="006E3BDC"/>
    <w:rsid w:val="006E4226"/>
    <w:rsid w:val="006E723A"/>
    <w:rsid w:val="006F0DDF"/>
    <w:rsid w:val="006F0DFE"/>
    <w:rsid w:val="006F19BA"/>
    <w:rsid w:val="006F293D"/>
    <w:rsid w:val="00722872"/>
    <w:rsid w:val="00723706"/>
    <w:rsid w:val="00724953"/>
    <w:rsid w:val="007263C4"/>
    <w:rsid w:val="00735C7D"/>
    <w:rsid w:val="007449C3"/>
    <w:rsid w:val="00747984"/>
    <w:rsid w:val="00750E7C"/>
    <w:rsid w:val="0075114B"/>
    <w:rsid w:val="00751C00"/>
    <w:rsid w:val="00756A89"/>
    <w:rsid w:val="00777479"/>
    <w:rsid w:val="007774A7"/>
    <w:rsid w:val="007839D9"/>
    <w:rsid w:val="0078493B"/>
    <w:rsid w:val="00787A49"/>
    <w:rsid w:val="0079489B"/>
    <w:rsid w:val="00795A4E"/>
    <w:rsid w:val="007A1DF3"/>
    <w:rsid w:val="007A4617"/>
    <w:rsid w:val="007A7C59"/>
    <w:rsid w:val="007B19F3"/>
    <w:rsid w:val="007B38FE"/>
    <w:rsid w:val="007B3A29"/>
    <w:rsid w:val="007B49FC"/>
    <w:rsid w:val="007C32D0"/>
    <w:rsid w:val="007C6232"/>
    <w:rsid w:val="007D11F3"/>
    <w:rsid w:val="007D4161"/>
    <w:rsid w:val="007E1BBD"/>
    <w:rsid w:val="007E25A5"/>
    <w:rsid w:val="007E32BA"/>
    <w:rsid w:val="007F2001"/>
    <w:rsid w:val="007F3640"/>
    <w:rsid w:val="007F7C95"/>
    <w:rsid w:val="008047EE"/>
    <w:rsid w:val="00810EE3"/>
    <w:rsid w:val="00812A2F"/>
    <w:rsid w:val="00814712"/>
    <w:rsid w:val="00823717"/>
    <w:rsid w:val="0082463C"/>
    <w:rsid w:val="0084278D"/>
    <w:rsid w:val="00842928"/>
    <w:rsid w:val="00846488"/>
    <w:rsid w:val="00847247"/>
    <w:rsid w:val="008516A9"/>
    <w:rsid w:val="00856375"/>
    <w:rsid w:val="00857CDC"/>
    <w:rsid w:val="00860E24"/>
    <w:rsid w:val="008628C4"/>
    <w:rsid w:val="00872FB4"/>
    <w:rsid w:val="008749E2"/>
    <w:rsid w:val="008810C8"/>
    <w:rsid w:val="00893F35"/>
    <w:rsid w:val="0089675A"/>
    <w:rsid w:val="0089738B"/>
    <w:rsid w:val="008A0A29"/>
    <w:rsid w:val="008A410B"/>
    <w:rsid w:val="008B75A1"/>
    <w:rsid w:val="008B787F"/>
    <w:rsid w:val="008B7C07"/>
    <w:rsid w:val="008C2DC2"/>
    <w:rsid w:val="008D0E78"/>
    <w:rsid w:val="008D1FF6"/>
    <w:rsid w:val="008E1882"/>
    <w:rsid w:val="008E2D5B"/>
    <w:rsid w:val="008E5191"/>
    <w:rsid w:val="008E70B3"/>
    <w:rsid w:val="008E765C"/>
    <w:rsid w:val="008F4102"/>
    <w:rsid w:val="008F6156"/>
    <w:rsid w:val="00900409"/>
    <w:rsid w:val="00906FF2"/>
    <w:rsid w:val="00910D0C"/>
    <w:rsid w:val="00911D2A"/>
    <w:rsid w:val="0092372F"/>
    <w:rsid w:val="009244B6"/>
    <w:rsid w:val="00931A83"/>
    <w:rsid w:val="00937450"/>
    <w:rsid w:val="00942950"/>
    <w:rsid w:val="00944527"/>
    <w:rsid w:val="0094613D"/>
    <w:rsid w:val="009520F7"/>
    <w:rsid w:val="00952275"/>
    <w:rsid w:val="0095581B"/>
    <w:rsid w:val="00955CC5"/>
    <w:rsid w:val="0095690C"/>
    <w:rsid w:val="00961753"/>
    <w:rsid w:val="00961A4F"/>
    <w:rsid w:val="00961BAC"/>
    <w:rsid w:val="00977A97"/>
    <w:rsid w:val="00977B88"/>
    <w:rsid w:val="009825BD"/>
    <w:rsid w:val="00986046"/>
    <w:rsid w:val="009874C7"/>
    <w:rsid w:val="0099268F"/>
    <w:rsid w:val="009A3C60"/>
    <w:rsid w:val="009A64E2"/>
    <w:rsid w:val="009A72D2"/>
    <w:rsid w:val="009B3635"/>
    <w:rsid w:val="009B69E4"/>
    <w:rsid w:val="009C0892"/>
    <w:rsid w:val="009C1AC0"/>
    <w:rsid w:val="009D3D5F"/>
    <w:rsid w:val="009D6CD9"/>
    <w:rsid w:val="009E13BE"/>
    <w:rsid w:val="009E63A9"/>
    <w:rsid w:val="009F12D1"/>
    <w:rsid w:val="009F1B51"/>
    <w:rsid w:val="009F1C94"/>
    <w:rsid w:val="009F1CDF"/>
    <w:rsid w:val="009F1FA1"/>
    <w:rsid w:val="009F4665"/>
    <w:rsid w:val="009F67DB"/>
    <w:rsid w:val="00A06156"/>
    <w:rsid w:val="00A06F6D"/>
    <w:rsid w:val="00A15BA8"/>
    <w:rsid w:val="00A17578"/>
    <w:rsid w:val="00A21F0A"/>
    <w:rsid w:val="00A26335"/>
    <w:rsid w:val="00A26729"/>
    <w:rsid w:val="00A30A53"/>
    <w:rsid w:val="00A3400E"/>
    <w:rsid w:val="00A344C2"/>
    <w:rsid w:val="00A34F79"/>
    <w:rsid w:val="00A402F4"/>
    <w:rsid w:val="00A44FFE"/>
    <w:rsid w:val="00A45407"/>
    <w:rsid w:val="00A46B66"/>
    <w:rsid w:val="00A47A73"/>
    <w:rsid w:val="00A53273"/>
    <w:rsid w:val="00A536B8"/>
    <w:rsid w:val="00A53CD7"/>
    <w:rsid w:val="00A54527"/>
    <w:rsid w:val="00A630BE"/>
    <w:rsid w:val="00A64032"/>
    <w:rsid w:val="00A67BA8"/>
    <w:rsid w:val="00A71A34"/>
    <w:rsid w:val="00A71BBA"/>
    <w:rsid w:val="00A73192"/>
    <w:rsid w:val="00A7464D"/>
    <w:rsid w:val="00A8631F"/>
    <w:rsid w:val="00A9426A"/>
    <w:rsid w:val="00A94722"/>
    <w:rsid w:val="00A97784"/>
    <w:rsid w:val="00AA090C"/>
    <w:rsid w:val="00AA197C"/>
    <w:rsid w:val="00AA3F9D"/>
    <w:rsid w:val="00AA5FC8"/>
    <w:rsid w:val="00AA60C1"/>
    <w:rsid w:val="00AB5A2A"/>
    <w:rsid w:val="00AB5EB9"/>
    <w:rsid w:val="00AC06FC"/>
    <w:rsid w:val="00AC1BE8"/>
    <w:rsid w:val="00AC5D70"/>
    <w:rsid w:val="00AD4EB9"/>
    <w:rsid w:val="00AE6A17"/>
    <w:rsid w:val="00AE7EE5"/>
    <w:rsid w:val="00AF5560"/>
    <w:rsid w:val="00B10CFD"/>
    <w:rsid w:val="00B10F22"/>
    <w:rsid w:val="00B141BB"/>
    <w:rsid w:val="00B14B58"/>
    <w:rsid w:val="00B168BD"/>
    <w:rsid w:val="00B200A6"/>
    <w:rsid w:val="00B2489E"/>
    <w:rsid w:val="00B2775D"/>
    <w:rsid w:val="00B34C01"/>
    <w:rsid w:val="00B40ACF"/>
    <w:rsid w:val="00B503BB"/>
    <w:rsid w:val="00B51445"/>
    <w:rsid w:val="00B522F1"/>
    <w:rsid w:val="00B53131"/>
    <w:rsid w:val="00B62A04"/>
    <w:rsid w:val="00B7149E"/>
    <w:rsid w:val="00B75473"/>
    <w:rsid w:val="00B77C78"/>
    <w:rsid w:val="00B82B7B"/>
    <w:rsid w:val="00B917F1"/>
    <w:rsid w:val="00BA3639"/>
    <w:rsid w:val="00BA58F9"/>
    <w:rsid w:val="00BB50D2"/>
    <w:rsid w:val="00BB79A8"/>
    <w:rsid w:val="00BC068F"/>
    <w:rsid w:val="00BC19F1"/>
    <w:rsid w:val="00BC2EAF"/>
    <w:rsid w:val="00BC4F39"/>
    <w:rsid w:val="00BD04AD"/>
    <w:rsid w:val="00BD39AA"/>
    <w:rsid w:val="00BD3C4D"/>
    <w:rsid w:val="00BD588B"/>
    <w:rsid w:val="00BE33E1"/>
    <w:rsid w:val="00BE4CD1"/>
    <w:rsid w:val="00BE6043"/>
    <w:rsid w:val="00BF12F7"/>
    <w:rsid w:val="00BF26D3"/>
    <w:rsid w:val="00BF2FF7"/>
    <w:rsid w:val="00BF4239"/>
    <w:rsid w:val="00C021B9"/>
    <w:rsid w:val="00C02CFA"/>
    <w:rsid w:val="00C118C5"/>
    <w:rsid w:val="00C11B2C"/>
    <w:rsid w:val="00C13C0E"/>
    <w:rsid w:val="00C16D07"/>
    <w:rsid w:val="00C21106"/>
    <w:rsid w:val="00C246C7"/>
    <w:rsid w:val="00C37AD6"/>
    <w:rsid w:val="00C4291A"/>
    <w:rsid w:val="00C43B0A"/>
    <w:rsid w:val="00C53096"/>
    <w:rsid w:val="00C61B17"/>
    <w:rsid w:val="00C61C42"/>
    <w:rsid w:val="00C65A2A"/>
    <w:rsid w:val="00C70D8C"/>
    <w:rsid w:val="00C73C08"/>
    <w:rsid w:val="00C742FD"/>
    <w:rsid w:val="00C77D8A"/>
    <w:rsid w:val="00C902AF"/>
    <w:rsid w:val="00C920CD"/>
    <w:rsid w:val="00C92B61"/>
    <w:rsid w:val="00C95C87"/>
    <w:rsid w:val="00C96171"/>
    <w:rsid w:val="00C9743F"/>
    <w:rsid w:val="00CA13E6"/>
    <w:rsid w:val="00CA1625"/>
    <w:rsid w:val="00CA7A4E"/>
    <w:rsid w:val="00CB79D2"/>
    <w:rsid w:val="00CB7F79"/>
    <w:rsid w:val="00CC702A"/>
    <w:rsid w:val="00CD0117"/>
    <w:rsid w:val="00CD133F"/>
    <w:rsid w:val="00CD2125"/>
    <w:rsid w:val="00CD2653"/>
    <w:rsid w:val="00CD2778"/>
    <w:rsid w:val="00CE32C7"/>
    <w:rsid w:val="00CE636C"/>
    <w:rsid w:val="00CF7DCD"/>
    <w:rsid w:val="00D01FEE"/>
    <w:rsid w:val="00D0244F"/>
    <w:rsid w:val="00D030F2"/>
    <w:rsid w:val="00D038F5"/>
    <w:rsid w:val="00D14EB4"/>
    <w:rsid w:val="00D16652"/>
    <w:rsid w:val="00D30270"/>
    <w:rsid w:val="00D31CF8"/>
    <w:rsid w:val="00D32A0E"/>
    <w:rsid w:val="00D342B7"/>
    <w:rsid w:val="00D40C16"/>
    <w:rsid w:val="00D47750"/>
    <w:rsid w:val="00D52792"/>
    <w:rsid w:val="00D54937"/>
    <w:rsid w:val="00D6109C"/>
    <w:rsid w:val="00D6358B"/>
    <w:rsid w:val="00D6550C"/>
    <w:rsid w:val="00D67CD0"/>
    <w:rsid w:val="00D771CF"/>
    <w:rsid w:val="00D95C09"/>
    <w:rsid w:val="00D9624E"/>
    <w:rsid w:val="00D97F0B"/>
    <w:rsid w:val="00DA1351"/>
    <w:rsid w:val="00DB0615"/>
    <w:rsid w:val="00DC279E"/>
    <w:rsid w:val="00DC2946"/>
    <w:rsid w:val="00DC299A"/>
    <w:rsid w:val="00DC43C7"/>
    <w:rsid w:val="00DD793F"/>
    <w:rsid w:val="00DE1BFC"/>
    <w:rsid w:val="00DE35BB"/>
    <w:rsid w:val="00DE4199"/>
    <w:rsid w:val="00DE5A69"/>
    <w:rsid w:val="00DF179C"/>
    <w:rsid w:val="00DF28DF"/>
    <w:rsid w:val="00DF3366"/>
    <w:rsid w:val="00DF5907"/>
    <w:rsid w:val="00DF780F"/>
    <w:rsid w:val="00E002ED"/>
    <w:rsid w:val="00E00932"/>
    <w:rsid w:val="00E0174C"/>
    <w:rsid w:val="00E07967"/>
    <w:rsid w:val="00E1042A"/>
    <w:rsid w:val="00E1200B"/>
    <w:rsid w:val="00E26C92"/>
    <w:rsid w:val="00E30961"/>
    <w:rsid w:val="00E3444D"/>
    <w:rsid w:val="00E41BA8"/>
    <w:rsid w:val="00E421ED"/>
    <w:rsid w:val="00E44845"/>
    <w:rsid w:val="00E4759C"/>
    <w:rsid w:val="00E52D35"/>
    <w:rsid w:val="00E535FB"/>
    <w:rsid w:val="00E56091"/>
    <w:rsid w:val="00E700DF"/>
    <w:rsid w:val="00E72619"/>
    <w:rsid w:val="00E7303D"/>
    <w:rsid w:val="00E74522"/>
    <w:rsid w:val="00E75979"/>
    <w:rsid w:val="00EA63BC"/>
    <w:rsid w:val="00EB2E1D"/>
    <w:rsid w:val="00EB62AB"/>
    <w:rsid w:val="00EC122F"/>
    <w:rsid w:val="00EC4DB8"/>
    <w:rsid w:val="00ED0668"/>
    <w:rsid w:val="00ED1B51"/>
    <w:rsid w:val="00EE1EE3"/>
    <w:rsid w:val="00EE3568"/>
    <w:rsid w:val="00EE6866"/>
    <w:rsid w:val="00EF522F"/>
    <w:rsid w:val="00EF73EE"/>
    <w:rsid w:val="00F010D6"/>
    <w:rsid w:val="00F01820"/>
    <w:rsid w:val="00F12E15"/>
    <w:rsid w:val="00F155A0"/>
    <w:rsid w:val="00F156C9"/>
    <w:rsid w:val="00F202EE"/>
    <w:rsid w:val="00F24829"/>
    <w:rsid w:val="00F34CDC"/>
    <w:rsid w:val="00F37A1C"/>
    <w:rsid w:val="00F37DDA"/>
    <w:rsid w:val="00F422E3"/>
    <w:rsid w:val="00F66EC0"/>
    <w:rsid w:val="00F67270"/>
    <w:rsid w:val="00F705C0"/>
    <w:rsid w:val="00F720CD"/>
    <w:rsid w:val="00F73901"/>
    <w:rsid w:val="00F75F5C"/>
    <w:rsid w:val="00F812B0"/>
    <w:rsid w:val="00F82A3F"/>
    <w:rsid w:val="00F82E39"/>
    <w:rsid w:val="00F93062"/>
    <w:rsid w:val="00F959CB"/>
    <w:rsid w:val="00F97E76"/>
    <w:rsid w:val="00FA0643"/>
    <w:rsid w:val="00FA5E76"/>
    <w:rsid w:val="00FB0898"/>
    <w:rsid w:val="00FB4B2D"/>
    <w:rsid w:val="00FB7712"/>
    <w:rsid w:val="00FC0105"/>
    <w:rsid w:val="00FC087A"/>
    <w:rsid w:val="00FC1979"/>
    <w:rsid w:val="00FC3082"/>
    <w:rsid w:val="00FC3893"/>
    <w:rsid w:val="00FD52AC"/>
    <w:rsid w:val="00FD7B50"/>
    <w:rsid w:val="00FE387D"/>
    <w:rsid w:val="00FE6134"/>
    <w:rsid w:val="00FE7B59"/>
    <w:rsid w:val="00FF1BEF"/>
    <w:rsid w:val="00FF5062"/>
    <w:rsid w:val="00FF6E7A"/>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BF660"/>
  <w15:chartTrackingRefBased/>
  <w15:docId w15:val="{F87BFBD7-2C9D-486B-8042-F2CE2A34C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7BF"/>
    <w:rPr>
      <w:sz w:val="20"/>
      <w:lang w:val="ro-RO"/>
    </w:rPr>
  </w:style>
  <w:style w:type="paragraph" w:styleId="Heading1">
    <w:name w:val="heading 1"/>
    <w:aliases w:val="Címsor 1 Char Char Char Char Char Char,1,PLS 1,PLS 11,PLS 12,PLS 13,H1,11,12,H11,111,13,H12,112,14,H13,113,15,PLS 14,H14,114,16,PLS 15,H15,115,17,PLS 16,H16,116,18,PLS 17,H17,117,19,PLS 18,H18,118,110,119,120,PLS 19,H19,1110,121,PLS 110,H110"/>
    <w:basedOn w:val="Normal"/>
    <w:next w:val="Normal"/>
    <w:link w:val="Heading1Char"/>
    <w:uiPriority w:val="99"/>
    <w:qFormat/>
    <w:rsid w:val="00810EE3"/>
    <w:pPr>
      <w:keepNext/>
      <w:keepLines/>
      <w:spacing w:before="240" w:after="0"/>
      <w:outlineLvl w:val="0"/>
    </w:pPr>
    <w:rPr>
      <w:rFonts w:eastAsiaTheme="majorEastAsia" w:cstheme="majorBidi"/>
      <w:color w:val="2D788C" w:themeColor="accent1" w:themeShade="BF"/>
      <w:sz w:val="32"/>
      <w:szCs w:val="32"/>
    </w:rPr>
  </w:style>
  <w:style w:type="paragraph" w:styleId="Heading2">
    <w:name w:val="heading 2"/>
    <w:aliases w:val="Subcapitol,H2,heading 2,Heading 2 Hidden,HD2,heading2,palacs csunyan beszel,Attribute Heading 2,Alfejezet,PLS 2,PLS 21,PLS 22,PLS 23,num,afsnit,H21,H22,H23,PLS 24,H24,PLS 25,H25,PLS 26,H26,PLS 27,H27,PLS 28,H28,PLS 29,H29,PLS 210,H210,h2,head2"/>
    <w:basedOn w:val="Normal"/>
    <w:next w:val="Normal"/>
    <w:link w:val="Heading2Char"/>
    <w:unhideWhenUsed/>
    <w:qFormat/>
    <w:rsid w:val="006F0DFE"/>
    <w:pPr>
      <w:keepNext/>
      <w:keepLines/>
      <w:spacing w:before="40" w:after="0"/>
      <w:outlineLvl w:val="1"/>
    </w:pPr>
    <w:rPr>
      <w:rFonts w:eastAsiaTheme="majorEastAsia" w:cstheme="majorBidi"/>
      <w:color w:val="2D788C" w:themeColor="accent1" w:themeShade="BF"/>
      <w:sz w:val="26"/>
      <w:szCs w:val="26"/>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unhideWhenUsed/>
    <w:qFormat/>
    <w:rsid w:val="00F93062"/>
    <w:pPr>
      <w:keepNext/>
      <w:keepLines/>
      <w:spacing w:before="40" w:after="0"/>
      <w:outlineLvl w:val="2"/>
    </w:pPr>
    <w:rPr>
      <w:rFonts w:eastAsiaTheme="majorEastAsia" w:cstheme="majorBidi"/>
      <w:color w:val="1E4F5D" w:themeColor="accent1" w:themeShade="7F"/>
      <w:szCs w:val="24"/>
    </w:rPr>
  </w:style>
  <w:style w:type="paragraph" w:styleId="Heading4">
    <w:name w:val="heading 4"/>
    <w:basedOn w:val="Normal"/>
    <w:next w:val="Normal"/>
    <w:link w:val="Heading4Char"/>
    <w:uiPriority w:val="9"/>
    <w:unhideWhenUsed/>
    <w:qFormat/>
    <w:rsid w:val="00234425"/>
    <w:pPr>
      <w:keepNext/>
      <w:keepLines/>
      <w:spacing w:before="40" w:after="0"/>
      <w:outlineLvl w:val="3"/>
    </w:pPr>
    <w:rPr>
      <w:rFonts w:eastAsiaTheme="majorEastAsia" w:cstheme="majorBidi"/>
      <w:i/>
      <w:iCs/>
      <w:color w:val="2D788C" w:themeColor="accent1" w:themeShade="BF"/>
    </w:rPr>
  </w:style>
  <w:style w:type="paragraph" w:styleId="Heading5">
    <w:name w:val="heading 5"/>
    <w:basedOn w:val="Normal"/>
    <w:next w:val="Normal"/>
    <w:link w:val="Heading5Char"/>
    <w:uiPriority w:val="9"/>
    <w:unhideWhenUsed/>
    <w:qFormat/>
    <w:rsid w:val="00234425"/>
    <w:pPr>
      <w:keepNext/>
      <w:keepLines/>
      <w:spacing w:before="40" w:after="0"/>
      <w:outlineLvl w:val="4"/>
    </w:pPr>
    <w:rPr>
      <w:rFonts w:eastAsiaTheme="majorEastAsia" w:cstheme="majorBidi"/>
      <w:color w:val="2D788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ímsor 1 Char Char Char Char Char Char Char,1 Char,PLS 1 Char,PLS 11 Char,PLS 12 Char,PLS 13 Char,H1 Char,11 Char,12 Char,H11 Char,111 Char,13 Char,H12 Char,112 Char,14 Char,H13 Char,113 Char,15 Char,PLS 14 Char,H14 Char,114 Char,16 Char"/>
    <w:basedOn w:val="DefaultParagraphFont"/>
    <w:link w:val="Heading1"/>
    <w:uiPriority w:val="99"/>
    <w:rsid w:val="00810EE3"/>
    <w:rPr>
      <w:rFonts w:eastAsiaTheme="majorEastAsia" w:cstheme="majorBidi"/>
      <w:color w:val="2D788C" w:themeColor="accent1" w:themeShade="BF"/>
      <w:sz w:val="32"/>
      <w:szCs w:val="32"/>
      <w:lang w:val="ro-RO"/>
    </w:rPr>
  </w:style>
  <w:style w:type="paragraph" w:styleId="TOCHeading">
    <w:name w:val="TOC Heading"/>
    <w:basedOn w:val="Heading1"/>
    <w:next w:val="Normal"/>
    <w:uiPriority w:val="39"/>
    <w:unhideWhenUsed/>
    <w:qFormat/>
    <w:rsid w:val="00A30A53"/>
    <w:pPr>
      <w:outlineLvl w:val="9"/>
    </w:pPr>
    <w:rPr>
      <w:lang w:val="en-US"/>
    </w:rPr>
  </w:style>
  <w:style w:type="paragraph" w:styleId="TOC1">
    <w:name w:val="toc 1"/>
    <w:basedOn w:val="Normal"/>
    <w:next w:val="Normal"/>
    <w:autoRedefine/>
    <w:uiPriority w:val="39"/>
    <w:unhideWhenUsed/>
    <w:rsid w:val="00A30A53"/>
    <w:pPr>
      <w:spacing w:after="100"/>
    </w:pPr>
  </w:style>
  <w:style w:type="character" w:styleId="Hyperlink">
    <w:name w:val="Hyperlink"/>
    <w:basedOn w:val="DefaultParagraphFont"/>
    <w:uiPriority w:val="99"/>
    <w:unhideWhenUsed/>
    <w:rsid w:val="00A30A53"/>
    <w:rPr>
      <w:color w:val="00ABC0" w:themeColor="hyperlink"/>
      <w:u w:val="single"/>
    </w:rPr>
  </w:style>
  <w:style w:type="paragraph" w:customStyle="1" w:styleId="Normal1">
    <w:name w:val="Normal1"/>
    <w:rsid w:val="00756A89"/>
    <w:pPr>
      <w:spacing w:after="0" w:line="276" w:lineRule="auto"/>
    </w:pPr>
    <w:rPr>
      <w:rFonts w:ascii="Arial" w:eastAsia="Arial" w:hAnsi="Arial" w:cs="Arial"/>
      <w:lang w:val="ro-RO" w:eastAsia="ro-RO"/>
    </w:rPr>
  </w:style>
  <w:style w:type="character" w:customStyle="1" w:styleId="Heading2Char">
    <w:name w:val="Heading 2 Char"/>
    <w:aliases w:val="Subcapitol Char,H2 Char,heading 2 Char,Heading 2 Hidden Char,HD2 Char,heading2 Char,palacs csunyan beszel Char,Attribute Heading 2 Char,Alfejezet Char,PLS 2 Char,PLS 21 Char,PLS 22 Char,PLS 23 Char,num Char,afsnit Char,H21 Char,H22 Char"/>
    <w:basedOn w:val="DefaultParagraphFont"/>
    <w:link w:val="Heading2"/>
    <w:rsid w:val="006F0DFE"/>
    <w:rPr>
      <w:rFonts w:asciiTheme="majorHAnsi" w:eastAsiaTheme="majorEastAsia" w:hAnsiTheme="majorHAnsi" w:cstheme="majorBidi"/>
      <w:color w:val="2D788C" w:themeColor="accent1" w:themeShade="BF"/>
      <w:sz w:val="26"/>
      <w:szCs w:val="26"/>
      <w:lang w:val="ro-RO"/>
    </w:rPr>
  </w:style>
  <w:style w:type="paragraph" w:styleId="Header">
    <w:name w:val="header"/>
    <w:basedOn w:val="Normal"/>
    <w:link w:val="HeaderChar"/>
    <w:uiPriority w:val="99"/>
    <w:unhideWhenUsed/>
    <w:rsid w:val="006F0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DFE"/>
    <w:rPr>
      <w:lang w:val="ro-RO"/>
    </w:rPr>
  </w:style>
  <w:style w:type="paragraph" w:styleId="Footer">
    <w:name w:val="footer"/>
    <w:basedOn w:val="Normal"/>
    <w:link w:val="FooterChar"/>
    <w:uiPriority w:val="99"/>
    <w:unhideWhenUsed/>
    <w:rsid w:val="006F0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DFE"/>
    <w:rPr>
      <w:lang w:val="ro-RO"/>
    </w:rPr>
  </w:style>
  <w:style w:type="paragraph" w:styleId="TOC2">
    <w:name w:val="toc 2"/>
    <w:basedOn w:val="Normal"/>
    <w:next w:val="Normal"/>
    <w:autoRedefine/>
    <w:uiPriority w:val="39"/>
    <w:unhideWhenUsed/>
    <w:rsid w:val="00A97784"/>
    <w:pPr>
      <w:spacing w:after="100"/>
      <w:ind w:left="220"/>
    </w:pPr>
  </w:style>
  <w:style w:type="paragraph" w:styleId="Bibliography">
    <w:name w:val="Bibliography"/>
    <w:basedOn w:val="Normal"/>
    <w:next w:val="Normal"/>
    <w:uiPriority w:val="37"/>
    <w:unhideWhenUsed/>
    <w:rsid w:val="002C6047"/>
  </w:style>
  <w:style w:type="table" w:styleId="GridTable5Dark-Accent1">
    <w:name w:val="Grid Table 5 Dark Accent 1"/>
    <w:basedOn w:val="TableNormal"/>
    <w:uiPriority w:val="50"/>
    <w:rsid w:val="00F12E1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C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1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CA1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CA1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CA1BC" w:themeFill="accent1"/>
      </w:tcPr>
    </w:tblStylePr>
    <w:tblStylePr w:type="band1Vert">
      <w:tblPr/>
      <w:tcPr>
        <w:shd w:val="clear" w:color="auto" w:fill="AFDAE5" w:themeFill="accent1" w:themeFillTint="66"/>
      </w:tcPr>
    </w:tblStylePr>
    <w:tblStylePr w:type="band1Horz">
      <w:tblPr/>
      <w:tcPr>
        <w:shd w:val="clear" w:color="auto" w:fill="AFDAE5" w:themeFill="accent1" w:themeFillTint="66"/>
      </w:tcPr>
    </w:tblStylePr>
  </w:style>
  <w:style w:type="paragraph" w:styleId="Caption">
    <w:name w:val="caption"/>
    <w:basedOn w:val="Normal"/>
    <w:next w:val="Normal"/>
    <w:uiPriority w:val="35"/>
    <w:unhideWhenUsed/>
    <w:qFormat/>
    <w:rsid w:val="008C2DC2"/>
    <w:pPr>
      <w:spacing w:after="200" w:line="240" w:lineRule="auto"/>
    </w:pPr>
    <w:rPr>
      <w:i/>
      <w:iCs/>
      <w:color w:val="000000" w:themeColor="text2"/>
      <w:sz w:val="18"/>
      <w:szCs w:val="18"/>
    </w:rPr>
  </w:style>
  <w:style w:type="paragraph" w:styleId="TableofFigures">
    <w:name w:val="table of figures"/>
    <w:basedOn w:val="Normal"/>
    <w:next w:val="Normal"/>
    <w:uiPriority w:val="99"/>
    <w:unhideWhenUsed/>
    <w:rsid w:val="008C2DC2"/>
    <w:pPr>
      <w:spacing w:after="0"/>
    </w:pPr>
  </w:style>
  <w:style w:type="paragraph" w:styleId="FootnoteText">
    <w:name w:val="footnote text"/>
    <w:basedOn w:val="Normal"/>
    <w:link w:val="FootnoteTextChar"/>
    <w:uiPriority w:val="99"/>
    <w:unhideWhenUsed/>
    <w:rsid w:val="00F93062"/>
    <w:pPr>
      <w:spacing w:after="0" w:line="240" w:lineRule="auto"/>
    </w:pPr>
    <w:rPr>
      <w:szCs w:val="20"/>
      <w:lang w:val="en-GB"/>
    </w:rPr>
  </w:style>
  <w:style w:type="character" w:customStyle="1" w:styleId="FootnoteTextChar">
    <w:name w:val="Footnote Text Char"/>
    <w:basedOn w:val="DefaultParagraphFont"/>
    <w:link w:val="FootnoteText"/>
    <w:uiPriority w:val="99"/>
    <w:rsid w:val="00F93062"/>
    <w:rPr>
      <w:sz w:val="20"/>
      <w:szCs w:val="20"/>
    </w:rPr>
  </w:style>
  <w:style w:type="character" w:styleId="FootnoteReference">
    <w:name w:val="footnote reference"/>
    <w:basedOn w:val="DefaultParagraphFont"/>
    <w:uiPriority w:val="99"/>
    <w:semiHidden/>
    <w:unhideWhenUsed/>
    <w:rsid w:val="00F93062"/>
    <w:rPr>
      <w:vertAlign w:val="superscript"/>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93062"/>
    <w:rPr>
      <w:rFonts w:asciiTheme="majorHAnsi" w:eastAsiaTheme="majorEastAsia" w:hAnsiTheme="majorHAnsi" w:cstheme="majorBidi"/>
      <w:color w:val="1E4F5D" w:themeColor="accent1" w:themeShade="7F"/>
      <w:sz w:val="24"/>
      <w:szCs w:val="24"/>
      <w:lang w:val="ro-RO"/>
    </w:rPr>
  </w:style>
  <w:style w:type="paragraph" w:styleId="TOC3">
    <w:name w:val="toc 3"/>
    <w:basedOn w:val="Normal"/>
    <w:next w:val="Normal"/>
    <w:autoRedefine/>
    <w:uiPriority w:val="39"/>
    <w:unhideWhenUsed/>
    <w:rsid w:val="004A0AFC"/>
    <w:pPr>
      <w:spacing w:after="100"/>
      <w:ind w:left="440"/>
    </w:pPr>
  </w:style>
  <w:style w:type="paragraph" w:styleId="BalloonText">
    <w:name w:val="Balloon Text"/>
    <w:basedOn w:val="Normal"/>
    <w:link w:val="BalloonTextChar"/>
    <w:uiPriority w:val="99"/>
    <w:semiHidden/>
    <w:unhideWhenUsed/>
    <w:rsid w:val="00672B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BE4"/>
    <w:rPr>
      <w:rFonts w:ascii="Segoe UI" w:hAnsi="Segoe UI" w:cs="Segoe UI"/>
      <w:sz w:val="18"/>
      <w:szCs w:val="18"/>
      <w:lang w:val="ro-RO"/>
    </w:rPr>
  </w:style>
  <w:style w:type="paragraph" w:styleId="ListParagraph">
    <w:name w:val="List Paragraph"/>
    <w:aliases w:val="ERP-List Paragraph,List Paragraph11,Bullet EY,List Paragraph1,Normal bullet 2,Bullet 1,Table of contents numbered,A_wyliczenie,K-P_odwolanie,Akapit z listą5,maz_wyliczenie,opis dzialania,Akapit z listą BS,Outlines a.b.c.,List_Paragraph,bu"/>
    <w:basedOn w:val="Normal"/>
    <w:link w:val="ListParagraphChar"/>
    <w:uiPriority w:val="34"/>
    <w:qFormat/>
    <w:rsid w:val="00273ED7"/>
    <w:pPr>
      <w:ind w:left="720"/>
      <w:contextualSpacing/>
    </w:pPr>
    <w:rPr>
      <w:lang w:val="en-GB"/>
    </w:rPr>
  </w:style>
  <w:style w:type="character" w:customStyle="1" w:styleId="Heading4Char">
    <w:name w:val="Heading 4 Char"/>
    <w:basedOn w:val="DefaultParagraphFont"/>
    <w:link w:val="Heading4"/>
    <w:uiPriority w:val="9"/>
    <w:rsid w:val="00234425"/>
    <w:rPr>
      <w:rFonts w:asciiTheme="majorHAnsi" w:eastAsiaTheme="majorEastAsia" w:hAnsiTheme="majorHAnsi" w:cstheme="majorBidi"/>
      <w:i/>
      <w:iCs/>
      <w:color w:val="2D788C" w:themeColor="accent1" w:themeShade="BF"/>
      <w:sz w:val="24"/>
      <w:lang w:val="ro-RO"/>
    </w:rPr>
  </w:style>
  <w:style w:type="table" w:styleId="ListTable4-Accent3">
    <w:name w:val="List Table 4 Accent 3"/>
    <w:basedOn w:val="TableNormal"/>
    <w:uiPriority w:val="49"/>
    <w:rsid w:val="0056432B"/>
    <w:pPr>
      <w:spacing w:after="0" w:line="240" w:lineRule="auto"/>
    </w:pPr>
    <w:tblPr>
      <w:tblStyleRowBandSize w:val="1"/>
      <w:tblStyleColBandSize w:val="1"/>
      <w:tblBorders>
        <w:top w:val="single" w:sz="4" w:space="0" w:color="B65E5A" w:themeColor="accent3" w:themeTint="99"/>
        <w:left w:val="single" w:sz="4" w:space="0" w:color="B65E5A" w:themeColor="accent3" w:themeTint="99"/>
        <w:bottom w:val="single" w:sz="4" w:space="0" w:color="B65E5A" w:themeColor="accent3" w:themeTint="99"/>
        <w:right w:val="single" w:sz="4" w:space="0" w:color="B65E5A" w:themeColor="accent3" w:themeTint="99"/>
        <w:insideH w:val="single" w:sz="4" w:space="0" w:color="B65E5A" w:themeColor="accent3" w:themeTint="99"/>
      </w:tblBorders>
    </w:tblPr>
    <w:tblStylePr w:type="firstRow">
      <w:rPr>
        <w:b/>
        <w:bCs/>
        <w:color w:val="FFFFFF" w:themeColor="background1"/>
      </w:rPr>
      <w:tblPr/>
      <w:tcPr>
        <w:tcBorders>
          <w:top w:val="single" w:sz="4" w:space="0" w:color="502523" w:themeColor="accent3"/>
          <w:left w:val="single" w:sz="4" w:space="0" w:color="502523" w:themeColor="accent3"/>
          <w:bottom w:val="single" w:sz="4" w:space="0" w:color="502523" w:themeColor="accent3"/>
          <w:right w:val="single" w:sz="4" w:space="0" w:color="502523" w:themeColor="accent3"/>
          <w:insideH w:val="nil"/>
        </w:tcBorders>
        <w:shd w:val="clear" w:color="auto" w:fill="502523" w:themeFill="accent3"/>
      </w:tcPr>
    </w:tblStylePr>
    <w:tblStylePr w:type="lastRow">
      <w:rPr>
        <w:b/>
        <w:bCs/>
      </w:rPr>
      <w:tblPr/>
      <w:tcPr>
        <w:tcBorders>
          <w:top w:val="double" w:sz="4" w:space="0" w:color="B65E5A" w:themeColor="accent3" w:themeTint="99"/>
        </w:tcBorders>
      </w:tcPr>
    </w:tblStylePr>
    <w:tblStylePr w:type="firstCol">
      <w:rPr>
        <w:b/>
        <w:bCs/>
      </w:rPr>
    </w:tblStylePr>
    <w:tblStylePr w:type="lastCol">
      <w:rPr>
        <w:b/>
        <w:bCs/>
      </w:rPr>
    </w:tblStylePr>
    <w:tblStylePr w:type="band1Vert">
      <w:tblPr/>
      <w:tcPr>
        <w:shd w:val="clear" w:color="auto" w:fill="E7C9C8" w:themeFill="accent3" w:themeFillTint="33"/>
      </w:tcPr>
    </w:tblStylePr>
    <w:tblStylePr w:type="band1Horz">
      <w:tblPr/>
      <w:tcPr>
        <w:shd w:val="clear" w:color="auto" w:fill="E7C9C8" w:themeFill="accent3" w:themeFillTint="33"/>
      </w:tcPr>
    </w:tblStylePr>
  </w:style>
  <w:style w:type="table" w:styleId="ListTable2">
    <w:name w:val="List Table 2"/>
    <w:basedOn w:val="TableNormal"/>
    <w:uiPriority w:val="47"/>
    <w:rsid w:val="0056432B"/>
    <w:pPr>
      <w:spacing w:after="0" w:line="240" w:lineRule="auto"/>
    </w:pPr>
    <w:tblPr>
      <w:tblStyleRowBandSize w:val="1"/>
      <w:tblStyleColBandSize w:val="1"/>
      <w:tblBorders>
        <w:top w:val="single" w:sz="4" w:space="0" w:color="37B4D1" w:themeColor="text1" w:themeTint="99"/>
        <w:bottom w:val="single" w:sz="4" w:space="0" w:color="37B4D1" w:themeColor="text1" w:themeTint="99"/>
        <w:insideH w:val="single" w:sz="4" w:space="0" w:color="37B4D1"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styleId="GridTable5Dark-Accent5">
    <w:name w:val="Grid Table 5 Dark Accent 5"/>
    <w:basedOn w:val="TableNormal"/>
    <w:uiPriority w:val="50"/>
    <w:rsid w:val="005643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5D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CD3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CD3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CD3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CD3A" w:themeFill="accent5"/>
      </w:tcPr>
    </w:tblStylePr>
    <w:tblStylePr w:type="band1Vert">
      <w:tblPr/>
      <w:tcPr>
        <w:shd w:val="clear" w:color="auto" w:fill="DDEBB0" w:themeFill="accent5" w:themeFillTint="66"/>
      </w:tcPr>
    </w:tblStylePr>
    <w:tblStylePr w:type="band1Horz">
      <w:tblPr/>
      <w:tcPr>
        <w:shd w:val="clear" w:color="auto" w:fill="DDEBB0" w:themeFill="accent5" w:themeFillTint="66"/>
      </w:tcPr>
    </w:tblStylePr>
  </w:style>
  <w:style w:type="character" w:customStyle="1" w:styleId="Heading5Char">
    <w:name w:val="Heading 5 Char"/>
    <w:basedOn w:val="DefaultParagraphFont"/>
    <w:link w:val="Heading5"/>
    <w:uiPriority w:val="9"/>
    <w:rsid w:val="00234425"/>
    <w:rPr>
      <w:rFonts w:asciiTheme="majorHAnsi" w:eastAsiaTheme="majorEastAsia" w:hAnsiTheme="majorHAnsi" w:cstheme="majorBidi"/>
      <w:color w:val="2D788C" w:themeColor="accent1" w:themeShade="BF"/>
      <w:lang w:val="ro-RO"/>
    </w:rPr>
  </w:style>
  <w:style w:type="table" w:styleId="GridTable6Colorful-Accent5">
    <w:name w:val="Grid Table 6 Colorful Accent 5"/>
    <w:basedOn w:val="TableNormal"/>
    <w:uiPriority w:val="51"/>
    <w:rsid w:val="006E4226"/>
    <w:pPr>
      <w:spacing w:after="0" w:line="240" w:lineRule="auto"/>
    </w:pPr>
    <w:rPr>
      <w:color w:val="819C28" w:themeColor="accent5" w:themeShade="BF"/>
    </w:rPr>
    <w:tblPr>
      <w:tblStyleRowBandSize w:val="1"/>
      <w:tblStyleColBandSize w:val="1"/>
      <w:tblBorders>
        <w:top w:val="single" w:sz="4" w:space="0" w:color="CCE188" w:themeColor="accent5" w:themeTint="99"/>
        <w:left w:val="single" w:sz="4" w:space="0" w:color="CCE188" w:themeColor="accent5" w:themeTint="99"/>
        <w:bottom w:val="single" w:sz="4" w:space="0" w:color="CCE188" w:themeColor="accent5" w:themeTint="99"/>
        <w:right w:val="single" w:sz="4" w:space="0" w:color="CCE188" w:themeColor="accent5" w:themeTint="99"/>
        <w:insideH w:val="single" w:sz="4" w:space="0" w:color="CCE188" w:themeColor="accent5" w:themeTint="99"/>
        <w:insideV w:val="single" w:sz="4" w:space="0" w:color="CCE188" w:themeColor="accent5" w:themeTint="99"/>
      </w:tblBorders>
    </w:tblPr>
    <w:tblStylePr w:type="firstRow">
      <w:rPr>
        <w:b/>
        <w:bCs/>
      </w:rPr>
      <w:tblPr/>
      <w:tcPr>
        <w:tcBorders>
          <w:bottom w:val="single" w:sz="12" w:space="0" w:color="CCE188" w:themeColor="accent5" w:themeTint="99"/>
        </w:tcBorders>
      </w:tcPr>
    </w:tblStylePr>
    <w:tblStylePr w:type="lastRow">
      <w:rPr>
        <w:b/>
        <w:bCs/>
      </w:rPr>
      <w:tblPr/>
      <w:tcPr>
        <w:tcBorders>
          <w:top w:val="double" w:sz="4" w:space="0" w:color="CCE188" w:themeColor="accent5" w:themeTint="99"/>
        </w:tcBorders>
      </w:tc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styleId="GridTable5Dark-Accent6">
    <w:name w:val="Grid Table 5 Dark Accent 6"/>
    <w:basedOn w:val="TableNormal"/>
    <w:uiPriority w:val="50"/>
    <w:rsid w:val="004248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CC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813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813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813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8133" w:themeFill="accent6"/>
      </w:tcPr>
    </w:tblStylePr>
    <w:tblStylePr w:type="band1Vert">
      <w:tblPr/>
      <w:tcPr>
        <w:shd w:val="clear" w:color="auto" w:fill="BBD9A0" w:themeFill="accent6" w:themeFillTint="66"/>
      </w:tcPr>
    </w:tblStylePr>
    <w:tblStylePr w:type="band1Horz">
      <w:tblPr/>
      <w:tcPr>
        <w:shd w:val="clear" w:color="auto" w:fill="BBD9A0" w:themeFill="accent6" w:themeFillTint="66"/>
      </w:tcPr>
    </w:tblStylePr>
  </w:style>
  <w:style w:type="table" w:styleId="ListTable2-Accent5">
    <w:name w:val="List Table 2 Accent 5"/>
    <w:basedOn w:val="TableNormal"/>
    <w:uiPriority w:val="47"/>
    <w:rsid w:val="008E70B3"/>
    <w:pPr>
      <w:spacing w:after="0" w:line="240" w:lineRule="auto"/>
    </w:pPr>
    <w:tblPr>
      <w:tblStyleRowBandSize w:val="1"/>
      <w:tblStyleColBandSize w:val="1"/>
      <w:tblBorders>
        <w:top w:val="single" w:sz="4" w:space="0" w:color="CCE188" w:themeColor="accent5" w:themeTint="99"/>
        <w:bottom w:val="single" w:sz="4" w:space="0" w:color="CCE188" w:themeColor="accent5" w:themeTint="99"/>
        <w:insideH w:val="single" w:sz="4" w:space="0" w:color="CCE188"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EF5D7" w:themeFill="accent5" w:themeFillTint="33"/>
      </w:tcPr>
    </w:tblStylePr>
    <w:tblStylePr w:type="band1Horz">
      <w:tblPr/>
      <w:tcPr>
        <w:shd w:val="clear" w:color="auto" w:fill="EEF5D7" w:themeFill="accent5" w:themeFillTint="33"/>
      </w:tcPr>
    </w:tblStylePr>
  </w:style>
  <w:style w:type="table" w:styleId="ListTable7Colorful-Accent5">
    <w:name w:val="List Table 7 Colorful Accent 5"/>
    <w:basedOn w:val="TableNormal"/>
    <w:uiPriority w:val="52"/>
    <w:rsid w:val="008E70B3"/>
    <w:pPr>
      <w:spacing w:after="0" w:line="240" w:lineRule="auto"/>
    </w:pPr>
    <w:rPr>
      <w:color w:val="819C2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CD3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CD3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CD3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CD3A" w:themeColor="accent5"/>
        </w:tcBorders>
        <w:shd w:val="clear" w:color="auto" w:fill="FFFFFF" w:themeFill="background1"/>
      </w:tcPr>
    </w:tblStylePr>
    <w:tblStylePr w:type="band1Vert">
      <w:tblPr/>
      <w:tcPr>
        <w:shd w:val="clear" w:color="auto" w:fill="EEF5D7" w:themeFill="accent5" w:themeFillTint="33"/>
      </w:tcPr>
    </w:tblStylePr>
    <w:tblStylePr w:type="band1Horz">
      <w:tblPr/>
      <w:tcPr>
        <w:shd w:val="clear" w:color="auto" w:fill="EEF5D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UnresolvedMention">
    <w:name w:val="Unresolved Mention"/>
    <w:basedOn w:val="DefaultParagraphFont"/>
    <w:uiPriority w:val="99"/>
    <w:semiHidden/>
    <w:unhideWhenUsed/>
    <w:rsid w:val="006F19BA"/>
    <w:rPr>
      <w:color w:val="605E5C"/>
      <w:shd w:val="clear" w:color="auto" w:fill="E1DFDD"/>
    </w:rPr>
  </w:style>
  <w:style w:type="character" w:styleId="Strong">
    <w:name w:val="Strong"/>
    <w:qFormat/>
    <w:rsid w:val="000636D9"/>
    <w:rPr>
      <w:rFonts w:cs="Times New Roman"/>
      <w:b/>
    </w:rPr>
  </w:style>
  <w:style w:type="table" w:styleId="GridTable5Dark">
    <w:name w:val="Grid Table 5 Dark"/>
    <w:basedOn w:val="TableNormal"/>
    <w:uiPriority w:val="50"/>
    <w:rsid w:val="001E2B3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E6EF"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4753"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4753"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4753"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4753" w:themeFill="text1"/>
      </w:tcPr>
    </w:tblStylePr>
    <w:tblStylePr w:type="band1Vert">
      <w:tblPr/>
      <w:tcPr>
        <w:shd w:val="clear" w:color="auto" w:fill="7ACDE0" w:themeFill="text1" w:themeFillTint="66"/>
      </w:tcPr>
    </w:tblStylePr>
    <w:tblStylePr w:type="band1Horz">
      <w:tblPr/>
      <w:tcPr>
        <w:shd w:val="clear" w:color="auto" w:fill="7ACDE0" w:themeFill="text1" w:themeFillTint="66"/>
      </w:tcPr>
    </w:tblStylePr>
  </w:style>
  <w:style w:type="table" w:styleId="ListTable4">
    <w:name w:val="List Table 4"/>
    <w:basedOn w:val="TableNormal"/>
    <w:uiPriority w:val="49"/>
    <w:rsid w:val="001E2B3B"/>
    <w:pPr>
      <w:spacing w:after="0" w:line="240" w:lineRule="auto"/>
    </w:p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tcBorders>
        <w:shd w:val="clear" w:color="auto" w:fill="134753" w:themeFill="text1"/>
      </w:tcPr>
    </w:tblStylePr>
    <w:tblStylePr w:type="lastRow">
      <w:rPr>
        <w:b/>
        <w:bCs/>
      </w:rPr>
      <w:tblPr/>
      <w:tcPr>
        <w:tcBorders>
          <w:top w:val="double" w:sz="4" w:space="0" w:color="37B4D1" w:themeColor="text1" w:themeTint="99"/>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styleId="GridTable7Colorful">
    <w:name w:val="Grid Table 7 Colorful"/>
    <w:basedOn w:val="TableNormal"/>
    <w:uiPriority w:val="52"/>
    <w:rsid w:val="001E2B3B"/>
    <w:pPr>
      <w:spacing w:after="0" w:line="240" w:lineRule="auto"/>
    </w:pPr>
    <w:rPr>
      <w:color w:val="134753" w:themeColor="text1"/>
    </w:r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CE6EF" w:themeFill="text1" w:themeFillTint="33"/>
      </w:tcPr>
    </w:tblStylePr>
    <w:tblStylePr w:type="band1Horz">
      <w:tblPr/>
      <w:tcPr>
        <w:shd w:val="clear" w:color="auto" w:fill="BCE6EF" w:themeFill="text1" w:themeFillTint="33"/>
      </w:tcPr>
    </w:tblStylePr>
    <w:tblStylePr w:type="neCell">
      <w:tblPr/>
      <w:tcPr>
        <w:tcBorders>
          <w:bottom w:val="single" w:sz="4" w:space="0" w:color="37B4D1" w:themeColor="text1" w:themeTint="99"/>
        </w:tcBorders>
      </w:tcPr>
    </w:tblStylePr>
    <w:tblStylePr w:type="nwCell">
      <w:tblPr/>
      <w:tcPr>
        <w:tcBorders>
          <w:bottom w:val="single" w:sz="4" w:space="0" w:color="37B4D1" w:themeColor="text1" w:themeTint="99"/>
        </w:tcBorders>
      </w:tcPr>
    </w:tblStylePr>
    <w:tblStylePr w:type="seCell">
      <w:tblPr/>
      <w:tcPr>
        <w:tcBorders>
          <w:top w:val="single" w:sz="4" w:space="0" w:color="37B4D1" w:themeColor="text1" w:themeTint="99"/>
        </w:tcBorders>
      </w:tcPr>
    </w:tblStylePr>
    <w:tblStylePr w:type="swCell">
      <w:tblPr/>
      <w:tcPr>
        <w:tcBorders>
          <w:top w:val="single" w:sz="4" w:space="0" w:color="37B4D1" w:themeColor="text1" w:themeTint="99"/>
        </w:tcBorders>
      </w:tcPr>
    </w:tblStylePr>
  </w:style>
  <w:style w:type="table" w:styleId="GridTable7Colorful-Accent1">
    <w:name w:val="Grid Table 7 Colorful Accent 1"/>
    <w:basedOn w:val="TableNormal"/>
    <w:uiPriority w:val="52"/>
    <w:rsid w:val="001E2B3B"/>
    <w:pPr>
      <w:spacing w:after="0" w:line="240" w:lineRule="auto"/>
    </w:pPr>
    <w:rPr>
      <w:color w:val="2D788C" w:themeColor="accent1" w:themeShade="BF"/>
    </w:rPr>
    <w:tblPr>
      <w:tblStyleRowBandSize w:val="1"/>
      <w:tblStyleColBandSize w:val="1"/>
      <w:tblBorders>
        <w:top w:val="single" w:sz="4" w:space="0" w:color="87C7D9" w:themeColor="accent1" w:themeTint="99"/>
        <w:left w:val="single" w:sz="4" w:space="0" w:color="87C7D9" w:themeColor="accent1" w:themeTint="99"/>
        <w:bottom w:val="single" w:sz="4" w:space="0" w:color="87C7D9" w:themeColor="accent1" w:themeTint="99"/>
        <w:right w:val="single" w:sz="4" w:space="0" w:color="87C7D9" w:themeColor="accent1" w:themeTint="99"/>
        <w:insideH w:val="single" w:sz="4" w:space="0" w:color="87C7D9" w:themeColor="accent1" w:themeTint="99"/>
        <w:insideV w:val="single" w:sz="4" w:space="0" w:color="87C7D9"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CF2" w:themeFill="accent1" w:themeFillTint="33"/>
      </w:tcPr>
    </w:tblStylePr>
    <w:tblStylePr w:type="band1Horz">
      <w:tblPr/>
      <w:tcPr>
        <w:shd w:val="clear" w:color="auto" w:fill="D7ECF2" w:themeFill="accent1" w:themeFillTint="33"/>
      </w:tcPr>
    </w:tblStylePr>
    <w:tblStylePr w:type="neCell">
      <w:tblPr/>
      <w:tcPr>
        <w:tcBorders>
          <w:bottom w:val="single" w:sz="4" w:space="0" w:color="87C7D9" w:themeColor="accent1" w:themeTint="99"/>
        </w:tcBorders>
      </w:tcPr>
    </w:tblStylePr>
    <w:tblStylePr w:type="nwCell">
      <w:tblPr/>
      <w:tcPr>
        <w:tcBorders>
          <w:bottom w:val="single" w:sz="4" w:space="0" w:color="87C7D9" w:themeColor="accent1" w:themeTint="99"/>
        </w:tcBorders>
      </w:tcPr>
    </w:tblStylePr>
    <w:tblStylePr w:type="seCell">
      <w:tblPr/>
      <w:tcPr>
        <w:tcBorders>
          <w:top w:val="single" w:sz="4" w:space="0" w:color="87C7D9" w:themeColor="accent1" w:themeTint="99"/>
        </w:tcBorders>
      </w:tcPr>
    </w:tblStylePr>
    <w:tblStylePr w:type="swCell">
      <w:tblPr/>
      <w:tcPr>
        <w:tcBorders>
          <w:top w:val="single" w:sz="4" w:space="0" w:color="87C7D9" w:themeColor="accent1" w:themeTint="99"/>
        </w:tcBorders>
      </w:tcPr>
    </w:tblStylePr>
  </w:style>
  <w:style w:type="table" w:styleId="GridTable7Colorful-Accent6">
    <w:name w:val="Grid Table 7 Colorful Accent 6"/>
    <w:basedOn w:val="TableNormal"/>
    <w:uiPriority w:val="52"/>
    <w:rsid w:val="001E2B3B"/>
    <w:pPr>
      <w:spacing w:after="0" w:line="240" w:lineRule="auto"/>
    </w:pPr>
    <w:rPr>
      <w:color w:val="416026" w:themeColor="accent6" w:themeShade="BF"/>
    </w:rPr>
    <w:tblPr>
      <w:tblStyleRowBandSize w:val="1"/>
      <w:tblStyleColBandSize w:val="1"/>
      <w:tblBorders>
        <w:top w:val="single" w:sz="4" w:space="0" w:color="99C771" w:themeColor="accent6" w:themeTint="99"/>
        <w:left w:val="single" w:sz="4" w:space="0" w:color="99C771" w:themeColor="accent6" w:themeTint="99"/>
        <w:bottom w:val="single" w:sz="4" w:space="0" w:color="99C771" w:themeColor="accent6" w:themeTint="99"/>
        <w:right w:val="single" w:sz="4" w:space="0" w:color="99C771" w:themeColor="accent6" w:themeTint="99"/>
        <w:insideH w:val="single" w:sz="4" w:space="0" w:color="99C771" w:themeColor="accent6" w:themeTint="99"/>
        <w:insideV w:val="single" w:sz="4" w:space="0" w:color="99C77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CCF" w:themeFill="accent6" w:themeFillTint="33"/>
      </w:tcPr>
    </w:tblStylePr>
    <w:tblStylePr w:type="band1Horz">
      <w:tblPr/>
      <w:tcPr>
        <w:shd w:val="clear" w:color="auto" w:fill="DDECCF" w:themeFill="accent6" w:themeFillTint="33"/>
      </w:tcPr>
    </w:tblStylePr>
    <w:tblStylePr w:type="neCell">
      <w:tblPr/>
      <w:tcPr>
        <w:tcBorders>
          <w:bottom w:val="single" w:sz="4" w:space="0" w:color="99C771" w:themeColor="accent6" w:themeTint="99"/>
        </w:tcBorders>
      </w:tcPr>
    </w:tblStylePr>
    <w:tblStylePr w:type="nwCell">
      <w:tblPr/>
      <w:tcPr>
        <w:tcBorders>
          <w:bottom w:val="single" w:sz="4" w:space="0" w:color="99C771" w:themeColor="accent6" w:themeTint="99"/>
        </w:tcBorders>
      </w:tcPr>
    </w:tblStylePr>
    <w:tblStylePr w:type="seCell">
      <w:tblPr/>
      <w:tcPr>
        <w:tcBorders>
          <w:top w:val="single" w:sz="4" w:space="0" w:color="99C771" w:themeColor="accent6" w:themeTint="99"/>
        </w:tcBorders>
      </w:tcPr>
    </w:tblStylePr>
    <w:tblStylePr w:type="swCell">
      <w:tblPr/>
      <w:tcPr>
        <w:tcBorders>
          <w:top w:val="single" w:sz="4" w:space="0" w:color="99C771" w:themeColor="accent6" w:themeTint="99"/>
        </w:tcBorders>
      </w:tcPr>
    </w:tblStylePr>
  </w:style>
  <w:style w:type="table" w:styleId="GridTable4">
    <w:name w:val="Grid Table 4"/>
    <w:basedOn w:val="TableNormal"/>
    <w:uiPriority w:val="49"/>
    <w:rsid w:val="001E2B3B"/>
    <w:pPr>
      <w:spacing w:after="0" w:line="240" w:lineRule="auto"/>
    </w:pPr>
    <w:tblPr>
      <w:tblStyleRowBandSize w:val="1"/>
      <w:tblStyleColBandSize w:val="1"/>
      <w:tblBorders>
        <w:top w:val="single" w:sz="4" w:space="0" w:color="37B4D1" w:themeColor="text1" w:themeTint="99"/>
        <w:left w:val="single" w:sz="4" w:space="0" w:color="37B4D1" w:themeColor="text1" w:themeTint="99"/>
        <w:bottom w:val="single" w:sz="4" w:space="0" w:color="37B4D1" w:themeColor="text1" w:themeTint="99"/>
        <w:right w:val="single" w:sz="4" w:space="0" w:color="37B4D1" w:themeColor="text1" w:themeTint="99"/>
        <w:insideH w:val="single" w:sz="4" w:space="0" w:color="37B4D1" w:themeColor="text1" w:themeTint="99"/>
        <w:insideV w:val="single" w:sz="4" w:space="0" w:color="37B4D1" w:themeColor="text1" w:themeTint="99"/>
      </w:tblBorders>
    </w:tblPr>
    <w:tblStylePr w:type="firstRow">
      <w:rPr>
        <w:b/>
        <w:bCs/>
        <w:color w:val="FFFFFF" w:themeColor="background1"/>
      </w:rPr>
      <w:tblPr/>
      <w:tcPr>
        <w:tcBorders>
          <w:top w:val="single" w:sz="4" w:space="0" w:color="134753" w:themeColor="text1"/>
          <w:left w:val="single" w:sz="4" w:space="0" w:color="134753" w:themeColor="text1"/>
          <w:bottom w:val="single" w:sz="4" w:space="0" w:color="134753" w:themeColor="text1"/>
          <w:right w:val="single" w:sz="4" w:space="0" w:color="134753" w:themeColor="text1"/>
          <w:insideH w:val="nil"/>
          <w:insideV w:val="nil"/>
        </w:tcBorders>
        <w:shd w:val="clear" w:color="auto" w:fill="134753" w:themeFill="text1"/>
      </w:tcPr>
    </w:tblStylePr>
    <w:tblStylePr w:type="lastRow">
      <w:rPr>
        <w:b/>
        <w:bCs/>
      </w:rPr>
      <w:tblPr/>
      <w:tcPr>
        <w:tcBorders>
          <w:top w:val="double" w:sz="4" w:space="0" w:color="134753" w:themeColor="text1"/>
        </w:tcBorders>
      </w:tcPr>
    </w:tblStylePr>
    <w:tblStylePr w:type="firstCol">
      <w:rPr>
        <w:b/>
        <w:bCs/>
      </w:rPr>
    </w:tblStylePr>
    <w:tblStylePr w:type="lastCol">
      <w:rPr>
        <w:b/>
        <w:bCs/>
      </w:rPr>
    </w:tblStylePr>
    <w:tblStylePr w:type="band1Vert">
      <w:tblPr/>
      <w:tcPr>
        <w:shd w:val="clear" w:color="auto" w:fill="BCE6EF" w:themeFill="text1" w:themeFillTint="33"/>
      </w:tcPr>
    </w:tblStylePr>
    <w:tblStylePr w:type="band1Horz">
      <w:tblPr/>
      <w:tcPr>
        <w:shd w:val="clear" w:color="auto" w:fill="BCE6EF" w:themeFill="text1" w:themeFillTint="33"/>
      </w:tcPr>
    </w:tblStylePr>
  </w:style>
  <w:style w:type="table" w:styleId="GridTable4-Accent4">
    <w:name w:val="Grid Table 4 Accent 4"/>
    <w:basedOn w:val="TableNormal"/>
    <w:uiPriority w:val="49"/>
    <w:rsid w:val="001E2B3B"/>
    <w:pPr>
      <w:spacing w:after="0" w:line="240" w:lineRule="auto"/>
    </w:pPr>
    <w:tblPr>
      <w:tblStyleRowBandSize w:val="1"/>
      <w:tblStyleColBandSize w:val="1"/>
      <w:tblBorders>
        <w:top w:val="single" w:sz="4" w:space="0" w:color="B5E3EF" w:themeColor="accent4" w:themeTint="99"/>
        <w:left w:val="single" w:sz="4" w:space="0" w:color="B5E3EF" w:themeColor="accent4" w:themeTint="99"/>
        <w:bottom w:val="single" w:sz="4" w:space="0" w:color="B5E3EF" w:themeColor="accent4" w:themeTint="99"/>
        <w:right w:val="single" w:sz="4" w:space="0" w:color="B5E3EF" w:themeColor="accent4" w:themeTint="99"/>
        <w:insideH w:val="single" w:sz="4" w:space="0" w:color="B5E3EF" w:themeColor="accent4" w:themeTint="99"/>
        <w:insideV w:val="single" w:sz="4" w:space="0" w:color="B5E3EF" w:themeColor="accent4" w:themeTint="99"/>
      </w:tblBorders>
    </w:tblPr>
    <w:tblStylePr w:type="firstRow">
      <w:rPr>
        <w:b/>
        <w:bCs/>
        <w:color w:val="FFFFFF" w:themeColor="background1"/>
      </w:rPr>
      <w:tblPr/>
      <w:tcPr>
        <w:tcBorders>
          <w:top w:val="single" w:sz="4" w:space="0" w:color="85D1E5" w:themeColor="accent4"/>
          <w:left w:val="single" w:sz="4" w:space="0" w:color="85D1E5" w:themeColor="accent4"/>
          <w:bottom w:val="single" w:sz="4" w:space="0" w:color="85D1E5" w:themeColor="accent4"/>
          <w:right w:val="single" w:sz="4" w:space="0" w:color="85D1E5" w:themeColor="accent4"/>
          <w:insideH w:val="nil"/>
          <w:insideV w:val="nil"/>
        </w:tcBorders>
        <w:shd w:val="clear" w:color="auto" w:fill="85D1E5" w:themeFill="accent4"/>
      </w:tcPr>
    </w:tblStylePr>
    <w:tblStylePr w:type="lastRow">
      <w:rPr>
        <w:b/>
        <w:bCs/>
      </w:rPr>
      <w:tblPr/>
      <w:tcPr>
        <w:tcBorders>
          <w:top w:val="double" w:sz="4" w:space="0" w:color="85D1E5" w:themeColor="accent4"/>
        </w:tcBorders>
      </w:tcPr>
    </w:tblStylePr>
    <w:tblStylePr w:type="firstCol">
      <w:rPr>
        <w:b/>
        <w:bCs/>
      </w:rPr>
    </w:tblStylePr>
    <w:tblStylePr w:type="lastCol">
      <w:rPr>
        <w:b/>
        <w:bCs/>
      </w:rPr>
    </w:tblStylePr>
    <w:tblStylePr w:type="band1Vert">
      <w:tblPr/>
      <w:tcPr>
        <w:shd w:val="clear" w:color="auto" w:fill="E6F5F9" w:themeFill="accent4" w:themeFillTint="33"/>
      </w:tcPr>
    </w:tblStylePr>
    <w:tblStylePr w:type="band1Horz">
      <w:tblPr/>
      <w:tcPr>
        <w:shd w:val="clear" w:color="auto" w:fill="E6F5F9" w:themeFill="accent4" w:themeFillTint="33"/>
      </w:tcPr>
    </w:tblStylePr>
  </w:style>
  <w:style w:type="table" w:styleId="ListTable7Colorful">
    <w:name w:val="List Table 7 Colorful"/>
    <w:basedOn w:val="TableNormal"/>
    <w:uiPriority w:val="52"/>
    <w:rsid w:val="00296706"/>
    <w:pPr>
      <w:spacing w:after="0" w:line="240" w:lineRule="auto"/>
    </w:pPr>
    <w:rPr>
      <w:color w:val="134753"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4753"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4753"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4753"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4753" w:themeColor="text1"/>
        </w:tcBorders>
        <w:shd w:val="clear" w:color="auto" w:fill="FFFFFF" w:themeFill="background1"/>
      </w:tcPr>
    </w:tblStylePr>
    <w:tblStylePr w:type="band1Vert">
      <w:tblPr/>
      <w:tcPr>
        <w:shd w:val="clear" w:color="auto" w:fill="BCE6EF" w:themeFill="text1" w:themeFillTint="33"/>
      </w:tcPr>
    </w:tblStylePr>
    <w:tblStylePr w:type="band1Horz">
      <w:tblPr/>
      <w:tcPr>
        <w:shd w:val="clear" w:color="auto" w:fill="BCE6EF"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semiHidden/>
    <w:rsid w:val="000A1EC1"/>
    <w:pPr>
      <w:widowControl w:val="0"/>
      <w:suppressAutoHyphens/>
      <w:spacing w:line="240" w:lineRule="auto"/>
    </w:pPr>
    <w:rPr>
      <w:rFonts w:ascii="Times New Roman" w:eastAsia="SimSun" w:hAnsi="Times New Roman" w:cs="SimSun"/>
      <w:kern w:val="1"/>
      <w:szCs w:val="24"/>
      <w:lang w:val="en-GB" w:eastAsia="hi-IN" w:bidi="hi-IN"/>
    </w:rPr>
  </w:style>
  <w:style w:type="character" w:customStyle="1" w:styleId="BodyTextChar">
    <w:name w:val="Body Text Char"/>
    <w:basedOn w:val="DefaultParagraphFont"/>
    <w:link w:val="BodyText"/>
    <w:semiHidden/>
    <w:rsid w:val="000A1EC1"/>
    <w:rPr>
      <w:rFonts w:ascii="Times New Roman" w:eastAsia="SimSun" w:hAnsi="Times New Roman" w:cs="SimSun"/>
      <w:kern w:val="1"/>
      <w:sz w:val="24"/>
      <w:szCs w:val="24"/>
      <w:lang w:eastAsia="hi-IN" w:bidi="hi-IN"/>
    </w:rPr>
  </w:style>
  <w:style w:type="character" w:customStyle="1" w:styleId="ListParagraphChar">
    <w:name w:val="List Paragraph Char"/>
    <w:aliases w:val="ERP-List Paragraph Char,List Paragraph11 Char,Bullet EY Char,List Paragraph1 Char,Normal bullet 2 Char,Bullet 1 Char,Table of contents numbered Char,A_wyliczenie Char,K-P_odwolanie Char,Akapit z listą5 Char,maz_wyliczenie Char"/>
    <w:basedOn w:val="DefaultParagraphFont"/>
    <w:link w:val="ListParagraph"/>
    <w:uiPriority w:val="34"/>
    <w:qFormat/>
    <w:locked/>
    <w:rsid w:val="000A1EC1"/>
    <w:rPr>
      <w:sz w:val="24"/>
    </w:rPr>
  </w:style>
  <w:style w:type="table" w:styleId="TableGrid">
    <w:name w:val="Table Grid"/>
    <w:aliases w:val="ECORYS Tabela"/>
    <w:basedOn w:val="TableNormal"/>
    <w:uiPriority w:val="59"/>
    <w:rsid w:val="000A1EC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1EC1"/>
    <w:pPr>
      <w:autoSpaceDE w:val="0"/>
      <w:autoSpaceDN w:val="0"/>
      <w:adjustRightInd w:val="0"/>
      <w:spacing w:after="0" w:line="240" w:lineRule="auto"/>
    </w:pPr>
    <w:rPr>
      <w:rFonts w:ascii="Calibri" w:hAnsi="Calibri" w:cs="Calibri"/>
      <w:color w:val="000000"/>
      <w:sz w:val="24"/>
      <w:szCs w:val="24"/>
      <w:lang w:val="ro-RO"/>
    </w:rPr>
  </w:style>
  <w:style w:type="paragraph" w:styleId="NormalWeb">
    <w:name w:val="Normal (Web)"/>
    <w:basedOn w:val="Normal"/>
    <w:uiPriority w:val="99"/>
    <w:unhideWhenUsed/>
    <w:rsid w:val="001973B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customStyle="1" w:styleId="ECORYSTabela1">
    <w:name w:val="ECORYS Tabela1"/>
    <w:basedOn w:val="TableNormal"/>
    <w:next w:val="TableGrid"/>
    <w:uiPriority w:val="59"/>
    <w:rsid w:val="001973B1"/>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3B1"/>
    <w:rPr>
      <w:sz w:val="16"/>
      <w:szCs w:val="16"/>
    </w:rPr>
  </w:style>
  <w:style w:type="paragraph" w:styleId="CommentText">
    <w:name w:val="annotation text"/>
    <w:basedOn w:val="Normal"/>
    <w:link w:val="CommentTextChar"/>
    <w:uiPriority w:val="99"/>
    <w:semiHidden/>
    <w:unhideWhenUsed/>
    <w:rsid w:val="001973B1"/>
    <w:pPr>
      <w:spacing w:after="200" w:line="240" w:lineRule="auto"/>
    </w:pPr>
    <w:rPr>
      <w:szCs w:val="20"/>
    </w:rPr>
  </w:style>
  <w:style w:type="character" w:customStyle="1" w:styleId="CommentTextChar">
    <w:name w:val="Comment Text Char"/>
    <w:basedOn w:val="DefaultParagraphFont"/>
    <w:link w:val="CommentText"/>
    <w:uiPriority w:val="99"/>
    <w:semiHidden/>
    <w:rsid w:val="001973B1"/>
    <w:rPr>
      <w:sz w:val="20"/>
      <w:szCs w:val="20"/>
      <w:lang w:val="ro-RO"/>
    </w:rPr>
  </w:style>
  <w:style w:type="numbering" w:customStyle="1" w:styleId="Headings">
    <w:name w:val="Headings"/>
    <w:uiPriority w:val="99"/>
    <w:rsid w:val="00FB4B2D"/>
    <w:pPr>
      <w:numPr>
        <w:numId w:val="1"/>
      </w:numPr>
    </w:pPr>
  </w:style>
  <w:style w:type="paragraph" w:customStyle="1" w:styleId="headingno4">
    <w:name w:val="heading no 4"/>
    <w:basedOn w:val="Heading3"/>
    <w:qFormat/>
    <w:rsid w:val="00FB4B2D"/>
    <w:pPr>
      <w:keepLines w:val="0"/>
      <w:spacing w:before="180" w:after="180" w:line="240" w:lineRule="auto"/>
      <w:ind w:left="1634" w:hanging="357"/>
    </w:pPr>
    <w:rPr>
      <w:rFonts w:ascii="Trebuchet MS" w:eastAsia="SimSun" w:hAnsi="Trebuchet MS" w:cs="Cambria"/>
      <w:b/>
      <w:caps/>
      <w:color w:val="C2E8F1" w:themeColor="background2"/>
      <w:szCs w:val="20"/>
      <w:lang w:eastAsia="ro-RO" w:bidi="ne-NP"/>
    </w:rPr>
  </w:style>
  <w:style w:type="character" w:styleId="FollowedHyperlink">
    <w:name w:val="FollowedHyperlink"/>
    <w:basedOn w:val="DefaultParagraphFont"/>
    <w:uiPriority w:val="99"/>
    <w:semiHidden/>
    <w:unhideWhenUsed/>
    <w:rsid w:val="00FB4B2D"/>
    <w:rPr>
      <w:color w:val="134753" w:themeColor="followedHyperlink"/>
      <w:u w:val="single"/>
    </w:rPr>
  </w:style>
  <w:style w:type="paragraph" w:styleId="CommentSubject">
    <w:name w:val="annotation subject"/>
    <w:basedOn w:val="CommentText"/>
    <w:next w:val="CommentText"/>
    <w:link w:val="CommentSubjectChar"/>
    <w:uiPriority w:val="99"/>
    <w:semiHidden/>
    <w:unhideWhenUsed/>
    <w:rsid w:val="00FB4B2D"/>
    <w:rPr>
      <w:b/>
      <w:bCs/>
    </w:rPr>
  </w:style>
  <w:style w:type="character" w:customStyle="1" w:styleId="CommentSubjectChar">
    <w:name w:val="Comment Subject Char"/>
    <w:basedOn w:val="CommentTextChar"/>
    <w:link w:val="CommentSubject"/>
    <w:uiPriority w:val="99"/>
    <w:semiHidden/>
    <w:rsid w:val="00FB4B2D"/>
    <w:rPr>
      <w:b/>
      <w:bCs/>
      <w:sz w:val="20"/>
      <w:szCs w:val="20"/>
      <w:lang w:val="ro-RO"/>
    </w:rPr>
  </w:style>
  <w:style w:type="character" w:customStyle="1" w:styleId="DRAGOS2Char">
    <w:name w:val="DRAGOS 2 Char"/>
    <w:link w:val="DRAGOS2"/>
    <w:rsid w:val="00FB4B2D"/>
    <w:rPr>
      <w:rFonts w:ascii="Verdana" w:hAnsi="Verdana"/>
      <w:i/>
      <w:iCs/>
      <w:sz w:val="24"/>
      <w:szCs w:val="24"/>
    </w:rPr>
  </w:style>
  <w:style w:type="paragraph" w:customStyle="1" w:styleId="DRAGOS2">
    <w:name w:val="DRAGOS 2"/>
    <w:basedOn w:val="Normal"/>
    <w:link w:val="DRAGOS2Char"/>
    <w:rsid w:val="00FB4B2D"/>
    <w:pPr>
      <w:spacing w:before="120" w:after="0" w:line="288" w:lineRule="auto"/>
    </w:pPr>
    <w:rPr>
      <w:rFonts w:ascii="Verdana" w:hAnsi="Verdana"/>
      <w:i/>
      <w:iCs/>
      <w:sz w:val="24"/>
      <w:szCs w:val="24"/>
      <w:lang w:val="en-GB"/>
    </w:rPr>
  </w:style>
  <w:style w:type="paragraph" w:styleId="Title">
    <w:name w:val="Title"/>
    <w:basedOn w:val="Normal"/>
    <w:link w:val="TitleChar"/>
    <w:qFormat/>
    <w:rsid w:val="00FD52AC"/>
    <w:pPr>
      <w:spacing w:after="240" w:line="240" w:lineRule="auto"/>
      <w:jc w:val="center"/>
    </w:pPr>
    <w:rPr>
      <w:rFonts w:ascii="Tahoma" w:eastAsia="Times New Roman" w:hAnsi="Tahoma" w:cs="Times New Roman"/>
      <w:b/>
      <w:sz w:val="24"/>
      <w:szCs w:val="20"/>
      <w:lang w:val="en-GB"/>
    </w:rPr>
  </w:style>
  <w:style w:type="character" w:customStyle="1" w:styleId="TitleChar">
    <w:name w:val="Title Char"/>
    <w:basedOn w:val="DefaultParagraphFont"/>
    <w:link w:val="Title"/>
    <w:rsid w:val="00FD52AC"/>
    <w:rPr>
      <w:rFonts w:ascii="Tahoma" w:eastAsia="Times New Roman" w:hAnsi="Tahoma" w:cs="Times New Roman"/>
      <w:b/>
      <w:sz w:val="24"/>
      <w:szCs w:val="20"/>
    </w:rPr>
  </w:style>
  <w:style w:type="paragraph" w:styleId="IntenseQuote">
    <w:name w:val="Intense Quote"/>
    <w:basedOn w:val="Normal"/>
    <w:next w:val="Normal"/>
    <w:link w:val="IntenseQuoteChar"/>
    <w:uiPriority w:val="30"/>
    <w:qFormat/>
    <w:rsid w:val="00FD52AC"/>
    <w:pPr>
      <w:pBdr>
        <w:top w:val="single" w:sz="4" w:space="10" w:color="4F81BD"/>
        <w:bottom w:val="single" w:sz="4" w:space="10" w:color="4F81BD"/>
      </w:pBdr>
      <w:suppressAutoHyphens/>
      <w:spacing w:before="360" w:after="360" w:line="240" w:lineRule="auto"/>
      <w:ind w:left="864" w:right="864"/>
      <w:jc w:val="center"/>
    </w:pPr>
    <w:rPr>
      <w:rFonts w:ascii="Calibri" w:eastAsia="Calibri" w:hAnsi="Calibri" w:cs="Calibri"/>
      <w:i/>
      <w:iCs/>
      <w:color w:val="4F81BD"/>
      <w:szCs w:val="20"/>
      <w:lang w:val="en-GB" w:eastAsia="ar-SA"/>
    </w:rPr>
  </w:style>
  <w:style w:type="character" w:customStyle="1" w:styleId="IntenseQuoteChar">
    <w:name w:val="Intense Quote Char"/>
    <w:basedOn w:val="DefaultParagraphFont"/>
    <w:link w:val="IntenseQuote"/>
    <w:uiPriority w:val="30"/>
    <w:rsid w:val="00FD52AC"/>
    <w:rPr>
      <w:rFonts w:ascii="Calibri" w:eastAsia="Calibri" w:hAnsi="Calibri" w:cs="Calibri"/>
      <w:i/>
      <w:iCs/>
      <w:color w:val="4F81BD"/>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8221">
      <w:bodyDiv w:val="1"/>
      <w:marLeft w:val="0"/>
      <w:marRight w:val="0"/>
      <w:marTop w:val="0"/>
      <w:marBottom w:val="0"/>
      <w:divBdr>
        <w:top w:val="none" w:sz="0" w:space="0" w:color="auto"/>
        <w:left w:val="none" w:sz="0" w:space="0" w:color="auto"/>
        <w:bottom w:val="none" w:sz="0" w:space="0" w:color="auto"/>
        <w:right w:val="none" w:sz="0" w:space="0" w:color="auto"/>
      </w:divBdr>
    </w:div>
    <w:div w:id="30569802">
      <w:bodyDiv w:val="1"/>
      <w:marLeft w:val="0"/>
      <w:marRight w:val="0"/>
      <w:marTop w:val="0"/>
      <w:marBottom w:val="0"/>
      <w:divBdr>
        <w:top w:val="none" w:sz="0" w:space="0" w:color="auto"/>
        <w:left w:val="none" w:sz="0" w:space="0" w:color="auto"/>
        <w:bottom w:val="none" w:sz="0" w:space="0" w:color="auto"/>
        <w:right w:val="none" w:sz="0" w:space="0" w:color="auto"/>
      </w:divBdr>
    </w:div>
    <w:div w:id="55474887">
      <w:bodyDiv w:val="1"/>
      <w:marLeft w:val="0"/>
      <w:marRight w:val="0"/>
      <w:marTop w:val="0"/>
      <w:marBottom w:val="0"/>
      <w:divBdr>
        <w:top w:val="none" w:sz="0" w:space="0" w:color="auto"/>
        <w:left w:val="none" w:sz="0" w:space="0" w:color="auto"/>
        <w:bottom w:val="none" w:sz="0" w:space="0" w:color="auto"/>
        <w:right w:val="none" w:sz="0" w:space="0" w:color="auto"/>
      </w:divBdr>
    </w:div>
    <w:div w:id="63456476">
      <w:bodyDiv w:val="1"/>
      <w:marLeft w:val="0"/>
      <w:marRight w:val="0"/>
      <w:marTop w:val="0"/>
      <w:marBottom w:val="0"/>
      <w:divBdr>
        <w:top w:val="none" w:sz="0" w:space="0" w:color="auto"/>
        <w:left w:val="none" w:sz="0" w:space="0" w:color="auto"/>
        <w:bottom w:val="none" w:sz="0" w:space="0" w:color="auto"/>
        <w:right w:val="none" w:sz="0" w:space="0" w:color="auto"/>
      </w:divBdr>
    </w:div>
    <w:div w:id="109858425">
      <w:bodyDiv w:val="1"/>
      <w:marLeft w:val="0"/>
      <w:marRight w:val="0"/>
      <w:marTop w:val="0"/>
      <w:marBottom w:val="0"/>
      <w:divBdr>
        <w:top w:val="none" w:sz="0" w:space="0" w:color="auto"/>
        <w:left w:val="none" w:sz="0" w:space="0" w:color="auto"/>
        <w:bottom w:val="none" w:sz="0" w:space="0" w:color="auto"/>
        <w:right w:val="none" w:sz="0" w:space="0" w:color="auto"/>
      </w:divBdr>
    </w:div>
    <w:div w:id="118308080">
      <w:bodyDiv w:val="1"/>
      <w:marLeft w:val="0"/>
      <w:marRight w:val="0"/>
      <w:marTop w:val="0"/>
      <w:marBottom w:val="0"/>
      <w:divBdr>
        <w:top w:val="none" w:sz="0" w:space="0" w:color="auto"/>
        <w:left w:val="none" w:sz="0" w:space="0" w:color="auto"/>
        <w:bottom w:val="none" w:sz="0" w:space="0" w:color="auto"/>
        <w:right w:val="none" w:sz="0" w:space="0" w:color="auto"/>
      </w:divBdr>
    </w:div>
    <w:div w:id="123275439">
      <w:bodyDiv w:val="1"/>
      <w:marLeft w:val="0"/>
      <w:marRight w:val="0"/>
      <w:marTop w:val="0"/>
      <w:marBottom w:val="0"/>
      <w:divBdr>
        <w:top w:val="none" w:sz="0" w:space="0" w:color="auto"/>
        <w:left w:val="none" w:sz="0" w:space="0" w:color="auto"/>
        <w:bottom w:val="none" w:sz="0" w:space="0" w:color="auto"/>
        <w:right w:val="none" w:sz="0" w:space="0" w:color="auto"/>
      </w:divBdr>
    </w:div>
    <w:div w:id="137649870">
      <w:bodyDiv w:val="1"/>
      <w:marLeft w:val="0"/>
      <w:marRight w:val="0"/>
      <w:marTop w:val="0"/>
      <w:marBottom w:val="0"/>
      <w:divBdr>
        <w:top w:val="none" w:sz="0" w:space="0" w:color="auto"/>
        <w:left w:val="none" w:sz="0" w:space="0" w:color="auto"/>
        <w:bottom w:val="none" w:sz="0" w:space="0" w:color="auto"/>
        <w:right w:val="none" w:sz="0" w:space="0" w:color="auto"/>
      </w:divBdr>
    </w:div>
    <w:div w:id="140661758">
      <w:bodyDiv w:val="1"/>
      <w:marLeft w:val="0"/>
      <w:marRight w:val="0"/>
      <w:marTop w:val="0"/>
      <w:marBottom w:val="0"/>
      <w:divBdr>
        <w:top w:val="none" w:sz="0" w:space="0" w:color="auto"/>
        <w:left w:val="none" w:sz="0" w:space="0" w:color="auto"/>
        <w:bottom w:val="none" w:sz="0" w:space="0" w:color="auto"/>
        <w:right w:val="none" w:sz="0" w:space="0" w:color="auto"/>
      </w:divBdr>
    </w:div>
    <w:div w:id="142892245">
      <w:bodyDiv w:val="1"/>
      <w:marLeft w:val="0"/>
      <w:marRight w:val="0"/>
      <w:marTop w:val="0"/>
      <w:marBottom w:val="0"/>
      <w:divBdr>
        <w:top w:val="none" w:sz="0" w:space="0" w:color="auto"/>
        <w:left w:val="none" w:sz="0" w:space="0" w:color="auto"/>
        <w:bottom w:val="none" w:sz="0" w:space="0" w:color="auto"/>
        <w:right w:val="none" w:sz="0" w:space="0" w:color="auto"/>
      </w:divBdr>
    </w:div>
    <w:div w:id="176582779">
      <w:bodyDiv w:val="1"/>
      <w:marLeft w:val="0"/>
      <w:marRight w:val="0"/>
      <w:marTop w:val="0"/>
      <w:marBottom w:val="0"/>
      <w:divBdr>
        <w:top w:val="none" w:sz="0" w:space="0" w:color="auto"/>
        <w:left w:val="none" w:sz="0" w:space="0" w:color="auto"/>
        <w:bottom w:val="none" w:sz="0" w:space="0" w:color="auto"/>
        <w:right w:val="none" w:sz="0" w:space="0" w:color="auto"/>
      </w:divBdr>
    </w:div>
    <w:div w:id="194202145">
      <w:bodyDiv w:val="1"/>
      <w:marLeft w:val="0"/>
      <w:marRight w:val="0"/>
      <w:marTop w:val="0"/>
      <w:marBottom w:val="0"/>
      <w:divBdr>
        <w:top w:val="none" w:sz="0" w:space="0" w:color="auto"/>
        <w:left w:val="none" w:sz="0" w:space="0" w:color="auto"/>
        <w:bottom w:val="none" w:sz="0" w:space="0" w:color="auto"/>
        <w:right w:val="none" w:sz="0" w:space="0" w:color="auto"/>
      </w:divBdr>
    </w:div>
    <w:div w:id="214466356">
      <w:bodyDiv w:val="1"/>
      <w:marLeft w:val="0"/>
      <w:marRight w:val="0"/>
      <w:marTop w:val="0"/>
      <w:marBottom w:val="0"/>
      <w:divBdr>
        <w:top w:val="none" w:sz="0" w:space="0" w:color="auto"/>
        <w:left w:val="none" w:sz="0" w:space="0" w:color="auto"/>
        <w:bottom w:val="none" w:sz="0" w:space="0" w:color="auto"/>
        <w:right w:val="none" w:sz="0" w:space="0" w:color="auto"/>
      </w:divBdr>
    </w:div>
    <w:div w:id="239021572">
      <w:bodyDiv w:val="1"/>
      <w:marLeft w:val="0"/>
      <w:marRight w:val="0"/>
      <w:marTop w:val="0"/>
      <w:marBottom w:val="0"/>
      <w:divBdr>
        <w:top w:val="none" w:sz="0" w:space="0" w:color="auto"/>
        <w:left w:val="none" w:sz="0" w:space="0" w:color="auto"/>
        <w:bottom w:val="none" w:sz="0" w:space="0" w:color="auto"/>
        <w:right w:val="none" w:sz="0" w:space="0" w:color="auto"/>
      </w:divBdr>
    </w:div>
    <w:div w:id="254827964">
      <w:bodyDiv w:val="1"/>
      <w:marLeft w:val="0"/>
      <w:marRight w:val="0"/>
      <w:marTop w:val="0"/>
      <w:marBottom w:val="0"/>
      <w:divBdr>
        <w:top w:val="none" w:sz="0" w:space="0" w:color="auto"/>
        <w:left w:val="none" w:sz="0" w:space="0" w:color="auto"/>
        <w:bottom w:val="none" w:sz="0" w:space="0" w:color="auto"/>
        <w:right w:val="none" w:sz="0" w:space="0" w:color="auto"/>
      </w:divBdr>
    </w:div>
    <w:div w:id="341780383">
      <w:bodyDiv w:val="1"/>
      <w:marLeft w:val="0"/>
      <w:marRight w:val="0"/>
      <w:marTop w:val="0"/>
      <w:marBottom w:val="0"/>
      <w:divBdr>
        <w:top w:val="none" w:sz="0" w:space="0" w:color="auto"/>
        <w:left w:val="none" w:sz="0" w:space="0" w:color="auto"/>
        <w:bottom w:val="none" w:sz="0" w:space="0" w:color="auto"/>
        <w:right w:val="none" w:sz="0" w:space="0" w:color="auto"/>
      </w:divBdr>
    </w:div>
    <w:div w:id="381292036">
      <w:bodyDiv w:val="1"/>
      <w:marLeft w:val="0"/>
      <w:marRight w:val="0"/>
      <w:marTop w:val="0"/>
      <w:marBottom w:val="0"/>
      <w:divBdr>
        <w:top w:val="none" w:sz="0" w:space="0" w:color="auto"/>
        <w:left w:val="none" w:sz="0" w:space="0" w:color="auto"/>
        <w:bottom w:val="none" w:sz="0" w:space="0" w:color="auto"/>
        <w:right w:val="none" w:sz="0" w:space="0" w:color="auto"/>
      </w:divBdr>
    </w:div>
    <w:div w:id="390033006">
      <w:bodyDiv w:val="1"/>
      <w:marLeft w:val="0"/>
      <w:marRight w:val="0"/>
      <w:marTop w:val="0"/>
      <w:marBottom w:val="0"/>
      <w:divBdr>
        <w:top w:val="none" w:sz="0" w:space="0" w:color="auto"/>
        <w:left w:val="none" w:sz="0" w:space="0" w:color="auto"/>
        <w:bottom w:val="none" w:sz="0" w:space="0" w:color="auto"/>
        <w:right w:val="none" w:sz="0" w:space="0" w:color="auto"/>
      </w:divBdr>
    </w:div>
    <w:div w:id="399256547">
      <w:bodyDiv w:val="1"/>
      <w:marLeft w:val="0"/>
      <w:marRight w:val="0"/>
      <w:marTop w:val="0"/>
      <w:marBottom w:val="0"/>
      <w:divBdr>
        <w:top w:val="none" w:sz="0" w:space="0" w:color="auto"/>
        <w:left w:val="none" w:sz="0" w:space="0" w:color="auto"/>
        <w:bottom w:val="none" w:sz="0" w:space="0" w:color="auto"/>
        <w:right w:val="none" w:sz="0" w:space="0" w:color="auto"/>
      </w:divBdr>
    </w:div>
    <w:div w:id="403988556">
      <w:bodyDiv w:val="1"/>
      <w:marLeft w:val="0"/>
      <w:marRight w:val="0"/>
      <w:marTop w:val="0"/>
      <w:marBottom w:val="0"/>
      <w:divBdr>
        <w:top w:val="none" w:sz="0" w:space="0" w:color="auto"/>
        <w:left w:val="none" w:sz="0" w:space="0" w:color="auto"/>
        <w:bottom w:val="none" w:sz="0" w:space="0" w:color="auto"/>
        <w:right w:val="none" w:sz="0" w:space="0" w:color="auto"/>
      </w:divBdr>
    </w:div>
    <w:div w:id="432019073">
      <w:bodyDiv w:val="1"/>
      <w:marLeft w:val="0"/>
      <w:marRight w:val="0"/>
      <w:marTop w:val="0"/>
      <w:marBottom w:val="0"/>
      <w:divBdr>
        <w:top w:val="none" w:sz="0" w:space="0" w:color="auto"/>
        <w:left w:val="none" w:sz="0" w:space="0" w:color="auto"/>
        <w:bottom w:val="none" w:sz="0" w:space="0" w:color="auto"/>
        <w:right w:val="none" w:sz="0" w:space="0" w:color="auto"/>
      </w:divBdr>
    </w:div>
    <w:div w:id="432166851">
      <w:bodyDiv w:val="1"/>
      <w:marLeft w:val="0"/>
      <w:marRight w:val="0"/>
      <w:marTop w:val="0"/>
      <w:marBottom w:val="0"/>
      <w:divBdr>
        <w:top w:val="none" w:sz="0" w:space="0" w:color="auto"/>
        <w:left w:val="none" w:sz="0" w:space="0" w:color="auto"/>
        <w:bottom w:val="none" w:sz="0" w:space="0" w:color="auto"/>
        <w:right w:val="none" w:sz="0" w:space="0" w:color="auto"/>
      </w:divBdr>
    </w:div>
    <w:div w:id="450784150">
      <w:bodyDiv w:val="1"/>
      <w:marLeft w:val="0"/>
      <w:marRight w:val="0"/>
      <w:marTop w:val="0"/>
      <w:marBottom w:val="0"/>
      <w:divBdr>
        <w:top w:val="none" w:sz="0" w:space="0" w:color="auto"/>
        <w:left w:val="none" w:sz="0" w:space="0" w:color="auto"/>
        <w:bottom w:val="none" w:sz="0" w:space="0" w:color="auto"/>
        <w:right w:val="none" w:sz="0" w:space="0" w:color="auto"/>
      </w:divBdr>
    </w:div>
    <w:div w:id="455951283">
      <w:bodyDiv w:val="1"/>
      <w:marLeft w:val="0"/>
      <w:marRight w:val="0"/>
      <w:marTop w:val="0"/>
      <w:marBottom w:val="0"/>
      <w:divBdr>
        <w:top w:val="none" w:sz="0" w:space="0" w:color="auto"/>
        <w:left w:val="none" w:sz="0" w:space="0" w:color="auto"/>
        <w:bottom w:val="none" w:sz="0" w:space="0" w:color="auto"/>
        <w:right w:val="none" w:sz="0" w:space="0" w:color="auto"/>
      </w:divBdr>
    </w:div>
    <w:div w:id="457993575">
      <w:bodyDiv w:val="1"/>
      <w:marLeft w:val="0"/>
      <w:marRight w:val="0"/>
      <w:marTop w:val="0"/>
      <w:marBottom w:val="0"/>
      <w:divBdr>
        <w:top w:val="none" w:sz="0" w:space="0" w:color="auto"/>
        <w:left w:val="none" w:sz="0" w:space="0" w:color="auto"/>
        <w:bottom w:val="none" w:sz="0" w:space="0" w:color="auto"/>
        <w:right w:val="none" w:sz="0" w:space="0" w:color="auto"/>
      </w:divBdr>
    </w:div>
    <w:div w:id="467162361">
      <w:bodyDiv w:val="1"/>
      <w:marLeft w:val="0"/>
      <w:marRight w:val="0"/>
      <w:marTop w:val="0"/>
      <w:marBottom w:val="0"/>
      <w:divBdr>
        <w:top w:val="none" w:sz="0" w:space="0" w:color="auto"/>
        <w:left w:val="none" w:sz="0" w:space="0" w:color="auto"/>
        <w:bottom w:val="none" w:sz="0" w:space="0" w:color="auto"/>
        <w:right w:val="none" w:sz="0" w:space="0" w:color="auto"/>
      </w:divBdr>
    </w:div>
    <w:div w:id="478235075">
      <w:bodyDiv w:val="1"/>
      <w:marLeft w:val="0"/>
      <w:marRight w:val="0"/>
      <w:marTop w:val="0"/>
      <w:marBottom w:val="0"/>
      <w:divBdr>
        <w:top w:val="none" w:sz="0" w:space="0" w:color="auto"/>
        <w:left w:val="none" w:sz="0" w:space="0" w:color="auto"/>
        <w:bottom w:val="none" w:sz="0" w:space="0" w:color="auto"/>
        <w:right w:val="none" w:sz="0" w:space="0" w:color="auto"/>
      </w:divBdr>
    </w:div>
    <w:div w:id="484011974">
      <w:bodyDiv w:val="1"/>
      <w:marLeft w:val="0"/>
      <w:marRight w:val="0"/>
      <w:marTop w:val="0"/>
      <w:marBottom w:val="0"/>
      <w:divBdr>
        <w:top w:val="none" w:sz="0" w:space="0" w:color="auto"/>
        <w:left w:val="none" w:sz="0" w:space="0" w:color="auto"/>
        <w:bottom w:val="none" w:sz="0" w:space="0" w:color="auto"/>
        <w:right w:val="none" w:sz="0" w:space="0" w:color="auto"/>
      </w:divBdr>
    </w:div>
    <w:div w:id="485783329">
      <w:bodyDiv w:val="1"/>
      <w:marLeft w:val="0"/>
      <w:marRight w:val="0"/>
      <w:marTop w:val="0"/>
      <w:marBottom w:val="0"/>
      <w:divBdr>
        <w:top w:val="none" w:sz="0" w:space="0" w:color="auto"/>
        <w:left w:val="none" w:sz="0" w:space="0" w:color="auto"/>
        <w:bottom w:val="none" w:sz="0" w:space="0" w:color="auto"/>
        <w:right w:val="none" w:sz="0" w:space="0" w:color="auto"/>
      </w:divBdr>
    </w:div>
    <w:div w:id="490026668">
      <w:bodyDiv w:val="1"/>
      <w:marLeft w:val="0"/>
      <w:marRight w:val="0"/>
      <w:marTop w:val="0"/>
      <w:marBottom w:val="0"/>
      <w:divBdr>
        <w:top w:val="none" w:sz="0" w:space="0" w:color="auto"/>
        <w:left w:val="none" w:sz="0" w:space="0" w:color="auto"/>
        <w:bottom w:val="none" w:sz="0" w:space="0" w:color="auto"/>
        <w:right w:val="none" w:sz="0" w:space="0" w:color="auto"/>
      </w:divBdr>
    </w:div>
    <w:div w:id="521554745">
      <w:bodyDiv w:val="1"/>
      <w:marLeft w:val="0"/>
      <w:marRight w:val="0"/>
      <w:marTop w:val="0"/>
      <w:marBottom w:val="0"/>
      <w:divBdr>
        <w:top w:val="none" w:sz="0" w:space="0" w:color="auto"/>
        <w:left w:val="none" w:sz="0" w:space="0" w:color="auto"/>
        <w:bottom w:val="none" w:sz="0" w:space="0" w:color="auto"/>
        <w:right w:val="none" w:sz="0" w:space="0" w:color="auto"/>
      </w:divBdr>
    </w:div>
    <w:div w:id="544607093">
      <w:bodyDiv w:val="1"/>
      <w:marLeft w:val="0"/>
      <w:marRight w:val="0"/>
      <w:marTop w:val="0"/>
      <w:marBottom w:val="0"/>
      <w:divBdr>
        <w:top w:val="none" w:sz="0" w:space="0" w:color="auto"/>
        <w:left w:val="none" w:sz="0" w:space="0" w:color="auto"/>
        <w:bottom w:val="none" w:sz="0" w:space="0" w:color="auto"/>
        <w:right w:val="none" w:sz="0" w:space="0" w:color="auto"/>
      </w:divBdr>
    </w:div>
    <w:div w:id="563297201">
      <w:bodyDiv w:val="1"/>
      <w:marLeft w:val="0"/>
      <w:marRight w:val="0"/>
      <w:marTop w:val="0"/>
      <w:marBottom w:val="0"/>
      <w:divBdr>
        <w:top w:val="none" w:sz="0" w:space="0" w:color="auto"/>
        <w:left w:val="none" w:sz="0" w:space="0" w:color="auto"/>
        <w:bottom w:val="none" w:sz="0" w:space="0" w:color="auto"/>
        <w:right w:val="none" w:sz="0" w:space="0" w:color="auto"/>
      </w:divBdr>
    </w:div>
    <w:div w:id="615137523">
      <w:bodyDiv w:val="1"/>
      <w:marLeft w:val="0"/>
      <w:marRight w:val="0"/>
      <w:marTop w:val="0"/>
      <w:marBottom w:val="0"/>
      <w:divBdr>
        <w:top w:val="none" w:sz="0" w:space="0" w:color="auto"/>
        <w:left w:val="none" w:sz="0" w:space="0" w:color="auto"/>
        <w:bottom w:val="none" w:sz="0" w:space="0" w:color="auto"/>
        <w:right w:val="none" w:sz="0" w:space="0" w:color="auto"/>
      </w:divBdr>
    </w:div>
    <w:div w:id="629673077">
      <w:bodyDiv w:val="1"/>
      <w:marLeft w:val="0"/>
      <w:marRight w:val="0"/>
      <w:marTop w:val="0"/>
      <w:marBottom w:val="0"/>
      <w:divBdr>
        <w:top w:val="none" w:sz="0" w:space="0" w:color="auto"/>
        <w:left w:val="none" w:sz="0" w:space="0" w:color="auto"/>
        <w:bottom w:val="none" w:sz="0" w:space="0" w:color="auto"/>
        <w:right w:val="none" w:sz="0" w:space="0" w:color="auto"/>
      </w:divBdr>
    </w:div>
    <w:div w:id="664285153">
      <w:bodyDiv w:val="1"/>
      <w:marLeft w:val="0"/>
      <w:marRight w:val="0"/>
      <w:marTop w:val="0"/>
      <w:marBottom w:val="0"/>
      <w:divBdr>
        <w:top w:val="none" w:sz="0" w:space="0" w:color="auto"/>
        <w:left w:val="none" w:sz="0" w:space="0" w:color="auto"/>
        <w:bottom w:val="none" w:sz="0" w:space="0" w:color="auto"/>
        <w:right w:val="none" w:sz="0" w:space="0" w:color="auto"/>
      </w:divBdr>
    </w:div>
    <w:div w:id="664288136">
      <w:bodyDiv w:val="1"/>
      <w:marLeft w:val="0"/>
      <w:marRight w:val="0"/>
      <w:marTop w:val="0"/>
      <w:marBottom w:val="0"/>
      <w:divBdr>
        <w:top w:val="none" w:sz="0" w:space="0" w:color="auto"/>
        <w:left w:val="none" w:sz="0" w:space="0" w:color="auto"/>
        <w:bottom w:val="none" w:sz="0" w:space="0" w:color="auto"/>
        <w:right w:val="none" w:sz="0" w:space="0" w:color="auto"/>
      </w:divBdr>
    </w:div>
    <w:div w:id="666831512">
      <w:bodyDiv w:val="1"/>
      <w:marLeft w:val="0"/>
      <w:marRight w:val="0"/>
      <w:marTop w:val="0"/>
      <w:marBottom w:val="0"/>
      <w:divBdr>
        <w:top w:val="none" w:sz="0" w:space="0" w:color="auto"/>
        <w:left w:val="none" w:sz="0" w:space="0" w:color="auto"/>
        <w:bottom w:val="none" w:sz="0" w:space="0" w:color="auto"/>
        <w:right w:val="none" w:sz="0" w:space="0" w:color="auto"/>
      </w:divBdr>
    </w:div>
    <w:div w:id="670572511">
      <w:bodyDiv w:val="1"/>
      <w:marLeft w:val="0"/>
      <w:marRight w:val="0"/>
      <w:marTop w:val="0"/>
      <w:marBottom w:val="0"/>
      <w:divBdr>
        <w:top w:val="none" w:sz="0" w:space="0" w:color="auto"/>
        <w:left w:val="none" w:sz="0" w:space="0" w:color="auto"/>
        <w:bottom w:val="none" w:sz="0" w:space="0" w:color="auto"/>
        <w:right w:val="none" w:sz="0" w:space="0" w:color="auto"/>
      </w:divBdr>
    </w:div>
    <w:div w:id="672949091">
      <w:bodyDiv w:val="1"/>
      <w:marLeft w:val="0"/>
      <w:marRight w:val="0"/>
      <w:marTop w:val="0"/>
      <w:marBottom w:val="0"/>
      <w:divBdr>
        <w:top w:val="none" w:sz="0" w:space="0" w:color="auto"/>
        <w:left w:val="none" w:sz="0" w:space="0" w:color="auto"/>
        <w:bottom w:val="none" w:sz="0" w:space="0" w:color="auto"/>
        <w:right w:val="none" w:sz="0" w:space="0" w:color="auto"/>
      </w:divBdr>
    </w:div>
    <w:div w:id="737358691">
      <w:bodyDiv w:val="1"/>
      <w:marLeft w:val="0"/>
      <w:marRight w:val="0"/>
      <w:marTop w:val="0"/>
      <w:marBottom w:val="0"/>
      <w:divBdr>
        <w:top w:val="none" w:sz="0" w:space="0" w:color="auto"/>
        <w:left w:val="none" w:sz="0" w:space="0" w:color="auto"/>
        <w:bottom w:val="none" w:sz="0" w:space="0" w:color="auto"/>
        <w:right w:val="none" w:sz="0" w:space="0" w:color="auto"/>
      </w:divBdr>
    </w:div>
    <w:div w:id="751702959">
      <w:bodyDiv w:val="1"/>
      <w:marLeft w:val="0"/>
      <w:marRight w:val="0"/>
      <w:marTop w:val="0"/>
      <w:marBottom w:val="0"/>
      <w:divBdr>
        <w:top w:val="none" w:sz="0" w:space="0" w:color="auto"/>
        <w:left w:val="none" w:sz="0" w:space="0" w:color="auto"/>
        <w:bottom w:val="none" w:sz="0" w:space="0" w:color="auto"/>
        <w:right w:val="none" w:sz="0" w:space="0" w:color="auto"/>
      </w:divBdr>
    </w:div>
    <w:div w:id="771245216">
      <w:bodyDiv w:val="1"/>
      <w:marLeft w:val="0"/>
      <w:marRight w:val="0"/>
      <w:marTop w:val="0"/>
      <w:marBottom w:val="0"/>
      <w:divBdr>
        <w:top w:val="none" w:sz="0" w:space="0" w:color="auto"/>
        <w:left w:val="none" w:sz="0" w:space="0" w:color="auto"/>
        <w:bottom w:val="none" w:sz="0" w:space="0" w:color="auto"/>
        <w:right w:val="none" w:sz="0" w:space="0" w:color="auto"/>
      </w:divBdr>
    </w:div>
    <w:div w:id="793253598">
      <w:bodyDiv w:val="1"/>
      <w:marLeft w:val="0"/>
      <w:marRight w:val="0"/>
      <w:marTop w:val="0"/>
      <w:marBottom w:val="0"/>
      <w:divBdr>
        <w:top w:val="none" w:sz="0" w:space="0" w:color="auto"/>
        <w:left w:val="none" w:sz="0" w:space="0" w:color="auto"/>
        <w:bottom w:val="none" w:sz="0" w:space="0" w:color="auto"/>
        <w:right w:val="none" w:sz="0" w:space="0" w:color="auto"/>
      </w:divBdr>
    </w:div>
    <w:div w:id="848102935">
      <w:bodyDiv w:val="1"/>
      <w:marLeft w:val="0"/>
      <w:marRight w:val="0"/>
      <w:marTop w:val="0"/>
      <w:marBottom w:val="0"/>
      <w:divBdr>
        <w:top w:val="none" w:sz="0" w:space="0" w:color="auto"/>
        <w:left w:val="none" w:sz="0" w:space="0" w:color="auto"/>
        <w:bottom w:val="none" w:sz="0" w:space="0" w:color="auto"/>
        <w:right w:val="none" w:sz="0" w:space="0" w:color="auto"/>
      </w:divBdr>
    </w:div>
    <w:div w:id="856894109">
      <w:bodyDiv w:val="1"/>
      <w:marLeft w:val="0"/>
      <w:marRight w:val="0"/>
      <w:marTop w:val="0"/>
      <w:marBottom w:val="0"/>
      <w:divBdr>
        <w:top w:val="none" w:sz="0" w:space="0" w:color="auto"/>
        <w:left w:val="none" w:sz="0" w:space="0" w:color="auto"/>
        <w:bottom w:val="none" w:sz="0" w:space="0" w:color="auto"/>
        <w:right w:val="none" w:sz="0" w:space="0" w:color="auto"/>
      </w:divBdr>
    </w:div>
    <w:div w:id="887185113">
      <w:bodyDiv w:val="1"/>
      <w:marLeft w:val="0"/>
      <w:marRight w:val="0"/>
      <w:marTop w:val="0"/>
      <w:marBottom w:val="0"/>
      <w:divBdr>
        <w:top w:val="none" w:sz="0" w:space="0" w:color="auto"/>
        <w:left w:val="none" w:sz="0" w:space="0" w:color="auto"/>
        <w:bottom w:val="none" w:sz="0" w:space="0" w:color="auto"/>
        <w:right w:val="none" w:sz="0" w:space="0" w:color="auto"/>
      </w:divBdr>
    </w:div>
    <w:div w:id="906261896">
      <w:bodyDiv w:val="1"/>
      <w:marLeft w:val="0"/>
      <w:marRight w:val="0"/>
      <w:marTop w:val="0"/>
      <w:marBottom w:val="0"/>
      <w:divBdr>
        <w:top w:val="none" w:sz="0" w:space="0" w:color="auto"/>
        <w:left w:val="none" w:sz="0" w:space="0" w:color="auto"/>
        <w:bottom w:val="none" w:sz="0" w:space="0" w:color="auto"/>
        <w:right w:val="none" w:sz="0" w:space="0" w:color="auto"/>
      </w:divBdr>
    </w:div>
    <w:div w:id="958489243">
      <w:bodyDiv w:val="1"/>
      <w:marLeft w:val="0"/>
      <w:marRight w:val="0"/>
      <w:marTop w:val="0"/>
      <w:marBottom w:val="0"/>
      <w:divBdr>
        <w:top w:val="none" w:sz="0" w:space="0" w:color="auto"/>
        <w:left w:val="none" w:sz="0" w:space="0" w:color="auto"/>
        <w:bottom w:val="none" w:sz="0" w:space="0" w:color="auto"/>
        <w:right w:val="none" w:sz="0" w:space="0" w:color="auto"/>
      </w:divBdr>
    </w:div>
    <w:div w:id="959188609">
      <w:bodyDiv w:val="1"/>
      <w:marLeft w:val="0"/>
      <w:marRight w:val="0"/>
      <w:marTop w:val="0"/>
      <w:marBottom w:val="0"/>
      <w:divBdr>
        <w:top w:val="none" w:sz="0" w:space="0" w:color="auto"/>
        <w:left w:val="none" w:sz="0" w:space="0" w:color="auto"/>
        <w:bottom w:val="none" w:sz="0" w:space="0" w:color="auto"/>
        <w:right w:val="none" w:sz="0" w:space="0" w:color="auto"/>
      </w:divBdr>
    </w:div>
    <w:div w:id="990671479">
      <w:bodyDiv w:val="1"/>
      <w:marLeft w:val="0"/>
      <w:marRight w:val="0"/>
      <w:marTop w:val="0"/>
      <w:marBottom w:val="0"/>
      <w:divBdr>
        <w:top w:val="none" w:sz="0" w:space="0" w:color="auto"/>
        <w:left w:val="none" w:sz="0" w:space="0" w:color="auto"/>
        <w:bottom w:val="none" w:sz="0" w:space="0" w:color="auto"/>
        <w:right w:val="none" w:sz="0" w:space="0" w:color="auto"/>
      </w:divBdr>
    </w:div>
    <w:div w:id="1004355418">
      <w:bodyDiv w:val="1"/>
      <w:marLeft w:val="0"/>
      <w:marRight w:val="0"/>
      <w:marTop w:val="0"/>
      <w:marBottom w:val="0"/>
      <w:divBdr>
        <w:top w:val="none" w:sz="0" w:space="0" w:color="auto"/>
        <w:left w:val="none" w:sz="0" w:space="0" w:color="auto"/>
        <w:bottom w:val="none" w:sz="0" w:space="0" w:color="auto"/>
        <w:right w:val="none" w:sz="0" w:space="0" w:color="auto"/>
      </w:divBdr>
    </w:div>
    <w:div w:id="1026371704">
      <w:bodyDiv w:val="1"/>
      <w:marLeft w:val="0"/>
      <w:marRight w:val="0"/>
      <w:marTop w:val="0"/>
      <w:marBottom w:val="0"/>
      <w:divBdr>
        <w:top w:val="none" w:sz="0" w:space="0" w:color="auto"/>
        <w:left w:val="none" w:sz="0" w:space="0" w:color="auto"/>
        <w:bottom w:val="none" w:sz="0" w:space="0" w:color="auto"/>
        <w:right w:val="none" w:sz="0" w:space="0" w:color="auto"/>
      </w:divBdr>
    </w:div>
    <w:div w:id="1027753594">
      <w:bodyDiv w:val="1"/>
      <w:marLeft w:val="0"/>
      <w:marRight w:val="0"/>
      <w:marTop w:val="0"/>
      <w:marBottom w:val="0"/>
      <w:divBdr>
        <w:top w:val="none" w:sz="0" w:space="0" w:color="auto"/>
        <w:left w:val="none" w:sz="0" w:space="0" w:color="auto"/>
        <w:bottom w:val="none" w:sz="0" w:space="0" w:color="auto"/>
        <w:right w:val="none" w:sz="0" w:space="0" w:color="auto"/>
      </w:divBdr>
    </w:div>
    <w:div w:id="1033458359">
      <w:bodyDiv w:val="1"/>
      <w:marLeft w:val="0"/>
      <w:marRight w:val="0"/>
      <w:marTop w:val="0"/>
      <w:marBottom w:val="0"/>
      <w:divBdr>
        <w:top w:val="none" w:sz="0" w:space="0" w:color="auto"/>
        <w:left w:val="none" w:sz="0" w:space="0" w:color="auto"/>
        <w:bottom w:val="none" w:sz="0" w:space="0" w:color="auto"/>
        <w:right w:val="none" w:sz="0" w:space="0" w:color="auto"/>
      </w:divBdr>
    </w:div>
    <w:div w:id="1062866431">
      <w:bodyDiv w:val="1"/>
      <w:marLeft w:val="0"/>
      <w:marRight w:val="0"/>
      <w:marTop w:val="0"/>
      <w:marBottom w:val="0"/>
      <w:divBdr>
        <w:top w:val="none" w:sz="0" w:space="0" w:color="auto"/>
        <w:left w:val="none" w:sz="0" w:space="0" w:color="auto"/>
        <w:bottom w:val="none" w:sz="0" w:space="0" w:color="auto"/>
        <w:right w:val="none" w:sz="0" w:space="0" w:color="auto"/>
      </w:divBdr>
    </w:div>
    <w:div w:id="1073242006">
      <w:bodyDiv w:val="1"/>
      <w:marLeft w:val="0"/>
      <w:marRight w:val="0"/>
      <w:marTop w:val="0"/>
      <w:marBottom w:val="0"/>
      <w:divBdr>
        <w:top w:val="none" w:sz="0" w:space="0" w:color="auto"/>
        <w:left w:val="none" w:sz="0" w:space="0" w:color="auto"/>
        <w:bottom w:val="none" w:sz="0" w:space="0" w:color="auto"/>
        <w:right w:val="none" w:sz="0" w:space="0" w:color="auto"/>
      </w:divBdr>
    </w:div>
    <w:div w:id="1169557826">
      <w:bodyDiv w:val="1"/>
      <w:marLeft w:val="0"/>
      <w:marRight w:val="0"/>
      <w:marTop w:val="0"/>
      <w:marBottom w:val="0"/>
      <w:divBdr>
        <w:top w:val="none" w:sz="0" w:space="0" w:color="auto"/>
        <w:left w:val="none" w:sz="0" w:space="0" w:color="auto"/>
        <w:bottom w:val="none" w:sz="0" w:space="0" w:color="auto"/>
        <w:right w:val="none" w:sz="0" w:space="0" w:color="auto"/>
      </w:divBdr>
    </w:div>
    <w:div w:id="1225948947">
      <w:bodyDiv w:val="1"/>
      <w:marLeft w:val="0"/>
      <w:marRight w:val="0"/>
      <w:marTop w:val="0"/>
      <w:marBottom w:val="0"/>
      <w:divBdr>
        <w:top w:val="none" w:sz="0" w:space="0" w:color="auto"/>
        <w:left w:val="none" w:sz="0" w:space="0" w:color="auto"/>
        <w:bottom w:val="none" w:sz="0" w:space="0" w:color="auto"/>
        <w:right w:val="none" w:sz="0" w:space="0" w:color="auto"/>
      </w:divBdr>
    </w:div>
    <w:div w:id="1250311466">
      <w:bodyDiv w:val="1"/>
      <w:marLeft w:val="0"/>
      <w:marRight w:val="0"/>
      <w:marTop w:val="0"/>
      <w:marBottom w:val="0"/>
      <w:divBdr>
        <w:top w:val="none" w:sz="0" w:space="0" w:color="auto"/>
        <w:left w:val="none" w:sz="0" w:space="0" w:color="auto"/>
        <w:bottom w:val="none" w:sz="0" w:space="0" w:color="auto"/>
        <w:right w:val="none" w:sz="0" w:space="0" w:color="auto"/>
      </w:divBdr>
    </w:div>
    <w:div w:id="1268275492">
      <w:bodyDiv w:val="1"/>
      <w:marLeft w:val="0"/>
      <w:marRight w:val="0"/>
      <w:marTop w:val="0"/>
      <w:marBottom w:val="0"/>
      <w:divBdr>
        <w:top w:val="none" w:sz="0" w:space="0" w:color="auto"/>
        <w:left w:val="none" w:sz="0" w:space="0" w:color="auto"/>
        <w:bottom w:val="none" w:sz="0" w:space="0" w:color="auto"/>
        <w:right w:val="none" w:sz="0" w:space="0" w:color="auto"/>
      </w:divBdr>
    </w:div>
    <w:div w:id="1270627479">
      <w:bodyDiv w:val="1"/>
      <w:marLeft w:val="0"/>
      <w:marRight w:val="0"/>
      <w:marTop w:val="0"/>
      <w:marBottom w:val="0"/>
      <w:divBdr>
        <w:top w:val="none" w:sz="0" w:space="0" w:color="auto"/>
        <w:left w:val="none" w:sz="0" w:space="0" w:color="auto"/>
        <w:bottom w:val="none" w:sz="0" w:space="0" w:color="auto"/>
        <w:right w:val="none" w:sz="0" w:space="0" w:color="auto"/>
      </w:divBdr>
    </w:div>
    <w:div w:id="1284338528">
      <w:bodyDiv w:val="1"/>
      <w:marLeft w:val="0"/>
      <w:marRight w:val="0"/>
      <w:marTop w:val="0"/>
      <w:marBottom w:val="0"/>
      <w:divBdr>
        <w:top w:val="none" w:sz="0" w:space="0" w:color="auto"/>
        <w:left w:val="none" w:sz="0" w:space="0" w:color="auto"/>
        <w:bottom w:val="none" w:sz="0" w:space="0" w:color="auto"/>
        <w:right w:val="none" w:sz="0" w:space="0" w:color="auto"/>
      </w:divBdr>
    </w:div>
    <w:div w:id="1285118155">
      <w:bodyDiv w:val="1"/>
      <w:marLeft w:val="0"/>
      <w:marRight w:val="0"/>
      <w:marTop w:val="0"/>
      <w:marBottom w:val="0"/>
      <w:divBdr>
        <w:top w:val="none" w:sz="0" w:space="0" w:color="auto"/>
        <w:left w:val="none" w:sz="0" w:space="0" w:color="auto"/>
        <w:bottom w:val="none" w:sz="0" w:space="0" w:color="auto"/>
        <w:right w:val="none" w:sz="0" w:space="0" w:color="auto"/>
      </w:divBdr>
    </w:div>
    <w:div w:id="1314329174">
      <w:bodyDiv w:val="1"/>
      <w:marLeft w:val="0"/>
      <w:marRight w:val="0"/>
      <w:marTop w:val="0"/>
      <w:marBottom w:val="0"/>
      <w:divBdr>
        <w:top w:val="none" w:sz="0" w:space="0" w:color="auto"/>
        <w:left w:val="none" w:sz="0" w:space="0" w:color="auto"/>
        <w:bottom w:val="none" w:sz="0" w:space="0" w:color="auto"/>
        <w:right w:val="none" w:sz="0" w:space="0" w:color="auto"/>
      </w:divBdr>
    </w:div>
    <w:div w:id="1324623131">
      <w:bodyDiv w:val="1"/>
      <w:marLeft w:val="0"/>
      <w:marRight w:val="0"/>
      <w:marTop w:val="0"/>
      <w:marBottom w:val="0"/>
      <w:divBdr>
        <w:top w:val="none" w:sz="0" w:space="0" w:color="auto"/>
        <w:left w:val="none" w:sz="0" w:space="0" w:color="auto"/>
        <w:bottom w:val="none" w:sz="0" w:space="0" w:color="auto"/>
        <w:right w:val="none" w:sz="0" w:space="0" w:color="auto"/>
      </w:divBdr>
    </w:div>
    <w:div w:id="1332678998">
      <w:bodyDiv w:val="1"/>
      <w:marLeft w:val="0"/>
      <w:marRight w:val="0"/>
      <w:marTop w:val="0"/>
      <w:marBottom w:val="0"/>
      <w:divBdr>
        <w:top w:val="none" w:sz="0" w:space="0" w:color="auto"/>
        <w:left w:val="none" w:sz="0" w:space="0" w:color="auto"/>
        <w:bottom w:val="none" w:sz="0" w:space="0" w:color="auto"/>
        <w:right w:val="none" w:sz="0" w:space="0" w:color="auto"/>
      </w:divBdr>
    </w:div>
    <w:div w:id="1341809922">
      <w:bodyDiv w:val="1"/>
      <w:marLeft w:val="0"/>
      <w:marRight w:val="0"/>
      <w:marTop w:val="0"/>
      <w:marBottom w:val="0"/>
      <w:divBdr>
        <w:top w:val="none" w:sz="0" w:space="0" w:color="auto"/>
        <w:left w:val="none" w:sz="0" w:space="0" w:color="auto"/>
        <w:bottom w:val="none" w:sz="0" w:space="0" w:color="auto"/>
        <w:right w:val="none" w:sz="0" w:space="0" w:color="auto"/>
      </w:divBdr>
    </w:div>
    <w:div w:id="1346321076">
      <w:bodyDiv w:val="1"/>
      <w:marLeft w:val="0"/>
      <w:marRight w:val="0"/>
      <w:marTop w:val="0"/>
      <w:marBottom w:val="0"/>
      <w:divBdr>
        <w:top w:val="none" w:sz="0" w:space="0" w:color="auto"/>
        <w:left w:val="none" w:sz="0" w:space="0" w:color="auto"/>
        <w:bottom w:val="none" w:sz="0" w:space="0" w:color="auto"/>
        <w:right w:val="none" w:sz="0" w:space="0" w:color="auto"/>
      </w:divBdr>
    </w:div>
    <w:div w:id="1395203214">
      <w:bodyDiv w:val="1"/>
      <w:marLeft w:val="0"/>
      <w:marRight w:val="0"/>
      <w:marTop w:val="0"/>
      <w:marBottom w:val="0"/>
      <w:divBdr>
        <w:top w:val="none" w:sz="0" w:space="0" w:color="auto"/>
        <w:left w:val="none" w:sz="0" w:space="0" w:color="auto"/>
        <w:bottom w:val="none" w:sz="0" w:space="0" w:color="auto"/>
        <w:right w:val="none" w:sz="0" w:space="0" w:color="auto"/>
      </w:divBdr>
    </w:div>
    <w:div w:id="1452286153">
      <w:bodyDiv w:val="1"/>
      <w:marLeft w:val="0"/>
      <w:marRight w:val="0"/>
      <w:marTop w:val="0"/>
      <w:marBottom w:val="0"/>
      <w:divBdr>
        <w:top w:val="none" w:sz="0" w:space="0" w:color="auto"/>
        <w:left w:val="none" w:sz="0" w:space="0" w:color="auto"/>
        <w:bottom w:val="none" w:sz="0" w:space="0" w:color="auto"/>
        <w:right w:val="none" w:sz="0" w:space="0" w:color="auto"/>
      </w:divBdr>
    </w:div>
    <w:div w:id="1475635793">
      <w:bodyDiv w:val="1"/>
      <w:marLeft w:val="0"/>
      <w:marRight w:val="0"/>
      <w:marTop w:val="0"/>
      <w:marBottom w:val="0"/>
      <w:divBdr>
        <w:top w:val="none" w:sz="0" w:space="0" w:color="auto"/>
        <w:left w:val="none" w:sz="0" w:space="0" w:color="auto"/>
        <w:bottom w:val="none" w:sz="0" w:space="0" w:color="auto"/>
        <w:right w:val="none" w:sz="0" w:space="0" w:color="auto"/>
      </w:divBdr>
    </w:div>
    <w:div w:id="1486897932">
      <w:bodyDiv w:val="1"/>
      <w:marLeft w:val="0"/>
      <w:marRight w:val="0"/>
      <w:marTop w:val="0"/>
      <w:marBottom w:val="0"/>
      <w:divBdr>
        <w:top w:val="none" w:sz="0" w:space="0" w:color="auto"/>
        <w:left w:val="none" w:sz="0" w:space="0" w:color="auto"/>
        <w:bottom w:val="none" w:sz="0" w:space="0" w:color="auto"/>
        <w:right w:val="none" w:sz="0" w:space="0" w:color="auto"/>
      </w:divBdr>
    </w:div>
    <w:div w:id="1501193027">
      <w:bodyDiv w:val="1"/>
      <w:marLeft w:val="0"/>
      <w:marRight w:val="0"/>
      <w:marTop w:val="0"/>
      <w:marBottom w:val="0"/>
      <w:divBdr>
        <w:top w:val="none" w:sz="0" w:space="0" w:color="auto"/>
        <w:left w:val="none" w:sz="0" w:space="0" w:color="auto"/>
        <w:bottom w:val="none" w:sz="0" w:space="0" w:color="auto"/>
        <w:right w:val="none" w:sz="0" w:space="0" w:color="auto"/>
      </w:divBdr>
    </w:div>
    <w:div w:id="1533110330">
      <w:bodyDiv w:val="1"/>
      <w:marLeft w:val="0"/>
      <w:marRight w:val="0"/>
      <w:marTop w:val="0"/>
      <w:marBottom w:val="0"/>
      <w:divBdr>
        <w:top w:val="none" w:sz="0" w:space="0" w:color="auto"/>
        <w:left w:val="none" w:sz="0" w:space="0" w:color="auto"/>
        <w:bottom w:val="none" w:sz="0" w:space="0" w:color="auto"/>
        <w:right w:val="none" w:sz="0" w:space="0" w:color="auto"/>
      </w:divBdr>
    </w:div>
    <w:div w:id="1566181318">
      <w:bodyDiv w:val="1"/>
      <w:marLeft w:val="0"/>
      <w:marRight w:val="0"/>
      <w:marTop w:val="0"/>
      <w:marBottom w:val="0"/>
      <w:divBdr>
        <w:top w:val="none" w:sz="0" w:space="0" w:color="auto"/>
        <w:left w:val="none" w:sz="0" w:space="0" w:color="auto"/>
        <w:bottom w:val="none" w:sz="0" w:space="0" w:color="auto"/>
        <w:right w:val="none" w:sz="0" w:space="0" w:color="auto"/>
      </w:divBdr>
    </w:div>
    <w:div w:id="1584073743">
      <w:bodyDiv w:val="1"/>
      <w:marLeft w:val="0"/>
      <w:marRight w:val="0"/>
      <w:marTop w:val="0"/>
      <w:marBottom w:val="0"/>
      <w:divBdr>
        <w:top w:val="none" w:sz="0" w:space="0" w:color="auto"/>
        <w:left w:val="none" w:sz="0" w:space="0" w:color="auto"/>
        <w:bottom w:val="none" w:sz="0" w:space="0" w:color="auto"/>
        <w:right w:val="none" w:sz="0" w:space="0" w:color="auto"/>
      </w:divBdr>
    </w:div>
    <w:div w:id="1667125249">
      <w:bodyDiv w:val="1"/>
      <w:marLeft w:val="0"/>
      <w:marRight w:val="0"/>
      <w:marTop w:val="0"/>
      <w:marBottom w:val="0"/>
      <w:divBdr>
        <w:top w:val="none" w:sz="0" w:space="0" w:color="auto"/>
        <w:left w:val="none" w:sz="0" w:space="0" w:color="auto"/>
        <w:bottom w:val="none" w:sz="0" w:space="0" w:color="auto"/>
        <w:right w:val="none" w:sz="0" w:space="0" w:color="auto"/>
      </w:divBdr>
    </w:div>
    <w:div w:id="1686862035">
      <w:bodyDiv w:val="1"/>
      <w:marLeft w:val="0"/>
      <w:marRight w:val="0"/>
      <w:marTop w:val="0"/>
      <w:marBottom w:val="0"/>
      <w:divBdr>
        <w:top w:val="none" w:sz="0" w:space="0" w:color="auto"/>
        <w:left w:val="none" w:sz="0" w:space="0" w:color="auto"/>
        <w:bottom w:val="none" w:sz="0" w:space="0" w:color="auto"/>
        <w:right w:val="none" w:sz="0" w:space="0" w:color="auto"/>
      </w:divBdr>
    </w:div>
    <w:div w:id="1695764455">
      <w:bodyDiv w:val="1"/>
      <w:marLeft w:val="0"/>
      <w:marRight w:val="0"/>
      <w:marTop w:val="0"/>
      <w:marBottom w:val="0"/>
      <w:divBdr>
        <w:top w:val="none" w:sz="0" w:space="0" w:color="auto"/>
        <w:left w:val="none" w:sz="0" w:space="0" w:color="auto"/>
        <w:bottom w:val="none" w:sz="0" w:space="0" w:color="auto"/>
        <w:right w:val="none" w:sz="0" w:space="0" w:color="auto"/>
      </w:divBdr>
    </w:div>
    <w:div w:id="1733694388">
      <w:bodyDiv w:val="1"/>
      <w:marLeft w:val="0"/>
      <w:marRight w:val="0"/>
      <w:marTop w:val="0"/>
      <w:marBottom w:val="0"/>
      <w:divBdr>
        <w:top w:val="none" w:sz="0" w:space="0" w:color="auto"/>
        <w:left w:val="none" w:sz="0" w:space="0" w:color="auto"/>
        <w:bottom w:val="none" w:sz="0" w:space="0" w:color="auto"/>
        <w:right w:val="none" w:sz="0" w:space="0" w:color="auto"/>
      </w:divBdr>
    </w:div>
    <w:div w:id="1766269296">
      <w:bodyDiv w:val="1"/>
      <w:marLeft w:val="0"/>
      <w:marRight w:val="0"/>
      <w:marTop w:val="0"/>
      <w:marBottom w:val="0"/>
      <w:divBdr>
        <w:top w:val="none" w:sz="0" w:space="0" w:color="auto"/>
        <w:left w:val="none" w:sz="0" w:space="0" w:color="auto"/>
        <w:bottom w:val="none" w:sz="0" w:space="0" w:color="auto"/>
        <w:right w:val="none" w:sz="0" w:space="0" w:color="auto"/>
      </w:divBdr>
    </w:div>
    <w:div w:id="1788624074">
      <w:bodyDiv w:val="1"/>
      <w:marLeft w:val="0"/>
      <w:marRight w:val="0"/>
      <w:marTop w:val="0"/>
      <w:marBottom w:val="0"/>
      <w:divBdr>
        <w:top w:val="none" w:sz="0" w:space="0" w:color="auto"/>
        <w:left w:val="none" w:sz="0" w:space="0" w:color="auto"/>
        <w:bottom w:val="none" w:sz="0" w:space="0" w:color="auto"/>
        <w:right w:val="none" w:sz="0" w:space="0" w:color="auto"/>
      </w:divBdr>
    </w:div>
    <w:div w:id="1791244802">
      <w:bodyDiv w:val="1"/>
      <w:marLeft w:val="0"/>
      <w:marRight w:val="0"/>
      <w:marTop w:val="0"/>
      <w:marBottom w:val="0"/>
      <w:divBdr>
        <w:top w:val="none" w:sz="0" w:space="0" w:color="auto"/>
        <w:left w:val="none" w:sz="0" w:space="0" w:color="auto"/>
        <w:bottom w:val="none" w:sz="0" w:space="0" w:color="auto"/>
        <w:right w:val="none" w:sz="0" w:space="0" w:color="auto"/>
      </w:divBdr>
    </w:div>
    <w:div w:id="1830293054">
      <w:bodyDiv w:val="1"/>
      <w:marLeft w:val="0"/>
      <w:marRight w:val="0"/>
      <w:marTop w:val="0"/>
      <w:marBottom w:val="0"/>
      <w:divBdr>
        <w:top w:val="none" w:sz="0" w:space="0" w:color="auto"/>
        <w:left w:val="none" w:sz="0" w:space="0" w:color="auto"/>
        <w:bottom w:val="none" w:sz="0" w:space="0" w:color="auto"/>
        <w:right w:val="none" w:sz="0" w:space="0" w:color="auto"/>
      </w:divBdr>
    </w:div>
    <w:div w:id="1850555541">
      <w:bodyDiv w:val="1"/>
      <w:marLeft w:val="0"/>
      <w:marRight w:val="0"/>
      <w:marTop w:val="0"/>
      <w:marBottom w:val="0"/>
      <w:divBdr>
        <w:top w:val="none" w:sz="0" w:space="0" w:color="auto"/>
        <w:left w:val="none" w:sz="0" w:space="0" w:color="auto"/>
        <w:bottom w:val="none" w:sz="0" w:space="0" w:color="auto"/>
        <w:right w:val="none" w:sz="0" w:space="0" w:color="auto"/>
      </w:divBdr>
    </w:div>
    <w:div w:id="1870802735">
      <w:bodyDiv w:val="1"/>
      <w:marLeft w:val="0"/>
      <w:marRight w:val="0"/>
      <w:marTop w:val="0"/>
      <w:marBottom w:val="0"/>
      <w:divBdr>
        <w:top w:val="none" w:sz="0" w:space="0" w:color="auto"/>
        <w:left w:val="none" w:sz="0" w:space="0" w:color="auto"/>
        <w:bottom w:val="none" w:sz="0" w:space="0" w:color="auto"/>
        <w:right w:val="none" w:sz="0" w:space="0" w:color="auto"/>
      </w:divBdr>
    </w:div>
    <w:div w:id="1935089891">
      <w:bodyDiv w:val="1"/>
      <w:marLeft w:val="0"/>
      <w:marRight w:val="0"/>
      <w:marTop w:val="0"/>
      <w:marBottom w:val="0"/>
      <w:divBdr>
        <w:top w:val="none" w:sz="0" w:space="0" w:color="auto"/>
        <w:left w:val="none" w:sz="0" w:space="0" w:color="auto"/>
        <w:bottom w:val="none" w:sz="0" w:space="0" w:color="auto"/>
        <w:right w:val="none" w:sz="0" w:space="0" w:color="auto"/>
      </w:divBdr>
    </w:div>
    <w:div w:id="1965892038">
      <w:bodyDiv w:val="1"/>
      <w:marLeft w:val="0"/>
      <w:marRight w:val="0"/>
      <w:marTop w:val="0"/>
      <w:marBottom w:val="0"/>
      <w:divBdr>
        <w:top w:val="none" w:sz="0" w:space="0" w:color="auto"/>
        <w:left w:val="none" w:sz="0" w:space="0" w:color="auto"/>
        <w:bottom w:val="none" w:sz="0" w:space="0" w:color="auto"/>
        <w:right w:val="none" w:sz="0" w:space="0" w:color="auto"/>
      </w:divBdr>
    </w:div>
    <w:div w:id="1973826332">
      <w:bodyDiv w:val="1"/>
      <w:marLeft w:val="0"/>
      <w:marRight w:val="0"/>
      <w:marTop w:val="0"/>
      <w:marBottom w:val="0"/>
      <w:divBdr>
        <w:top w:val="none" w:sz="0" w:space="0" w:color="auto"/>
        <w:left w:val="none" w:sz="0" w:space="0" w:color="auto"/>
        <w:bottom w:val="none" w:sz="0" w:space="0" w:color="auto"/>
        <w:right w:val="none" w:sz="0" w:space="0" w:color="auto"/>
      </w:divBdr>
    </w:div>
    <w:div w:id="1984508053">
      <w:bodyDiv w:val="1"/>
      <w:marLeft w:val="0"/>
      <w:marRight w:val="0"/>
      <w:marTop w:val="0"/>
      <w:marBottom w:val="0"/>
      <w:divBdr>
        <w:top w:val="none" w:sz="0" w:space="0" w:color="auto"/>
        <w:left w:val="none" w:sz="0" w:space="0" w:color="auto"/>
        <w:bottom w:val="none" w:sz="0" w:space="0" w:color="auto"/>
        <w:right w:val="none" w:sz="0" w:space="0" w:color="auto"/>
      </w:divBdr>
    </w:div>
    <w:div w:id="2022973780">
      <w:bodyDiv w:val="1"/>
      <w:marLeft w:val="0"/>
      <w:marRight w:val="0"/>
      <w:marTop w:val="0"/>
      <w:marBottom w:val="0"/>
      <w:divBdr>
        <w:top w:val="none" w:sz="0" w:space="0" w:color="auto"/>
        <w:left w:val="none" w:sz="0" w:space="0" w:color="auto"/>
        <w:bottom w:val="none" w:sz="0" w:space="0" w:color="auto"/>
        <w:right w:val="none" w:sz="0" w:space="0" w:color="auto"/>
      </w:divBdr>
    </w:div>
    <w:div w:id="2024701578">
      <w:bodyDiv w:val="1"/>
      <w:marLeft w:val="0"/>
      <w:marRight w:val="0"/>
      <w:marTop w:val="0"/>
      <w:marBottom w:val="0"/>
      <w:divBdr>
        <w:top w:val="none" w:sz="0" w:space="0" w:color="auto"/>
        <w:left w:val="none" w:sz="0" w:space="0" w:color="auto"/>
        <w:bottom w:val="none" w:sz="0" w:space="0" w:color="auto"/>
        <w:right w:val="none" w:sz="0" w:space="0" w:color="auto"/>
      </w:divBdr>
    </w:div>
    <w:div w:id="2038581913">
      <w:bodyDiv w:val="1"/>
      <w:marLeft w:val="0"/>
      <w:marRight w:val="0"/>
      <w:marTop w:val="0"/>
      <w:marBottom w:val="0"/>
      <w:divBdr>
        <w:top w:val="none" w:sz="0" w:space="0" w:color="auto"/>
        <w:left w:val="none" w:sz="0" w:space="0" w:color="auto"/>
        <w:bottom w:val="none" w:sz="0" w:space="0" w:color="auto"/>
        <w:right w:val="none" w:sz="0" w:space="0" w:color="auto"/>
      </w:divBdr>
    </w:div>
    <w:div w:id="2054502878">
      <w:bodyDiv w:val="1"/>
      <w:marLeft w:val="0"/>
      <w:marRight w:val="0"/>
      <w:marTop w:val="0"/>
      <w:marBottom w:val="0"/>
      <w:divBdr>
        <w:top w:val="none" w:sz="0" w:space="0" w:color="auto"/>
        <w:left w:val="none" w:sz="0" w:space="0" w:color="auto"/>
        <w:bottom w:val="none" w:sz="0" w:space="0" w:color="auto"/>
        <w:right w:val="none" w:sz="0" w:space="0" w:color="auto"/>
      </w:divBdr>
    </w:div>
    <w:div w:id="2064256542">
      <w:bodyDiv w:val="1"/>
      <w:marLeft w:val="0"/>
      <w:marRight w:val="0"/>
      <w:marTop w:val="0"/>
      <w:marBottom w:val="0"/>
      <w:divBdr>
        <w:top w:val="none" w:sz="0" w:space="0" w:color="auto"/>
        <w:left w:val="none" w:sz="0" w:space="0" w:color="auto"/>
        <w:bottom w:val="none" w:sz="0" w:space="0" w:color="auto"/>
        <w:right w:val="none" w:sz="0" w:space="0" w:color="auto"/>
      </w:divBdr>
    </w:div>
    <w:div w:id="210634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CIVITTA 2019">
      <a:dk1>
        <a:srgbClr val="134753"/>
      </a:dk1>
      <a:lt1>
        <a:srgbClr val="FFFFFF"/>
      </a:lt1>
      <a:dk2>
        <a:srgbClr val="000000"/>
      </a:dk2>
      <a:lt2>
        <a:srgbClr val="C2E8F1"/>
      </a:lt2>
      <a:accent1>
        <a:srgbClr val="3CA1BC"/>
      </a:accent1>
      <a:accent2>
        <a:srgbClr val="48B9D5"/>
      </a:accent2>
      <a:accent3>
        <a:srgbClr val="502523"/>
      </a:accent3>
      <a:accent4>
        <a:srgbClr val="85D1E5"/>
      </a:accent4>
      <a:accent5>
        <a:srgbClr val="ABCD3A"/>
      </a:accent5>
      <a:accent6>
        <a:srgbClr val="588133"/>
      </a:accent6>
      <a:hlink>
        <a:srgbClr val="00ABC0"/>
      </a:hlink>
      <a:folHlink>
        <a:srgbClr val="13475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Ver16</b:Tag>
    <b:SourceType>Report</b:SourceType>
    <b:Guid>{4B59071C-28B7-4B19-A6EC-EE7B03D9914B}</b:Guid>
    <b:Title>Versiunea conslidată a Tratatului privind Uniunea Europeană și a Tratatului privind funcționarea Uniunii Europene</b:Title>
    <b:Year>2016</b:Year>
    <b:Publisher>Comisia Europeană</b:Publisher>
    <b:City>Bruxelles</b:City>
    <b:Author>
      <b:Author>
        <b:NameList>
          <b:Person>
            <b:Last>CE</b:Last>
          </b:Person>
        </b:NameList>
      </b:Author>
    </b:Author>
    <b:RefOrder>1</b:RefOrder>
  </b:Source>
  <b:Source>
    <b:Tag>Com07</b:Tag>
    <b:SourceType>Report</b:SourceType>
    <b:Guid>{5E877261-48A7-40A7-937A-14E29F07AAC7}</b:Guid>
    <b:LCID>ro-RO</b:LCID>
    <b:Author>
      <b:Author>
        <b:Corporate>Comisia Prezidențială</b:Corporate>
      </b:Author>
    </b:Author>
    <b:Title>România educaţiei, România cercetării</b:Title>
    <b:Year>2007</b:Year>
    <b:Publisher>Președinția României</b:Publisher>
    <b:City>București</b:City>
    <b:RefOrder>2</b:RefOrder>
  </b:Source>
  <b:Source>
    <b:Tag>Adm08</b:Tag>
    <b:SourceType>Misc</b:SourceType>
    <b:Guid>{7765525D-F5ED-4677-B6BA-C896998C13F1}</b:Guid>
    <b:Title>Pactul Național pentru Educație</b:Title>
    <b:Year>2008</b:Year>
    <b:Publisher>Administrația Prezidențială</b:Publisher>
    <b:City>București</b:City>
    <b:RefOrder>3</b:RefOrder>
  </b:Source>
  <b:Source>
    <b:Tag>Adm081</b:Tag>
    <b:SourceType>Report</b:SourceType>
    <b:Guid>{D320E563-96DE-4B5A-92A1-5C6761DFD585}</b:Guid>
    <b:Author>
      <b:Author>
        <b:Corporate>Administrația Prezidențială</b:Corporate>
      </b:Author>
    </b:Author>
    <b:Title>Strategia Educație și cercetare pentru societatea cunoașterii</b:Title>
    <b:Year>2008</b:Year>
    <b:City>București</b:City>
    <b:Publisher>Administrația Prezidențială</b:Publisher>
    <b:RefOrder>4</b:RefOrder>
  </b:Source>
  <b:Source>
    <b:Tag>Adm18</b:Tag>
    <b:SourceType>Book</b:SourceType>
    <b:Guid>{AD29E89B-584F-44C0-A075-6096B4A6FC5A}</b:Guid>
    <b:Author>
      <b:Author>
        <b:Corporate>Administrația Prezidențială</b:Corporate>
      </b:Author>
    </b:Author>
    <b:Title>România Educată - Viziune și Strategie 2018-2030</b:Title>
    <b:Year>2018</b:Year>
    <b:City>București</b:City>
    <b:RefOrder>5</b:RefOrder>
  </b:Source>
  <b:Source>
    <b:Tag>MEC19</b:Tag>
    <b:SourceType>Report</b:SourceType>
    <b:Guid>{A6169159-19A3-4154-8384-3169E293412A}</b:Guid>
    <b:Title>Raport privind starea învățământului preuniversitar din România 2018-2019</b:Title>
    <b:Year>2019</b:Year>
    <b:City>București</b:City>
    <b:Publisher>Ministerul Educației și Cercetării</b:Publisher>
    <b:Author>
      <b:Author>
        <b:Corporate>MEC</b:Corporate>
      </b:Author>
    </b:Author>
    <b:RefOrder>6</b:RefOrder>
  </b:Source>
  <b:Source>
    <b:Tag>MEN18</b:Tag>
    <b:SourceType>Report</b:SourceType>
    <b:Guid>{BDFB7013-BB66-465B-AD7F-25BBEDC2FD6C}</b:Guid>
    <b:Author>
      <b:Author>
        <b:Corporate>MEN</b:Corporate>
      </b:Author>
    </b:Author>
    <b:Title>Raport privind starea învățământului preuniversitar din România 2017-2018</b:Title>
    <b:Year>2018</b:Year>
    <b:Publisher>Ministerul Educației Naționale</b:Publisher>
    <b:City>București</b:City>
    <b:RefOrder>7</b:RefOrder>
  </b:Source>
  <b:Source>
    <b:Tag>Vas20</b:Tag>
    <b:SourceType>Report</b:SourceType>
    <b:Guid>{5836C727-49A7-4E3B-AB4D-0EFA891B7B64}</b:Guid>
    <b:Author>
      <b:Author>
        <b:NameList>
          <b:Person>
            <b:Last>Vasile</b:Last>
            <b:First>Mihai</b:First>
          </b:Person>
          <b:Person>
            <b:Last>Muscă</b:Last>
            <b:First>Mădălina</b:First>
          </b:Person>
          <b:Person>
            <b:Last>Angi</b:Last>
            <b:First>Daniela</b:First>
          </b:Person>
          <b:Person>
            <b:Last>Bădescu</b:Last>
            <b:First>Gabriel</b:First>
          </b:Person>
          <b:Person>
            <b:Last>Florian</b:Last>
            <b:First>Bogdan</b:First>
          </b:Person>
          <b:Person>
            <b:Last>Țoc</b:Last>
            <b:First>Sebastian</b:First>
          </b:Person>
        </b:NameList>
      </b:Author>
    </b:Author>
    <b:Title>Ce ne spun noile rezultate PISA despre inegalitățile educaționale din România?</b:Title>
    <b:Year>2020</b:Year>
    <b:Publisher>Institutul pentru Solidaritate Socială</b:Publisher>
    <b:City>București</b:City>
    <b:RefOrder>8</b:RefOrder>
  </b:Source>
  <b:Source>
    <b:Tag>MEN181</b:Tag>
    <b:SourceType>Report</b:SourceType>
    <b:Guid>{B3C2BF1A-8D6B-401C-A3A1-BC5C3676F25D}</b:Guid>
    <b:Author>
      <b:Author>
        <b:Corporate>MEN</b:Corporate>
      </b:Author>
    </b:Author>
    <b:Title>Raport privind starea învățământului superior din România 2017-2018</b:Title>
    <b:Year>2018</b:Year>
    <b:Publisher>Ministerul Educației Naționale</b:Publisher>
    <b:City>București</b:City>
    <b:RefOrder>10</b:RefOrder>
  </b:Source>
  <b:Source>
    <b:Tag>ISJ18</b:Tag>
    <b:SourceType>Report</b:SourceType>
    <b:Guid>{46A889E0-7AED-4DD7-9693-5BE5378EB3D8}</b:Guid>
    <b:Author>
      <b:Author>
        <b:Corporate>ISJ Tulcea</b:Corporate>
      </b:Author>
    </b:Author>
    <b:Title>Raportul privind starea învățământului tulcean în anul școlar 2017-2018</b:Title>
    <b:Year>2018</b:Year>
    <b:Publisher>Inspectoratul Școlar Județean Tulcea</b:Publisher>
    <b:City>Tulcea</b:City>
    <b:RefOrder>12</b:RefOrder>
  </b:Source>
  <b:Source>
    <b:Tag>FRA18</b:Tag>
    <b:SourceType>Report</b:SourceType>
    <b:Guid>{6A464374-1758-431F-9A01-9775EAEA520E}</b:Guid>
    <b:Author>
      <b:Author>
        <b:Corporate>FRA</b:Corporate>
      </b:Author>
    </b:Author>
    <b:Title> Second European Union Minorities and Discrimination Survey. Roma -Selected findings. European Union Agency for Fundamental Rights</b:Title>
    <b:Year>2018</b:Year>
    <b:Publisher>European Union Agency for Fundamental Rights</b:Publisher>
    <b:City>Luxemburg</b:City>
    <b:RefOrder>9</b:RefOrder>
  </b:Source>
  <b:Source>
    <b:Tag>Dav19</b:Tag>
    <b:SourceType>JournalArticle</b:SourceType>
    <b:Guid>{BB28034C-69CD-461B-8571-4B1C1447EEFE}</b:Guid>
    <b:Title>Metarankingul Universitar-2019</b:Title>
    <b:Year>2019</b:Year>
    <b:Author>
      <b:Author>
        <b:NameList>
          <b:Person>
            <b:Last>David</b:Last>
            <b:First>Daniel</b:First>
          </b:Person>
          <b:Person>
            <b:Last>Andronesi</b:Last>
            <b:First>Ovidiu</b:First>
          </b:Person>
          <b:Person>
            <b:Last>Banabic</b:Last>
            <b:First>Dorel</b:First>
          </b:Person>
          <b:Person>
            <b:Last>Buzea</b:Last>
            <b:First>Carmen</b:First>
          </b:Person>
          <b:Person>
            <b:Last>Florian</b:Last>
            <b:First>Bogdan</b:First>
          </b:Person>
          <b:Person>
            <b:Last>Matu</b:Last>
            <b:First>Silviu</b:First>
          </b:Person>
          <b:Person>
            <b:Last>Miroiu</b:Last>
            <b:First>Adrian</b:First>
          </b:Person>
          <b:Person>
            <b:Last>Vlăsceanu</b:Last>
            <b:First>Lazăr</b:First>
          </b:Person>
        </b:NameList>
      </b:Author>
    </b:Author>
    <b:RefOrder>11</b:RefOrder>
  </b:Source>
</b:Sources>
</file>

<file path=customXml/itemProps1.xml><?xml version="1.0" encoding="utf-8"?>
<ds:datastoreItem xmlns:ds="http://schemas.openxmlformats.org/officeDocument/2006/customXml" ds:itemID="{14B22511-FBD1-49D4-907C-6CAA5F873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Vasile</dc:creator>
  <cp:keywords/>
  <dc:description/>
  <cp:lastModifiedBy>Alina Ionescu</cp:lastModifiedBy>
  <cp:revision>12</cp:revision>
  <dcterms:created xsi:type="dcterms:W3CDTF">2021-03-09T12:03:00Z</dcterms:created>
  <dcterms:modified xsi:type="dcterms:W3CDTF">2021-04-13T13:59:00Z</dcterms:modified>
</cp:coreProperties>
</file>