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674F" w14:textId="19D8187C" w:rsidR="007D4138" w:rsidRPr="00354149" w:rsidRDefault="007D4138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Metadate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TE2&amp;4</w:t>
      </w:r>
    </w:p>
    <w:p w14:paraId="69435C80" w14:textId="6B260B0A" w:rsidR="00FB0AC2" w:rsidRPr="00354149" w:rsidRDefault="00FB0AC2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FPC102A -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Participanti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la cursurile de formare profesionala continua, pe sexe si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activitati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economiei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nationale</w:t>
      </w:r>
      <w:proofErr w:type="spellEnd"/>
    </w:p>
    <w:tbl>
      <w:tblPr>
        <w:tblStyle w:val="Tabelgril4-Accentuare1"/>
        <w:tblW w:w="9830" w:type="dxa"/>
        <w:tblLook w:val="04A0" w:firstRow="1" w:lastRow="0" w:firstColumn="1" w:lastColumn="0" w:noHBand="0" w:noVBand="1"/>
      </w:tblPr>
      <w:tblGrid>
        <w:gridCol w:w="1382"/>
        <w:gridCol w:w="8448"/>
      </w:tblGrid>
      <w:tr w:rsidR="00F53639" w:rsidRPr="00354149" w14:paraId="55660FD8" w14:textId="77777777" w:rsidTr="00F53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08246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Definitie</w:t>
            </w:r>
            <w:proofErr w:type="spellEnd"/>
          </w:p>
        </w:tc>
        <w:tc>
          <w:tcPr>
            <w:tcW w:w="0" w:type="auto"/>
            <w:hideMark/>
          </w:tcPr>
          <w:p w14:paraId="3DD2A739" w14:textId="77777777" w:rsidR="00FB0AC2" w:rsidRPr="00354149" w:rsidRDefault="00FB0AC2" w:rsidP="0035414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Participantul la cursuri formare profesionala continua (FPC) este acea persoana, angajata in unitatea respondenta, care in cursul anului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a luat parte la unul sau mai multe cursuri de formare profesionala continua (interne si/sau externe). Cursurile de formare profesionala continua (FPC) sunt evenimente organizate si coordonate de o unitate, concepute exclusiv cu scopul de a oferi instruire sau formare profesionala unui grup de persoane, in alta parte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decat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locul de munca (cum ar fi: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intr-o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sala de curs, in incinta unui centru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), instruirea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realizandu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-se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catre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personal calificat (profesori, lectori,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specialisti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etc.) pentru o perioada de timp bine stabilita si planificata in avans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catre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organizatorii cursului. 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functie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unitatea care este organizatoare si coordonatoare, se disting doua tipuri de cursuri: - Cursuri interne sunt organizate si coordonate de unitatea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insasi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chiar daca locul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desfasurare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al cursurilor este situat in afara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(de exemplu: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intr-o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sala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conferinte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 unui hotel, a unei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universitati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a altei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inauntrul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sau in afara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localitatii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respective sau pe teritoriul altei tari etc.). - Cursuri externe sunt organizate si coordonate de o alta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organizatie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sau unitate, total separata de unitatea intervievata, chiar daca locul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desfasurare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al cursurilor este situat in incinta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unitatii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respondente sau a centrului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pe care aceasta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detine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. </w:t>
            </w:r>
          </w:p>
        </w:tc>
      </w:tr>
      <w:tr w:rsidR="00FB0AC2" w:rsidRPr="00354149" w14:paraId="2AE62A26" w14:textId="77777777" w:rsidTr="00F5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ABF04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Periodicitate</w:t>
            </w:r>
          </w:p>
        </w:tc>
        <w:tc>
          <w:tcPr>
            <w:tcW w:w="0" w:type="auto"/>
            <w:hideMark/>
          </w:tcPr>
          <w:p w14:paraId="4AFEC55C" w14:textId="77777777" w:rsidR="00FB0AC2" w:rsidRPr="00354149" w:rsidRDefault="00FB0AC2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Cincinal</w:t>
            </w:r>
          </w:p>
        </w:tc>
      </w:tr>
      <w:tr w:rsidR="00FB0AC2" w:rsidRPr="00354149" w14:paraId="7F7B4D88" w14:textId="77777777" w:rsidTr="00F5363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EBB178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Surse de date</w:t>
            </w:r>
          </w:p>
        </w:tc>
        <w:tc>
          <w:tcPr>
            <w:tcW w:w="0" w:type="auto"/>
            <w:hideMark/>
          </w:tcPr>
          <w:p w14:paraId="1F04353E" w14:textId="0CFC4698" w:rsidR="00FB0AC2" w:rsidRPr="00354149" w:rsidRDefault="00FB0AC2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formarii profesionale in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(FORPRO) </w:t>
            </w:r>
          </w:p>
        </w:tc>
      </w:tr>
      <w:tr w:rsidR="00FB0AC2" w:rsidRPr="00354149" w14:paraId="09A23DF1" w14:textId="77777777" w:rsidTr="00F5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5A5B95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Ultima actualizare</w:t>
            </w:r>
          </w:p>
        </w:tc>
        <w:tc>
          <w:tcPr>
            <w:tcW w:w="0" w:type="auto"/>
            <w:hideMark/>
          </w:tcPr>
          <w:p w14:paraId="7D7842A9" w14:textId="77777777" w:rsidR="00FB0AC2" w:rsidRPr="00354149" w:rsidRDefault="00FB0AC2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30-10-2017</w:t>
            </w:r>
          </w:p>
        </w:tc>
      </w:tr>
      <w:tr w:rsidR="00FB0AC2" w:rsidRPr="00354149" w14:paraId="1F52A0FE" w14:textId="77777777" w:rsidTr="00F5363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2EF36F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Observatii</w:t>
            </w:r>
            <w:proofErr w:type="spellEnd"/>
          </w:p>
        </w:tc>
        <w:tc>
          <w:tcPr>
            <w:tcW w:w="0" w:type="auto"/>
            <w:hideMark/>
          </w:tcPr>
          <w:p w14:paraId="143DBB99" w14:textId="77777777" w:rsidR="00FB0AC2" w:rsidRPr="00354149" w:rsidRDefault="00FB0AC2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Caracteristici ale formarii profesionale continue in Romania s-a realizat pentru prima data in anul 1999.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Urmatoarele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runde ale anchetei au avut ca perioade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anii 2005, 2010, 2015.</w:t>
            </w:r>
          </w:p>
        </w:tc>
      </w:tr>
    </w:tbl>
    <w:p w14:paraId="130143A6" w14:textId="59242B51" w:rsidR="00FD38E4" w:rsidRPr="00354149" w:rsidRDefault="00354149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0A052F4D" w14:textId="77777777" w:rsidR="00FB0AC2" w:rsidRPr="00354149" w:rsidRDefault="00FB0AC2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FPC102B -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Participanti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la cursurile de formare profesionala continua, pe sexe si clase de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marime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intreprinderilor</w:t>
      </w:r>
      <w:proofErr w:type="spellEnd"/>
    </w:p>
    <w:tbl>
      <w:tblPr>
        <w:tblStyle w:val="Tabelgril4-Accentuare1"/>
        <w:tblW w:w="9834" w:type="dxa"/>
        <w:tblLook w:val="04A0" w:firstRow="1" w:lastRow="0" w:firstColumn="1" w:lastColumn="0" w:noHBand="0" w:noVBand="1"/>
      </w:tblPr>
      <w:tblGrid>
        <w:gridCol w:w="1382"/>
        <w:gridCol w:w="8452"/>
      </w:tblGrid>
      <w:tr w:rsidR="00354149" w:rsidRPr="00354149" w14:paraId="615585B0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F45D1E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Definitie</w:t>
            </w:r>
            <w:proofErr w:type="spellEnd"/>
          </w:p>
        </w:tc>
        <w:tc>
          <w:tcPr>
            <w:tcW w:w="0" w:type="auto"/>
            <w:hideMark/>
          </w:tcPr>
          <w:p w14:paraId="50A4E798" w14:textId="77777777" w:rsidR="00FB0AC2" w:rsidRPr="00354149" w:rsidRDefault="00FB0AC2" w:rsidP="0035414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Participantul la cursuri formare profesionala continua (FPC) este acea persoana, angajata in unitatea respondenta, care in cursul anului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a luat parte la unul sau mai multe cursuri de formare profesionala continua (interne si/sau externe). Cursurile de formare profesionala continua (FPC) sunt evenimente organizate si coordonate de o unitate, concepute exclusiv cu scopul de a oferi instruire sau formare profesionala unui grup de persoane, in alta parte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decat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locul de munca (cum ar fi: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intr-o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sala de curs, in incinta unui centru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), instruirea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realizandu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-se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catre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personal calificat (profesori, lectori,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specialisti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etc.) pentru o perioada de timp bine stabilita si planificata in avans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catre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organizatorii cursului. 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functie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unitatea care este organizatoare si coordonatoare, se disting doua tipuri de cursuri: - Cursuri interne sunt organizate si coordonate de unitatea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insasi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chiar daca locul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desfasurare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al cursurilor este situat in afara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(de exemplu: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intr-o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sala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conferinte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 unui hotel, a unei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universitati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a altei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inauntrul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sau in afara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localitatii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respective sau pe teritoriul altei tari etc.). - Cursuri externe sunt organizate si coordonate de o alta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organizatie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sau unitate, total separata de unitatea intervievata, chiar daca locul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desfasurare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al cursurilor este situat in incinta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unitatii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respondente sau a centrului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pe care aceasta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detine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. </w:t>
            </w:r>
          </w:p>
        </w:tc>
      </w:tr>
      <w:tr w:rsidR="00FB0AC2" w:rsidRPr="00354149" w14:paraId="1E4B0EA9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F6981E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Periodicitate</w:t>
            </w:r>
          </w:p>
        </w:tc>
        <w:tc>
          <w:tcPr>
            <w:tcW w:w="0" w:type="auto"/>
            <w:hideMark/>
          </w:tcPr>
          <w:p w14:paraId="17366EF3" w14:textId="77777777" w:rsidR="00FB0AC2" w:rsidRPr="00354149" w:rsidRDefault="00FB0AC2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Cincinal</w:t>
            </w:r>
          </w:p>
        </w:tc>
      </w:tr>
      <w:tr w:rsidR="00FB0AC2" w:rsidRPr="00354149" w14:paraId="08E11896" w14:textId="77777777" w:rsidTr="0035414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E2D94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Surse de date</w:t>
            </w:r>
          </w:p>
        </w:tc>
        <w:tc>
          <w:tcPr>
            <w:tcW w:w="0" w:type="auto"/>
            <w:hideMark/>
          </w:tcPr>
          <w:p w14:paraId="43A76BD8" w14:textId="66D1782D" w:rsidR="00FB0AC2" w:rsidRPr="00354149" w:rsidRDefault="00FB0AC2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formarii profesionale in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(FORPRO) </w:t>
            </w:r>
          </w:p>
        </w:tc>
      </w:tr>
      <w:tr w:rsidR="00FB0AC2" w:rsidRPr="00354149" w14:paraId="7EF6BB96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78E12C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Ultima actualizare</w:t>
            </w:r>
          </w:p>
        </w:tc>
        <w:tc>
          <w:tcPr>
            <w:tcW w:w="0" w:type="auto"/>
            <w:hideMark/>
          </w:tcPr>
          <w:p w14:paraId="3E63350B" w14:textId="77777777" w:rsidR="00FB0AC2" w:rsidRPr="00354149" w:rsidRDefault="00FB0AC2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27-10-2017</w:t>
            </w:r>
          </w:p>
        </w:tc>
      </w:tr>
      <w:tr w:rsidR="00FB0AC2" w:rsidRPr="00354149" w14:paraId="292A4197" w14:textId="77777777" w:rsidTr="0035414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876C77" w14:textId="77777777" w:rsidR="00FB0AC2" w:rsidRPr="00354149" w:rsidRDefault="00FB0AC2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Observatii</w:t>
            </w:r>
            <w:proofErr w:type="spellEnd"/>
          </w:p>
        </w:tc>
        <w:tc>
          <w:tcPr>
            <w:tcW w:w="0" w:type="auto"/>
            <w:hideMark/>
          </w:tcPr>
          <w:p w14:paraId="1858FE8E" w14:textId="77777777" w:rsidR="00FB0AC2" w:rsidRPr="00354149" w:rsidRDefault="00FB0AC2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Caracteristici ale formarii profesionale continue in Romania s-a realizat pentru prima data in anul 1999.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Urmatoarele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runde ale anchetei au avut ca perioade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anii 2005, 2010, 2015.</w:t>
            </w:r>
          </w:p>
        </w:tc>
      </w:tr>
    </w:tbl>
    <w:p w14:paraId="5B9EBA76" w14:textId="5522F394" w:rsidR="00FB0AC2" w:rsidRPr="00354149" w:rsidRDefault="00FB0AC2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6BA064CD" w14:textId="77777777" w:rsidR="00ED70B0" w:rsidRPr="00354149" w:rsidRDefault="00ED70B0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lastRenderedPageBreak/>
        <w:t xml:space="preserve">FPC105D - Rata de participare pentru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angajatii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din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intreprinderile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care au oferit cursuri de formare profesionala continua, pe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activitati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economiei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nationale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si sexe</w:t>
      </w:r>
    </w:p>
    <w:tbl>
      <w:tblPr>
        <w:tblStyle w:val="Tabelgril4-Accentuare1"/>
        <w:tblW w:w="9846" w:type="dxa"/>
        <w:tblLook w:val="04A0" w:firstRow="1" w:lastRow="0" w:firstColumn="1" w:lastColumn="0" w:noHBand="0" w:noVBand="1"/>
      </w:tblPr>
      <w:tblGrid>
        <w:gridCol w:w="1279"/>
        <w:gridCol w:w="8567"/>
      </w:tblGrid>
      <w:tr w:rsidR="00354149" w:rsidRPr="00354149" w14:paraId="67176B0B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4808EF" w14:textId="77777777" w:rsidR="00ED70B0" w:rsidRPr="00354149" w:rsidRDefault="00ED70B0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Definitie</w:t>
            </w:r>
            <w:proofErr w:type="spellEnd"/>
          </w:p>
        </w:tc>
        <w:tc>
          <w:tcPr>
            <w:tcW w:w="8674" w:type="dxa"/>
            <w:hideMark/>
          </w:tcPr>
          <w:p w14:paraId="7D8B610F" w14:textId="77777777" w:rsidR="00ED70B0" w:rsidRPr="00354149" w:rsidRDefault="00ED70B0" w:rsidP="0035414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Rata globala de participare la cursurile de formare profesionala continua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reprezinta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ponderea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cursuri de FPC in total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angajati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din toate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care au format obiectul anchetei. Rata de participare la cursurile de formare profesionala continua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reprezinta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ponderea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cursuri de FPC in total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angajati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care au oferit cursuri de FPC. Rata de participare pe grupe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varsta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s-a calculat prin raportarea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cursuri la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numarul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mediu 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angajatilor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care au oferit cursuri de FPC. </w:t>
            </w:r>
          </w:p>
        </w:tc>
      </w:tr>
      <w:tr w:rsidR="00ED70B0" w:rsidRPr="00354149" w14:paraId="6A53E989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279D0" w14:textId="77777777" w:rsidR="00ED70B0" w:rsidRPr="00354149" w:rsidRDefault="00ED70B0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Periodicitate</w:t>
            </w:r>
          </w:p>
        </w:tc>
        <w:tc>
          <w:tcPr>
            <w:tcW w:w="8674" w:type="dxa"/>
            <w:hideMark/>
          </w:tcPr>
          <w:p w14:paraId="2AB7DADC" w14:textId="77777777" w:rsidR="00ED70B0" w:rsidRPr="00354149" w:rsidRDefault="00ED70B0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Cincinal</w:t>
            </w:r>
          </w:p>
        </w:tc>
      </w:tr>
      <w:tr w:rsidR="00ED70B0" w:rsidRPr="00354149" w14:paraId="4824FF71" w14:textId="77777777" w:rsidTr="003541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330EC7" w14:textId="77777777" w:rsidR="00ED70B0" w:rsidRPr="00354149" w:rsidRDefault="00ED70B0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Surse de date</w:t>
            </w:r>
          </w:p>
        </w:tc>
        <w:tc>
          <w:tcPr>
            <w:tcW w:w="8674" w:type="dxa"/>
            <w:hideMark/>
          </w:tcPr>
          <w:p w14:paraId="31CAB240" w14:textId="5649C32D" w:rsidR="00ED70B0" w:rsidRPr="00354149" w:rsidRDefault="00ED70B0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formarii profesionale in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(FORPRO) </w:t>
            </w:r>
          </w:p>
        </w:tc>
      </w:tr>
      <w:tr w:rsidR="00ED70B0" w:rsidRPr="00354149" w14:paraId="6306203A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6862BF" w14:textId="77777777" w:rsidR="00ED70B0" w:rsidRPr="00354149" w:rsidRDefault="00ED70B0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Ultima actualizare</w:t>
            </w:r>
          </w:p>
        </w:tc>
        <w:tc>
          <w:tcPr>
            <w:tcW w:w="8674" w:type="dxa"/>
            <w:hideMark/>
          </w:tcPr>
          <w:p w14:paraId="15A12B48" w14:textId="77777777" w:rsidR="00ED70B0" w:rsidRPr="00354149" w:rsidRDefault="00ED70B0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27-10-2017</w:t>
            </w:r>
          </w:p>
        </w:tc>
      </w:tr>
      <w:tr w:rsidR="00ED70B0" w:rsidRPr="00354149" w14:paraId="5B7F6492" w14:textId="77777777" w:rsidTr="003541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0F3E50" w14:textId="77777777" w:rsidR="00ED70B0" w:rsidRPr="00354149" w:rsidRDefault="00ED70B0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Observatii</w:t>
            </w:r>
            <w:proofErr w:type="spellEnd"/>
          </w:p>
        </w:tc>
        <w:tc>
          <w:tcPr>
            <w:tcW w:w="8674" w:type="dxa"/>
            <w:hideMark/>
          </w:tcPr>
          <w:p w14:paraId="4CD67CD2" w14:textId="77777777" w:rsidR="00ED70B0" w:rsidRPr="00354149" w:rsidRDefault="00ED70B0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Caracteristici ale formarii profesionale continue in Romania s-a realizat pentru prima data in anul 1999.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Urmatoarele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runde ale anchetei au avut ca perioade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anii 2005, 2010, 2015.</w:t>
            </w:r>
          </w:p>
        </w:tc>
      </w:tr>
    </w:tbl>
    <w:p w14:paraId="38E757AC" w14:textId="2B992365" w:rsidR="00FB0AC2" w:rsidRPr="00354149" w:rsidRDefault="00FB0AC2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3FB2A596" w14:textId="1A5E5F38" w:rsidR="006B73EB" w:rsidRPr="00354149" w:rsidRDefault="006B73EB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FPC105G - Rata de participare pentru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angajatii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din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intreprinderile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care au oferit cursuri de formare</w:t>
      </w:r>
      <w:r w:rsidR="00D072C4"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</w:t>
      </w: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profesionala continua, pe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activitati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economiei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nationale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si grupe de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varsta</w:t>
      </w:r>
      <w:proofErr w:type="spellEnd"/>
    </w:p>
    <w:tbl>
      <w:tblPr>
        <w:tblStyle w:val="Tabelgril4-Accentuare1"/>
        <w:tblW w:w="9786" w:type="dxa"/>
        <w:tblLook w:val="04A0" w:firstRow="1" w:lastRow="0" w:firstColumn="1" w:lastColumn="0" w:noHBand="0" w:noVBand="1"/>
      </w:tblPr>
      <w:tblGrid>
        <w:gridCol w:w="1382"/>
        <w:gridCol w:w="8404"/>
      </w:tblGrid>
      <w:tr w:rsidR="00354149" w:rsidRPr="00354149" w14:paraId="05175E35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7422F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Definitie</w:t>
            </w:r>
            <w:proofErr w:type="spellEnd"/>
          </w:p>
        </w:tc>
        <w:tc>
          <w:tcPr>
            <w:tcW w:w="0" w:type="auto"/>
            <w:hideMark/>
          </w:tcPr>
          <w:p w14:paraId="3702E4FC" w14:textId="77777777" w:rsidR="006B73EB" w:rsidRPr="00354149" w:rsidRDefault="006B73EB" w:rsidP="0035414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Rata globala de participare la cursurile de formare profesionala continua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reprezinta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ponderea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cursuri de FPC in total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angajati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din toate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care au format obiectul anchetei. Rata de participare la cursurile de formare profesionala continua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reprezinta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ponderea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cursuri de FPC in total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angajati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care au oferit cursuri de FPC. Rata de participare pe grupe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varsta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s-a calculat prin raportarea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la cursuri la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numarul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mediu 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angajatilor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intreprinderile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care au oferit cursuri de FPC. </w:t>
            </w:r>
          </w:p>
        </w:tc>
      </w:tr>
      <w:tr w:rsidR="006B73EB" w:rsidRPr="00354149" w14:paraId="0C8096B4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85D5BE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Periodicitate</w:t>
            </w:r>
          </w:p>
        </w:tc>
        <w:tc>
          <w:tcPr>
            <w:tcW w:w="0" w:type="auto"/>
            <w:hideMark/>
          </w:tcPr>
          <w:p w14:paraId="6565C698" w14:textId="77777777" w:rsidR="006B73EB" w:rsidRPr="00354149" w:rsidRDefault="006B73EB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Cincinal</w:t>
            </w:r>
          </w:p>
        </w:tc>
      </w:tr>
      <w:tr w:rsidR="006B73EB" w:rsidRPr="00354149" w14:paraId="7238B393" w14:textId="77777777" w:rsidTr="0035414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2236EE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Surse de date</w:t>
            </w:r>
          </w:p>
        </w:tc>
        <w:tc>
          <w:tcPr>
            <w:tcW w:w="0" w:type="auto"/>
            <w:hideMark/>
          </w:tcPr>
          <w:p w14:paraId="07A22381" w14:textId="31D51314" w:rsidR="006B73EB" w:rsidRPr="00354149" w:rsidRDefault="006B73EB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formarii profesionale in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(FORPRO) </w:t>
            </w:r>
          </w:p>
        </w:tc>
      </w:tr>
      <w:tr w:rsidR="006B73EB" w:rsidRPr="00354149" w14:paraId="29AFA056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DF296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Ultima actualizare</w:t>
            </w:r>
          </w:p>
        </w:tc>
        <w:tc>
          <w:tcPr>
            <w:tcW w:w="0" w:type="auto"/>
            <w:hideMark/>
          </w:tcPr>
          <w:p w14:paraId="3D60126C" w14:textId="77777777" w:rsidR="006B73EB" w:rsidRPr="00354149" w:rsidRDefault="006B73EB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27-10-2017</w:t>
            </w:r>
          </w:p>
        </w:tc>
      </w:tr>
      <w:tr w:rsidR="006B73EB" w:rsidRPr="00354149" w14:paraId="35EE66DD" w14:textId="77777777" w:rsidTr="0035414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A6DAAF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Observatii</w:t>
            </w:r>
            <w:proofErr w:type="spellEnd"/>
          </w:p>
        </w:tc>
        <w:tc>
          <w:tcPr>
            <w:tcW w:w="0" w:type="auto"/>
            <w:hideMark/>
          </w:tcPr>
          <w:p w14:paraId="09204471" w14:textId="77777777" w:rsidR="006B73EB" w:rsidRPr="00354149" w:rsidRDefault="006B73EB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Caracteristici ale formarii profesionale continue in Romania s-a realizat pentru prima data in anul 1999.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Urmatoarele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runde ale anchetei au avut ca perioade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anii 2005, 2010, 2015.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Informatia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pe grupe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varsta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s-a construit si produs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incepand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cu ancheta anului 2005. Datele nu sunt disponibile pentru anul 2010.</w:t>
            </w:r>
          </w:p>
        </w:tc>
      </w:tr>
    </w:tbl>
    <w:p w14:paraId="2CEFAB24" w14:textId="15ECEE86" w:rsidR="006B73EB" w:rsidRPr="00354149" w:rsidRDefault="006B73EB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101C6A34" w14:textId="77777777" w:rsidR="006B73EB" w:rsidRPr="00354149" w:rsidRDefault="006B73EB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FPC103A - Durata medie a cursurilor de formare profesionala continua, pe sexe si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activitati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economiei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nationale</w:t>
      </w:r>
      <w:proofErr w:type="spellEnd"/>
    </w:p>
    <w:tbl>
      <w:tblPr>
        <w:tblStyle w:val="Tabelgril4-Accentuare1"/>
        <w:tblW w:w="9828" w:type="dxa"/>
        <w:tblLook w:val="04A0" w:firstRow="1" w:lastRow="0" w:firstColumn="1" w:lastColumn="0" w:noHBand="0" w:noVBand="1"/>
      </w:tblPr>
      <w:tblGrid>
        <w:gridCol w:w="1448"/>
        <w:gridCol w:w="8380"/>
      </w:tblGrid>
      <w:tr w:rsidR="00354149" w:rsidRPr="00354149" w14:paraId="2A22C4D9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22F966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Definitie</w:t>
            </w:r>
            <w:proofErr w:type="spellEnd"/>
          </w:p>
        </w:tc>
        <w:tc>
          <w:tcPr>
            <w:tcW w:w="0" w:type="auto"/>
            <w:hideMark/>
          </w:tcPr>
          <w:p w14:paraId="31C693D9" w14:textId="77777777" w:rsidR="006B73EB" w:rsidRPr="00354149" w:rsidRDefault="006B73EB" w:rsidP="0035414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Durata medie a cursurilor de formare profesionala continua (FPC)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reprezinta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numarul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ore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ce revine unui participant la cursurile FPC.</w:t>
            </w:r>
          </w:p>
        </w:tc>
      </w:tr>
      <w:tr w:rsidR="006B73EB" w:rsidRPr="00354149" w14:paraId="2BC605BB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E68A95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Periodicitate</w:t>
            </w:r>
          </w:p>
        </w:tc>
        <w:tc>
          <w:tcPr>
            <w:tcW w:w="0" w:type="auto"/>
            <w:hideMark/>
          </w:tcPr>
          <w:p w14:paraId="315F3020" w14:textId="77777777" w:rsidR="006B73EB" w:rsidRPr="00354149" w:rsidRDefault="006B73EB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Cincinal</w:t>
            </w:r>
          </w:p>
        </w:tc>
      </w:tr>
      <w:tr w:rsidR="006B73EB" w:rsidRPr="00354149" w14:paraId="024BD459" w14:textId="77777777" w:rsidTr="0035414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D6A30F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Surse de date</w:t>
            </w:r>
          </w:p>
        </w:tc>
        <w:tc>
          <w:tcPr>
            <w:tcW w:w="0" w:type="auto"/>
            <w:hideMark/>
          </w:tcPr>
          <w:p w14:paraId="533A6544" w14:textId="57389C68" w:rsidR="006B73EB" w:rsidRPr="00354149" w:rsidRDefault="006B73EB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formarii profesionale in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(FORPRO) </w:t>
            </w:r>
          </w:p>
        </w:tc>
      </w:tr>
      <w:tr w:rsidR="006B73EB" w:rsidRPr="00354149" w14:paraId="6769476E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1E0A5D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Ultima actualizare</w:t>
            </w:r>
          </w:p>
        </w:tc>
        <w:tc>
          <w:tcPr>
            <w:tcW w:w="0" w:type="auto"/>
            <w:hideMark/>
          </w:tcPr>
          <w:p w14:paraId="458055D3" w14:textId="77777777" w:rsidR="006B73EB" w:rsidRPr="00354149" w:rsidRDefault="006B73EB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27-10-2017</w:t>
            </w:r>
          </w:p>
        </w:tc>
      </w:tr>
      <w:tr w:rsidR="006B73EB" w:rsidRPr="00354149" w14:paraId="3928EA32" w14:textId="77777777" w:rsidTr="0035414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E6479D" w14:textId="77777777" w:rsidR="006B73EB" w:rsidRPr="00354149" w:rsidRDefault="006B73EB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Observatii</w:t>
            </w:r>
            <w:proofErr w:type="spellEnd"/>
          </w:p>
        </w:tc>
        <w:tc>
          <w:tcPr>
            <w:tcW w:w="0" w:type="auto"/>
            <w:hideMark/>
          </w:tcPr>
          <w:p w14:paraId="39562728" w14:textId="77777777" w:rsidR="006B73EB" w:rsidRPr="00354149" w:rsidRDefault="006B73EB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Caracteristici ale formarii profesionale continue in Romania s-a realizat pentru prima data in anul 1999.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Urmatoarele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runde ale anchetei au avut ca perioade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anii 2005, 2010, 2015. Datele nu sunt disponibile pentru anul 2010.</w:t>
            </w:r>
          </w:p>
        </w:tc>
      </w:tr>
    </w:tbl>
    <w:p w14:paraId="4D162F05" w14:textId="6716C082" w:rsidR="00D072C4" w:rsidRPr="00354149" w:rsidRDefault="00D072C4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p w14:paraId="152B8485" w14:textId="77777777" w:rsidR="00D072C4" w:rsidRPr="00354149" w:rsidRDefault="00D072C4" w:rsidP="0035414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ro-RO"/>
        </w:rPr>
      </w:pPr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lastRenderedPageBreak/>
        <w:t xml:space="preserve">FPC107A -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Intreprinderi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care au oferit formare profesionala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initiala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, si ponderea acestora in total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intreprinderi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, pe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activitati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economiei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nationale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si </w:t>
      </w:r>
      <w:proofErr w:type="spellStart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>activitati</w:t>
      </w:r>
      <w:proofErr w:type="spellEnd"/>
      <w:r w:rsidRPr="00354149">
        <w:rPr>
          <w:rFonts w:ascii="Calibri" w:eastAsia="Times New Roman" w:hAnsi="Calibri" w:cs="Calibri"/>
          <w:b/>
          <w:bCs/>
          <w:sz w:val="20"/>
          <w:szCs w:val="20"/>
          <w:lang w:val="ro-RO"/>
        </w:rPr>
        <w:t xml:space="preserve"> ale industriei</w:t>
      </w:r>
    </w:p>
    <w:tbl>
      <w:tblPr>
        <w:tblStyle w:val="Tabelgril4-Accentuare1"/>
        <w:tblW w:w="9794" w:type="dxa"/>
        <w:tblLook w:val="04A0" w:firstRow="1" w:lastRow="0" w:firstColumn="1" w:lastColumn="0" w:noHBand="0" w:noVBand="1"/>
      </w:tblPr>
      <w:tblGrid>
        <w:gridCol w:w="1372"/>
        <w:gridCol w:w="8422"/>
      </w:tblGrid>
      <w:tr w:rsidR="00354149" w:rsidRPr="00354149" w14:paraId="141DE679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7A35B" w14:textId="77777777" w:rsidR="00D072C4" w:rsidRPr="00354149" w:rsidRDefault="00D072C4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Definitie</w:t>
            </w:r>
            <w:proofErr w:type="spellEnd"/>
          </w:p>
        </w:tc>
        <w:tc>
          <w:tcPr>
            <w:tcW w:w="0" w:type="auto"/>
            <w:hideMark/>
          </w:tcPr>
          <w:p w14:paraId="0B92A703" w14:textId="77777777" w:rsidR="00D072C4" w:rsidRPr="00354149" w:rsidRDefault="00D072C4" w:rsidP="0035414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Formarea profesionala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initiala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(FPI): - se acorda persoanelor care se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formeaza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in cadrul sistemului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national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educatie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unde perioadele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practica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alterneaza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cu cele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teoretica (nivel gimnazial, liceal si postliceal - ISCED 2-4) si care nu au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obtinut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inca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 calificare; - are ca scop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obtinerea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unui certificat/diploma care sa ateste calificarea pe o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ocupatie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sau grupa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ocupatii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dupa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absolvirea cu succes a nivelului de instruire; - durata totala a programului (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practica si teoretica) este de minim 6 luni si maxim 6 ani; - presupune existenta unui acord/contract/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conventie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pregatire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practica intre participantul la formarea profesionala si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intreprindere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direct sau prin intermediul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institutiei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invatamant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; - participantul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beneficiaza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de o forma de remunerare in bani sau in natura (salariu,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indemnizatie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bursa, prima, alta forma de remunerare). </w:t>
            </w:r>
          </w:p>
        </w:tc>
      </w:tr>
      <w:tr w:rsidR="00D072C4" w:rsidRPr="00354149" w14:paraId="252A0402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F7544" w14:textId="77777777" w:rsidR="00D072C4" w:rsidRPr="00354149" w:rsidRDefault="00D072C4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Periodicitate</w:t>
            </w:r>
          </w:p>
        </w:tc>
        <w:tc>
          <w:tcPr>
            <w:tcW w:w="0" w:type="auto"/>
            <w:hideMark/>
          </w:tcPr>
          <w:p w14:paraId="03E28C38" w14:textId="77777777" w:rsidR="00D072C4" w:rsidRPr="00354149" w:rsidRDefault="00D072C4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Cincinal</w:t>
            </w:r>
          </w:p>
        </w:tc>
      </w:tr>
      <w:tr w:rsidR="00D072C4" w:rsidRPr="00354149" w14:paraId="6CF4BA7F" w14:textId="77777777" w:rsidTr="0035414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E87506" w14:textId="77777777" w:rsidR="00D072C4" w:rsidRPr="00354149" w:rsidRDefault="00D072C4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Surse de date</w:t>
            </w:r>
          </w:p>
        </w:tc>
        <w:tc>
          <w:tcPr>
            <w:tcW w:w="0" w:type="auto"/>
            <w:hideMark/>
          </w:tcPr>
          <w:p w14:paraId="0BDE5F25" w14:textId="3177AD1A" w:rsidR="00D072C4" w:rsidRPr="00354149" w:rsidRDefault="00D072C4" w:rsidP="0035414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formarii profesionale in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intreprinderi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(FORPRO) </w:t>
            </w:r>
          </w:p>
        </w:tc>
      </w:tr>
      <w:tr w:rsidR="00D072C4" w:rsidRPr="00354149" w14:paraId="40A578FD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A392DA" w14:textId="77777777" w:rsidR="00D072C4" w:rsidRPr="00354149" w:rsidRDefault="00D072C4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Ultima actualizare</w:t>
            </w:r>
          </w:p>
        </w:tc>
        <w:tc>
          <w:tcPr>
            <w:tcW w:w="0" w:type="auto"/>
            <w:hideMark/>
          </w:tcPr>
          <w:p w14:paraId="35455A49" w14:textId="77777777" w:rsidR="00D072C4" w:rsidRPr="00354149" w:rsidRDefault="00D072C4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27-10-2017</w:t>
            </w:r>
          </w:p>
        </w:tc>
      </w:tr>
      <w:tr w:rsidR="00D072C4" w:rsidRPr="00354149" w14:paraId="1DFA7046" w14:textId="77777777" w:rsidTr="0035414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1F4CEA" w14:textId="77777777" w:rsidR="00D072C4" w:rsidRPr="00354149" w:rsidRDefault="00D072C4" w:rsidP="00354149">
            <w:pPr>
              <w:spacing w:after="12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Observatii</w:t>
            </w:r>
            <w:proofErr w:type="spellEnd"/>
          </w:p>
        </w:tc>
        <w:tc>
          <w:tcPr>
            <w:tcW w:w="0" w:type="auto"/>
            <w:hideMark/>
          </w:tcPr>
          <w:p w14:paraId="76D68006" w14:textId="77777777" w:rsidR="00D072C4" w:rsidRPr="00354149" w:rsidRDefault="00D072C4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Ancheta Caracteristici ale formarii profesionale continue in Romania s-a realizat pentru prima data in anul 1999.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Urmatoarele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runde ale anchetei au avut ca perioade de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referinta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anii 2005, 2010, 2015.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Informatia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privind formarea profesionala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initiala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s-a construit si produs </w:t>
            </w:r>
            <w:proofErr w:type="spellStart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>incepand</w:t>
            </w:r>
            <w:proofErr w:type="spellEnd"/>
            <w:r w:rsidRPr="00354149">
              <w:rPr>
                <w:rFonts w:ascii="Calibri" w:eastAsia="Times New Roman" w:hAnsi="Calibri" w:cs="Calibri"/>
                <w:color w:val="2A2A2A"/>
                <w:sz w:val="20"/>
                <w:szCs w:val="20"/>
                <w:lang w:val="ro-RO"/>
              </w:rPr>
              <w:t xml:space="preserve"> cu ancheta anului 2005.</w:t>
            </w:r>
          </w:p>
        </w:tc>
      </w:tr>
    </w:tbl>
    <w:p w14:paraId="5816193F" w14:textId="62D37454" w:rsidR="005A6D15" w:rsidRPr="00354149" w:rsidRDefault="005A6D15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tbl>
      <w:tblPr>
        <w:tblStyle w:val="Tabelgril4-Accentuare1"/>
        <w:tblW w:w="9810" w:type="dxa"/>
        <w:tblLook w:val="04A0" w:firstRow="1" w:lastRow="0" w:firstColumn="1" w:lastColumn="0" w:noHBand="0" w:noVBand="1"/>
      </w:tblPr>
      <w:tblGrid>
        <w:gridCol w:w="1223"/>
        <w:gridCol w:w="1125"/>
        <w:gridCol w:w="1445"/>
        <w:gridCol w:w="737"/>
        <w:gridCol w:w="1124"/>
        <w:gridCol w:w="355"/>
        <w:gridCol w:w="337"/>
        <w:gridCol w:w="337"/>
        <w:gridCol w:w="337"/>
        <w:gridCol w:w="337"/>
        <w:gridCol w:w="337"/>
        <w:gridCol w:w="337"/>
        <w:gridCol w:w="337"/>
        <w:gridCol w:w="337"/>
        <w:gridCol w:w="1118"/>
      </w:tblGrid>
      <w:tr w:rsidR="005A6D15" w:rsidRPr="00354149" w14:paraId="4359B130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15"/>
            <w:noWrap/>
            <w:hideMark/>
          </w:tcPr>
          <w:p w14:paraId="0325271A" w14:textId="0CFD63A0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Adult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in learning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by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sex [SDG_04_60]</w:t>
            </w:r>
          </w:p>
        </w:tc>
      </w:tr>
      <w:tr w:rsidR="005A6D15" w:rsidRPr="00354149" w14:paraId="42B151B1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hideMark/>
          </w:tcPr>
          <w:p w14:paraId="26587AB1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Description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8591" w:type="dxa"/>
            <w:gridSpan w:val="14"/>
            <w:hideMark/>
          </w:tcPr>
          <w:p w14:paraId="2B67A853" w14:textId="77777777" w:rsidR="005A6D15" w:rsidRPr="00354149" w:rsidRDefault="005A6D15" w:rsidP="0035414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The indicator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measures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share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people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aged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25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64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who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stated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that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they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received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formal or non-formal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education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training 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four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weeks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preceding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survey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numerator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). The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denominator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consists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total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population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same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age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group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excluding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those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who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did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not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answer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question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'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education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training'. Adult learning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covers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both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general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vocational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formal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non-formal learning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activities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. Adult learning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usually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refers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learning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activities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after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end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initial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education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. Data stem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from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EU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Labour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Force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Survey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(EU-LFS).</w:t>
            </w:r>
          </w:p>
        </w:tc>
      </w:tr>
      <w:tr w:rsidR="005A6D15" w:rsidRPr="00354149" w14:paraId="1E064E15" w14:textId="77777777" w:rsidTr="00354149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68EAF1F3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Last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update of data: </w:t>
            </w:r>
          </w:p>
        </w:tc>
        <w:tc>
          <w:tcPr>
            <w:tcW w:w="1125" w:type="dxa"/>
            <w:noWrap/>
            <w:hideMark/>
          </w:tcPr>
          <w:p w14:paraId="1850F89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436" w:type="dxa"/>
            <w:noWrap/>
            <w:hideMark/>
          </w:tcPr>
          <w:p w14:paraId="755E196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861" w:type="dxa"/>
            <w:gridSpan w:val="2"/>
            <w:noWrap/>
            <w:hideMark/>
          </w:tcPr>
          <w:p w14:paraId="3601DFCF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08/10/2020 11:00</w:t>
            </w:r>
          </w:p>
        </w:tc>
        <w:tc>
          <w:tcPr>
            <w:tcW w:w="355" w:type="dxa"/>
            <w:noWrap/>
            <w:hideMark/>
          </w:tcPr>
          <w:p w14:paraId="00F3DC0C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64D75A7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04A7517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1ED7114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D17CD7E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053325F8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64445FE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543DE78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65E7AB0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0398F547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7D4138" w:rsidRPr="00354149" w14:paraId="17ECB670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gridSpan w:val="2"/>
            <w:noWrap/>
            <w:hideMark/>
          </w:tcPr>
          <w:p w14:paraId="72EE3253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Last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change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of data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structure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1436" w:type="dxa"/>
            <w:noWrap/>
            <w:hideMark/>
          </w:tcPr>
          <w:p w14:paraId="370D8AEC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861" w:type="dxa"/>
            <w:gridSpan w:val="2"/>
            <w:noWrap/>
            <w:hideMark/>
          </w:tcPr>
          <w:p w14:paraId="1D974173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08/10/2020 11:00</w:t>
            </w:r>
          </w:p>
        </w:tc>
        <w:tc>
          <w:tcPr>
            <w:tcW w:w="355" w:type="dxa"/>
            <w:noWrap/>
            <w:hideMark/>
          </w:tcPr>
          <w:p w14:paraId="4EB697B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DE7377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A48F22E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B7FAFE5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0C8BAE39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65A785DD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66C76239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0A1016F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64E285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1F6F9D2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23AA08D5" w14:textId="77777777" w:rsidTr="00354149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5795C7F3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561" w:type="dxa"/>
            <w:gridSpan w:val="2"/>
            <w:noWrap/>
            <w:hideMark/>
          </w:tcPr>
          <w:p w14:paraId="2824A2F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Institutional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source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(s)</w:t>
            </w:r>
          </w:p>
        </w:tc>
        <w:tc>
          <w:tcPr>
            <w:tcW w:w="737" w:type="dxa"/>
            <w:noWrap/>
            <w:hideMark/>
          </w:tcPr>
          <w:p w14:paraId="208D014D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  <w:noWrap/>
            <w:hideMark/>
          </w:tcPr>
          <w:p w14:paraId="5C77AE74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55" w:type="dxa"/>
            <w:noWrap/>
            <w:hideMark/>
          </w:tcPr>
          <w:p w14:paraId="766C7CE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B0128F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68DBDFC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6BE4B1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D542D7C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161F6C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6459041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5BBE487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43B03D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270FC94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094D696E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4D218AE6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noWrap/>
            <w:hideMark/>
          </w:tcPr>
          <w:p w14:paraId="1ADA8A40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436" w:type="dxa"/>
            <w:noWrap/>
            <w:hideMark/>
          </w:tcPr>
          <w:p w14:paraId="4CF673E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Eurostat</w:t>
            </w:r>
          </w:p>
        </w:tc>
        <w:tc>
          <w:tcPr>
            <w:tcW w:w="737" w:type="dxa"/>
            <w:noWrap/>
            <w:hideMark/>
          </w:tcPr>
          <w:p w14:paraId="25C9E0D4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  <w:noWrap/>
            <w:hideMark/>
          </w:tcPr>
          <w:p w14:paraId="4CC2F26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55" w:type="dxa"/>
            <w:noWrap/>
            <w:hideMark/>
          </w:tcPr>
          <w:p w14:paraId="6DDABEB2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BD2ABF8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5C1C4C4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4A7B52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0DEA10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7D4FC16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0D7B0C9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5DA5CBDC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C8AA3A5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2DB4B9EC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7BBFA560" w14:textId="77777777" w:rsidTr="00354149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6C93A324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561" w:type="dxa"/>
            <w:gridSpan w:val="2"/>
            <w:noWrap/>
            <w:hideMark/>
          </w:tcPr>
          <w:p w14:paraId="76E68BA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Source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dataset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(s)</w:t>
            </w:r>
          </w:p>
        </w:tc>
        <w:tc>
          <w:tcPr>
            <w:tcW w:w="737" w:type="dxa"/>
            <w:noWrap/>
            <w:hideMark/>
          </w:tcPr>
          <w:p w14:paraId="0588249E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  <w:noWrap/>
            <w:hideMark/>
          </w:tcPr>
          <w:p w14:paraId="52F1759F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55" w:type="dxa"/>
            <w:noWrap/>
            <w:hideMark/>
          </w:tcPr>
          <w:p w14:paraId="143A45C2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A92D3A8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0DCEA602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BC34343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CF84572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B8CF3A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696CA502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08033F6E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FA5228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7D2B288D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4B590F07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02385355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noWrap/>
            <w:hideMark/>
          </w:tcPr>
          <w:p w14:paraId="45E1964E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173" w:type="dxa"/>
            <w:gridSpan w:val="2"/>
            <w:noWrap/>
            <w:hideMark/>
          </w:tcPr>
          <w:p w14:paraId="7A50118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This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dataset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is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computed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from</w:t>
            </w:r>
            <w:proofErr w:type="spellEnd"/>
          </w:p>
        </w:tc>
        <w:tc>
          <w:tcPr>
            <w:tcW w:w="1124" w:type="dxa"/>
            <w:noWrap/>
            <w:hideMark/>
          </w:tcPr>
          <w:p w14:paraId="6CBDDED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55" w:type="dxa"/>
            <w:noWrap/>
            <w:hideMark/>
          </w:tcPr>
          <w:p w14:paraId="4B1B5DFC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3F17212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0B2217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CBA8EB3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C0132E8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50ACBD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5A3BD87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4EC3EB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6300658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6B703974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0C946537" w14:textId="77777777" w:rsidTr="00354149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32A24AFF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noWrap/>
            <w:hideMark/>
          </w:tcPr>
          <w:p w14:paraId="1723EF1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436" w:type="dxa"/>
            <w:noWrap/>
            <w:hideMark/>
          </w:tcPr>
          <w:p w14:paraId="5898A9D0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TRNG_LFSE_01</w:t>
            </w:r>
          </w:p>
        </w:tc>
        <w:tc>
          <w:tcPr>
            <w:tcW w:w="1861" w:type="dxa"/>
            <w:gridSpan w:val="2"/>
            <w:noWrap/>
            <w:hideMark/>
          </w:tcPr>
          <w:p w14:paraId="73B76395" w14:textId="21DB0A4F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355" w:type="dxa"/>
            <w:noWrap/>
            <w:hideMark/>
          </w:tcPr>
          <w:p w14:paraId="5D742ED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D367EC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EAA2508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05B791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041A213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0F3A59F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E257BD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3F0C87A0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5EBBD88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676E468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130EABA0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74E64B95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noWrap/>
            <w:hideMark/>
          </w:tcPr>
          <w:p w14:paraId="41EE8C3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Contents</w:t>
            </w:r>
            <w:proofErr w:type="spellEnd"/>
          </w:p>
        </w:tc>
        <w:tc>
          <w:tcPr>
            <w:tcW w:w="1436" w:type="dxa"/>
            <w:noWrap/>
            <w:hideMark/>
          </w:tcPr>
          <w:p w14:paraId="7785E1D5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Unit of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measure</w:t>
            </w:r>
            <w:proofErr w:type="spellEnd"/>
          </w:p>
        </w:tc>
        <w:tc>
          <w:tcPr>
            <w:tcW w:w="737" w:type="dxa"/>
            <w:noWrap/>
            <w:hideMark/>
          </w:tcPr>
          <w:p w14:paraId="6635AFF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Sex</w:t>
            </w:r>
          </w:p>
        </w:tc>
        <w:tc>
          <w:tcPr>
            <w:tcW w:w="1124" w:type="dxa"/>
            <w:noWrap/>
            <w:hideMark/>
          </w:tcPr>
          <w:p w14:paraId="34ADC126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Time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frequency</w:t>
            </w:r>
            <w:proofErr w:type="spellEnd"/>
          </w:p>
        </w:tc>
        <w:tc>
          <w:tcPr>
            <w:tcW w:w="1366" w:type="dxa"/>
            <w:gridSpan w:val="4"/>
            <w:noWrap/>
            <w:hideMark/>
          </w:tcPr>
          <w:p w14:paraId="5BEA016C" w14:textId="009B099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Age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class</w:t>
            </w:r>
            <w:proofErr w:type="spellEnd"/>
          </w:p>
        </w:tc>
        <w:tc>
          <w:tcPr>
            <w:tcW w:w="337" w:type="dxa"/>
            <w:noWrap/>
            <w:hideMark/>
          </w:tcPr>
          <w:p w14:paraId="3B4563E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70165C52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4E0B9F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5C4AFC1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3B5E382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33E5D44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7D4138" w:rsidRPr="00354149" w14:paraId="2CA2625A" w14:textId="77777777" w:rsidTr="00354149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noWrap/>
            <w:hideMark/>
          </w:tcPr>
          <w:p w14:paraId="34DAD332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noWrap/>
            <w:hideMark/>
          </w:tcPr>
          <w:p w14:paraId="49E4F63C" w14:textId="77777777" w:rsidR="005A6D15" w:rsidRPr="00354149" w:rsidRDefault="00354149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ro-RO"/>
              </w:rPr>
            </w:pPr>
            <w:hyperlink r:id="rId4" w:anchor="'Sheet 1'!A1" w:history="1">
              <w:proofErr w:type="spellStart"/>
              <w:r w:rsidR="005A6D15" w:rsidRPr="0035414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ro-RO"/>
                </w:rPr>
                <w:t>Sheet</w:t>
              </w:r>
              <w:proofErr w:type="spellEnd"/>
              <w:r w:rsidR="005A6D15" w:rsidRPr="0035414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ro-RO"/>
                </w:rPr>
                <w:t xml:space="preserve"> 1</w:t>
              </w:r>
            </w:hyperlink>
          </w:p>
        </w:tc>
        <w:tc>
          <w:tcPr>
            <w:tcW w:w="1436" w:type="dxa"/>
            <w:noWrap/>
            <w:hideMark/>
          </w:tcPr>
          <w:p w14:paraId="6FC74A2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Percentage</w:t>
            </w:r>
            <w:proofErr w:type="spellEnd"/>
          </w:p>
        </w:tc>
        <w:tc>
          <w:tcPr>
            <w:tcW w:w="737" w:type="dxa"/>
            <w:noWrap/>
            <w:hideMark/>
          </w:tcPr>
          <w:p w14:paraId="4B751C73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24" w:type="dxa"/>
            <w:noWrap/>
            <w:hideMark/>
          </w:tcPr>
          <w:p w14:paraId="66D156E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Annual</w:t>
            </w:r>
            <w:proofErr w:type="spellEnd"/>
          </w:p>
        </w:tc>
        <w:tc>
          <w:tcPr>
            <w:tcW w:w="1366" w:type="dxa"/>
            <w:gridSpan w:val="4"/>
            <w:noWrap/>
            <w:hideMark/>
          </w:tcPr>
          <w:p w14:paraId="6FC05F7B" w14:textId="5786C543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From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25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64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years</w:t>
            </w:r>
            <w:proofErr w:type="spellEnd"/>
          </w:p>
        </w:tc>
        <w:tc>
          <w:tcPr>
            <w:tcW w:w="337" w:type="dxa"/>
            <w:noWrap/>
            <w:hideMark/>
          </w:tcPr>
          <w:p w14:paraId="421BF5C8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45B0DC7D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D07714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1192017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37" w:type="dxa"/>
            <w:noWrap/>
            <w:hideMark/>
          </w:tcPr>
          <w:p w14:paraId="294F2D6A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noWrap/>
            <w:hideMark/>
          </w:tcPr>
          <w:p w14:paraId="5D8E06A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</w:tbl>
    <w:p w14:paraId="6522B0AD" w14:textId="7E247232" w:rsidR="005A6D15" w:rsidRPr="00354149" w:rsidRDefault="005A6D15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tbl>
      <w:tblPr>
        <w:tblStyle w:val="Tabelgril4-Accentuare1"/>
        <w:tblW w:w="9810" w:type="dxa"/>
        <w:tblLook w:val="04A0" w:firstRow="1" w:lastRow="0" w:firstColumn="1" w:lastColumn="0" w:noHBand="0" w:noVBand="1"/>
      </w:tblPr>
      <w:tblGrid>
        <w:gridCol w:w="1275"/>
        <w:gridCol w:w="964"/>
        <w:gridCol w:w="1506"/>
        <w:gridCol w:w="628"/>
        <w:gridCol w:w="1091"/>
        <w:gridCol w:w="46"/>
        <w:gridCol w:w="1102"/>
        <w:gridCol w:w="46"/>
        <w:gridCol w:w="228"/>
        <w:gridCol w:w="46"/>
        <w:gridCol w:w="228"/>
        <w:gridCol w:w="46"/>
        <w:gridCol w:w="228"/>
        <w:gridCol w:w="46"/>
        <w:gridCol w:w="228"/>
        <w:gridCol w:w="46"/>
        <w:gridCol w:w="228"/>
        <w:gridCol w:w="46"/>
        <w:gridCol w:w="228"/>
        <w:gridCol w:w="46"/>
        <w:gridCol w:w="228"/>
        <w:gridCol w:w="46"/>
        <w:gridCol w:w="228"/>
        <w:gridCol w:w="46"/>
        <w:gridCol w:w="960"/>
      </w:tblGrid>
      <w:tr w:rsidR="005A6D15" w:rsidRPr="00354149" w14:paraId="095F420D" w14:textId="77777777" w:rsidTr="0035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5"/>
            <w:noWrap/>
            <w:hideMark/>
          </w:tcPr>
          <w:p w14:paraId="18CCF1A7" w14:textId="1E90523C" w:rsidR="005A6D15" w:rsidRPr="00354149" w:rsidRDefault="005A6D15" w:rsidP="00354149">
            <w:pPr>
              <w:spacing w:after="120"/>
              <w:jc w:val="both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Participants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in CVT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courses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by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sex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size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class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- % of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persons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employed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all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enterprises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[TRNG_CVT_12S]</w:t>
            </w:r>
          </w:p>
        </w:tc>
      </w:tr>
      <w:tr w:rsidR="005A6D15" w:rsidRPr="00354149" w14:paraId="70D421EB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29AA78D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lastRenderedPageBreak/>
              <w:t>Last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update of data: </w:t>
            </w:r>
          </w:p>
        </w:tc>
        <w:tc>
          <w:tcPr>
            <w:tcW w:w="964" w:type="dxa"/>
            <w:noWrap/>
            <w:hideMark/>
          </w:tcPr>
          <w:p w14:paraId="521A956D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noWrap/>
            <w:hideMark/>
          </w:tcPr>
          <w:p w14:paraId="60E36231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gridSpan w:val="2"/>
            <w:noWrap/>
            <w:hideMark/>
          </w:tcPr>
          <w:p w14:paraId="0E3AEBB6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26/02/2019 11:00</w:t>
            </w:r>
          </w:p>
        </w:tc>
        <w:tc>
          <w:tcPr>
            <w:tcW w:w="1148" w:type="dxa"/>
            <w:gridSpan w:val="2"/>
            <w:noWrap/>
            <w:hideMark/>
          </w:tcPr>
          <w:p w14:paraId="05716CE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6B6B8DD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82D6C9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1AB9D85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4FC6C7C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7EB6D5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DCF98F3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602B6809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7C42FF3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06" w:type="dxa"/>
            <w:gridSpan w:val="2"/>
            <w:noWrap/>
            <w:hideMark/>
          </w:tcPr>
          <w:p w14:paraId="31464BB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29A5B759" w14:textId="77777777" w:rsidTr="0035414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gridSpan w:val="2"/>
            <w:noWrap/>
            <w:hideMark/>
          </w:tcPr>
          <w:p w14:paraId="15261E2C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Last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change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 of data </w:t>
            </w: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structure</w:t>
            </w:r>
            <w:proofErr w:type="spellEnd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1506" w:type="dxa"/>
            <w:noWrap/>
            <w:hideMark/>
          </w:tcPr>
          <w:p w14:paraId="726043BD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gridSpan w:val="2"/>
            <w:noWrap/>
            <w:hideMark/>
          </w:tcPr>
          <w:p w14:paraId="7213ADF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26/02/2019 11:00</w:t>
            </w:r>
          </w:p>
        </w:tc>
        <w:tc>
          <w:tcPr>
            <w:tcW w:w="1148" w:type="dxa"/>
            <w:gridSpan w:val="2"/>
            <w:noWrap/>
            <w:hideMark/>
          </w:tcPr>
          <w:p w14:paraId="78066DFE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9B69433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5C6023C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6F4A169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08514B4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1C224C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0009F0C4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8663618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435F49D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06" w:type="dxa"/>
            <w:gridSpan w:val="2"/>
            <w:noWrap/>
            <w:hideMark/>
          </w:tcPr>
          <w:p w14:paraId="44F5ED84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5A6D15" w:rsidRPr="00354149" w14:paraId="083B3A0B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E44A70A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470" w:type="dxa"/>
            <w:gridSpan w:val="2"/>
            <w:noWrap/>
            <w:hideMark/>
          </w:tcPr>
          <w:p w14:paraId="5AC91661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Institutional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source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(s)</w:t>
            </w:r>
          </w:p>
        </w:tc>
        <w:tc>
          <w:tcPr>
            <w:tcW w:w="628" w:type="dxa"/>
            <w:noWrap/>
            <w:hideMark/>
          </w:tcPr>
          <w:p w14:paraId="6F6C771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noWrap/>
            <w:hideMark/>
          </w:tcPr>
          <w:p w14:paraId="2F2227E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gridSpan w:val="2"/>
            <w:noWrap/>
            <w:hideMark/>
          </w:tcPr>
          <w:p w14:paraId="4C62256E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6C42DC9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5C15F282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51055B1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5584507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50105154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D0CEAC5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3974696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D7B92C1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noWrap/>
            <w:hideMark/>
          </w:tcPr>
          <w:p w14:paraId="78B9BAAB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7D4138" w:rsidRPr="00354149" w14:paraId="1DF3FD7E" w14:textId="77777777" w:rsidTr="0035414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32E7EA7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4" w:type="dxa"/>
            <w:noWrap/>
            <w:hideMark/>
          </w:tcPr>
          <w:p w14:paraId="09BDB18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noWrap/>
            <w:hideMark/>
          </w:tcPr>
          <w:p w14:paraId="4D5027E3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Eurostat</w:t>
            </w:r>
          </w:p>
        </w:tc>
        <w:tc>
          <w:tcPr>
            <w:tcW w:w="628" w:type="dxa"/>
            <w:noWrap/>
            <w:hideMark/>
          </w:tcPr>
          <w:p w14:paraId="171710E0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noWrap/>
            <w:hideMark/>
          </w:tcPr>
          <w:p w14:paraId="6AEF19F2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gridSpan w:val="2"/>
            <w:noWrap/>
            <w:hideMark/>
          </w:tcPr>
          <w:p w14:paraId="71C33812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694AFEC0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7D1C017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670F36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6372AE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D75FAB9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220490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4B9E3F6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0F30C31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noWrap/>
            <w:hideMark/>
          </w:tcPr>
          <w:p w14:paraId="57276900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7D4138" w:rsidRPr="00354149" w14:paraId="14232A5A" w14:textId="77777777" w:rsidTr="003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F50E6E1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4" w:type="dxa"/>
            <w:noWrap/>
            <w:hideMark/>
          </w:tcPr>
          <w:p w14:paraId="2DB5ECC7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Contents</w:t>
            </w:r>
            <w:proofErr w:type="spellEnd"/>
          </w:p>
        </w:tc>
        <w:tc>
          <w:tcPr>
            <w:tcW w:w="1506" w:type="dxa"/>
            <w:noWrap/>
            <w:hideMark/>
          </w:tcPr>
          <w:p w14:paraId="37495A1F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Unit of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measure</w:t>
            </w:r>
            <w:proofErr w:type="spellEnd"/>
          </w:p>
        </w:tc>
        <w:tc>
          <w:tcPr>
            <w:tcW w:w="628" w:type="dxa"/>
            <w:noWrap/>
            <w:hideMark/>
          </w:tcPr>
          <w:p w14:paraId="14132A36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Sex</w:t>
            </w:r>
          </w:p>
        </w:tc>
        <w:tc>
          <w:tcPr>
            <w:tcW w:w="1137" w:type="dxa"/>
            <w:gridSpan w:val="2"/>
            <w:noWrap/>
            <w:hideMark/>
          </w:tcPr>
          <w:p w14:paraId="3E471004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Time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frequency</w:t>
            </w:r>
            <w:proofErr w:type="spellEnd"/>
          </w:p>
        </w:tc>
        <w:tc>
          <w:tcPr>
            <w:tcW w:w="1148" w:type="dxa"/>
            <w:gridSpan w:val="2"/>
            <w:noWrap/>
            <w:hideMark/>
          </w:tcPr>
          <w:p w14:paraId="473E3E59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Size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classes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number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persons</w:t>
            </w:r>
            <w:proofErr w:type="spellEnd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54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  <w:t>employed</w:t>
            </w:r>
            <w:proofErr w:type="spellEnd"/>
          </w:p>
        </w:tc>
        <w:tc>
          <w:tcPr>
            <w:tcW w:w="274" w:type="dxa"/>
            <w:gridSpan w:val="2"/>
            <w:noWrap/>
            <w:hideMark/>
          </w:tcPr>
          <w:p w14:paraId="39EAAE74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7B3374F9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001B76B0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8A4E5B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290DD55C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12BEE28C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4005CA35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92B39AE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noWrap/>
            <w:hideMark/>
          </w:tcPr>
          <w:p w14:paraId="4A50ADAA" w14:textId="77777777" w:rsidR="005A6D15" w:rsidRPr="00354149" w:rsidRDefault="005A6D15" w:rsidP="003541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  <w:tr w:rsidR="007D4138" w:rsidRPr="00354149" w14:paraId="3BC0E0F6" w14:textId="77777777" w:rsidTr="0035414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1C7F23" w14:textId="77777777" w:rsidR="005A6D15" w:rsidRPr="00354149" w:rsidRDefault="005A6D15" w:rsidP="0035414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4" w:type="dxa"/>
            <w:noWrap/>
            <w:hideMark/>
          </w:tcPr>
          <w:p w14:paraId="74461D48" w14:textId="77777777" w:rsidR="005A6D15" w:rsidRPr="00354149" w:rsidRDefault="00354149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ro-RO"/>
              </w:rPr>
            </w:pPr>
            <w:hyperlink r:id="rId5" w:anchor="'Sheet 1'!A1" w:history="1">
              <w:proofErr w:type="spellStart"/>
              <w:r w:rsidR="005A6D15" w:rsidRPr="0035414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ro-RO"/>
                </w:rPr>
                <w:t>Sheet</w:t>
              </w:r>
              <w:proofErr w:type="spellEnd"/>
              <w:r w:rsidR="005A6D15" w:rsidRPr="0035414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ro-RO"/>
                </w:rPr>
                <w:t xml:space="preserve"> 1</w:t>
              </w:r>
            </w:hyperlink>
          </w:p>
        </w:tc>
        <w:tc>
          <w:tcPr>
            <w:tcW w:w="1506" w:type="dxa"/>
            <w:noWrap/>
            <w:hideMark/>
          </w:tcPr>
          <w:p w14:paraId="40DE3C81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Percentage</w:t>
            </w:r>
            <w:proofErr w:type="spellEnd"/>
          </w:p>
        </w:tc>
        <w:tc>
          <w:tcPr>
            <w:tcW w:w="628" w:type="dxa"/>
            <w:noWrap/>
            <w:hideMark/>
          </w:tcPr>
          <w:p w14:paraId="28C409B1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37" w:type="dxa"/>
            <w:gridSpan w:val="2"/>
            <w:noWrap/>
            <w:hideMark/>
          </w:tcPr>
          <w:p w14:paraId="03B48334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proofErr w:type="spellStart"/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Annual</w:t>
            </w:r>
            <w:proofErr w:type="spellEnd"/>
          </w:p>
        </w:tc>
        <w:tc>
          <w:tcPr>
            <w:tcW w:w="1148" w:type="dxa"/>
            <w:gridSpan w:val="2"/>
            <w:noWrap/>
            <w:hideMark/>
          </w:tcPr>
          <w:p w14:paraId="3F1A0256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  <w:r w:rsidRPr="00354149">
              <w:rPr>
                <w:rFonts w:ascii="Calibri" w:eastAsia="Times New Roman" w:hAnsi="Calibri" w:cs="Calibri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74" w:type="dxa"/>
            <w:gridSpan w:val="2"/>
            <w:noWrap/>
            <w:hideMark/>
          </w:tcPr>
          <w:p w14:paraId="63D869AB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005AA974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12382EF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A62E2B8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7EA0712D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6C22BE5C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0BEDC8BC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74" w:type="dxa"/>
            <w:gridSpan w:val="2"/>
            <w:noWrap/>
            <w:hideMark/>
          </w:tcPr>
          <w:p w14:paraId="3C3A8AC5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60" w:type="dxa"/>
            <w:noWrap/>
            <w:hideMark/>
          </w:tcPr>
          <w:p w14:paraId="2CEA836E" w14:textId="77777777" w:rsidR="005A6D15" w:rsidRPr="00354149" w:rsidRDefault="005A6D15" w:rsidP="00354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ro-RO"/>
              </w:rPr>
            </w:pPr>
          </w:p>
        </w:tc>
      </w:tr>
    </w:tbl>
    <w:p w14:paraId="573DD8A1" w14:textId="77777777" w:rsidR="005A6D15" w:rsidRPr="00354149" w:rsidRDefault="005A6D15" w:rsidP="00354149">
      <w:pPr>
        <w:spacing w:after="120" w:line="240" w:lineRule="auto"/>
        <w:rPr>
          <w:rFonts w:ascii="Calibri" w:hAnsi="Calibri" w:cs="Calibri"/>
          <w:sz w:val="20"/>
          <w:szCs w:val="20"/>
          <w:lang w:val="ro-RO"/>
        </w:rPr>
      </w:pPr>
    </w:p>
    <w:sectPr w:rsidR="005A6D15" w:rsidRPr="00354149" w:rsidSect="00D072C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2"/>
    <w:rsid w:val="00354149"/>
    <w:rsid w:val="004C43C2"/>
    <w:rsid w:val="00520948"/>
    <w:rsid w:val="005A6D15"/>
    <w:rsid w:val="006B73EB"/>
    <w:rsid w:val="00700D76"/>
    <w:rsid w:val="007D4138"/>
    <w:rsid w:val="00D072C4"/>
    <w:rsid w:val="00ED70B0"/>
    <w:rsid w:val="00F53639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7E9E"/>
  <w15:chartTrackingRefBased/>
  <w15:docId w15:val="{DC62404C-67D1-47A9-9FDB-5B5ADCA8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B0AC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70B0"/>
    <w:rPr>
      <w:rFonts w:ascii="Segoe UI" w:hAnsi="Segoe UI" w:cs="Segoe UI"/>
      <w:sz w:val="18"/>
      <w:szCs w:val="18"/>
    </w:rPr>
  </w:style>
  <w:style w:type="table" w:styleId="Tabelgril4-Accentuare1">
    <w:name w:val="Grid Table 4 Accent 1"/>
    <w:basedOn w:val="TabelNormal"/>
    <w:uiPriority w:val="49"/>
    <w:rsid w:val="00F53639"/>
    <w:pPr>
      <w:spacing w:after="0" w:line="240" w:lineRule="auto"/>
    </w:pPr>
    <w:tblPr>
      <w:tblStyleRowBandSize w:val="1"/>
      <w:tblStyleColBandSize w:val="1"/>
      <w:tblBorders>
        <w:top w:val="single" w:sz="4" w:space="0" w:color="37B4D1" w:themeColor="accent1" w:themeTint="99"/>
        <w:left w:val="single" w:sz="4" w:space="0" w:color="37B4D1" w:themeColor="accent1" w:themeTint="99"/>
        <w:bottom w:val="single" w:sz="4" w:space="0" w:color="37B4D1" w:themeColor="accent1" w:themeTint="99"/>
        <w:right w:val="single" w:sz="4" w:space="0" w:color="37B4D1" w:themeColor="accent1" w:themeTint="99"/>
        <w:insideH w:val="single" w:sz="4" w:space="0" w:color="37B4D1" w:themeColor="accent1" w:themeTint="99"/>
        <w:insideV w:val="single" w:sz="4" w:space="0" w:color="37B4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4753" w:themeColor="accent1"/>
          <w:left w:val="single" w:sz="4" w:space="0" w:color="134753" w:themeColor="accent1"/>
          <w:bottom w:val="single" w:sz="4" w:space="0" w:color="134753" w:themeColor="accent1"/>
          <w:right w:val="single" w:sz="4" w:space="0" w:color="134753" w:themeColor="accent1"/>
          <w:insideH w:val="nil"/>
          <w:insideV w:val="nil"/>
        </w:tcBorders>
        <w:shd w:val="clear" w:color="auto" w:fill="134753" w:themeFill="accent1"/>
      </w:tcPr>
    </w:tblStylePr>
    <w:tblStylePr w:type="lastRow">
      <w:rPr>
        <w:b/>
        <w:bCs/>
      </w:rPr>
      <w:tblPr/>
      <w:tcPr>
        <w:tcBorders>
          <w:top w:val="double" w:sz="4" w:space="0" w:color="1347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accent1" w:themeFillTint="33"/>
      </w:tcPr>
    </w:tblStylePr>
    <w:tblStylePr w:type="band1Horz">
      <w:tblPr/>
      <w:tcPr>
        <w:shd w:val="clear" w:color="auto" w:fill="BCE6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dwise\Desktop\Contract%20POCU%20Edu\Contract%20POCU%20Edu\Evaluare%20POCU\RE%20POCU_28.12.2020\date%20INS\TRNG_CVT_12S1609419813047.xlsx" TargetMode="External"/><Relationship Id="rId4" Type="http://schemas.openxmlformats.org/officeDocument/2006/relationships/hyperlink" Target="file:///C:\Users\Addwise\Desktop\Contract%20POCU%20Edu\Contract%20POCU%20Edu\Evaluare%20POCU\RE%20POCU_28.12.2020\date%20INS\SDG_04_601609417725767.xlsx" TargetMode="External"/></Relationships>
</file>

<file path=word/theme/theme1.xml><?xml version="1.0" encoding="utf-8"?>
<a:theme xmlns:a="http://schemas.openxmlformats.org/drawingml/2006/main" name="Office Theme">
  <a:themeElements>
    <a:clrScheme name="CiVTTA">
      <a:dk1>
        <a:srgbClr val="000000"/>
      </a:dk1>
      <a:lt1>
        <a:srgbClr val="FFFFFF"/>
      </a:lt1>
      <a:dk2>
        <a:srgbClr val="ABCD3A"/>
      </a:dk2>
      <a:lt2>
        <a:srgbClr val="BFBFBF"/>
      </a:lt2>
      <a:accent1>
        <a:srgbClr val="134753"/>
      </a:accent1>
      <a:accent2>
        <a:srgbClr val="00ABC0"/>
      </a:accent2>
      <a:accent3>
        <a:srgbClr val="7F7F7F"/>
      </a:accent3>
      <a:accent4>
        <a:srgbClr val="A6A6A6"/>
      </a:accent4>
      <a:accent5>
        <a:srgbClr val="BFBFBF"/>
      </a:accent5>
      <a:accent6>
        <a:srgbClr val="D9D9D9"/>
      </a:accent6>
      <a:hlink>
        <a:srgbClr val="48B9D5"/>
      </a:hlink>
      <a:folHlink>
        <a:srgbClr val="1347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1510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Moraru</dc:creator>
  <cp:keywords/>
  <dc:description/>
  <cp:lastModifiedBy>Lideea Lideea</cp:lastModifiedBy>
  <cp:revision>4</cp:revision>
  <dcterms:created xsi:type="dcterms:W3CDTF">2020-12-31T12:17:00Z</dcterms:created>
  <dcterms:modified xsi:type="dcterms:W3CDTF">2021-01-21T09:20:00Z</dcterms:modified>
</cp:coreProperties>
</file>