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83A2" w14:textId="77777777" w:rsidR="00FF51CE" w:rsidRDefault="00FF51CE">
      <w:pPr>
        <w:ind w:right="-2"/>
        <w:jc w:val="center"/>
        <w:rPr>
          <w:rFonts w:cs="Calibri"/>
          <w:b/>
          <w:color w:val="000000"/>
        </w:rPr>
      </w:pPr>
    </w:p>
    <w:p w14:paraId="4C66DB0E" w14:textId="77777777" w:rsidR="00FF51CE" w:rsidRDefault="00FF51CE">
      <w:pPr>
        <w:ind w:right="-2"/>
        <w:jc w:val="center"/>
        <w:rPr>
          <w:rFonts w:cs="Calibri"/>
          <w:b/>
          <w:color w:val="000000"/>
        </w:rPr>
      </w:pPr>
    </w:p>
    <w:p w14:paraId="20EE9602" w14:textId="77777777" w:rsidR="00FF51CE" w:rsidRDefault="00FF51CE">
      <w:pPr>
        <w:ind w:right="-2"/>
        <w:jc w:val="center"/>
        <w:rPr>
          <w:rFonts w:cs="Calibri"/>
          <w:b/>
          <w:color w:val="000000"/>
        </w:rPr>
      </w:pPr>
    </w:p>
    <w:p w14:paraId="7BFD901B" w14:textId="77777777" w:rsidR="00FF51CE" w:rsidRDefault="00FF51CE">
      <w:pPr>
        <w:ind w:right="-2"/>
        <w:jc w:val="center"/>
        <w:rPr>
          <w:rFonts w:cs="Calibri"/>
          <w:b/>
          <w:color w:val="000000"/>
        </w:rPr>
      </w:pPr>
    </w:p>
    <w:p w14:paraId="498E63A7" w14:textId="77777777" w:rsidR="00FF51CE" w:rsidRDefault="00FF51CE">
      <w:pPr>
        <w:ind w:right="-2"/>
        <w:jc w:val="center"/>
        <w:rPr>
          <w:rFonts w:cs="Calibri"/>
          <w:b/>
          <w:color w:val="000000"/>
        </w:rPr>
      </w:pPr>
    </w:p>
    <w:p w14:paraId="7691E3A4" w14:textId="77777777" w:rsidR="00FF51CE" w:rsidRDefault="00FF51CE">
      <w:pPr>
        <w:ind w:right="-2"/>
        <w:jc w:val="center"/>
        <w:rPr>
          <w:rFonts w:cs="Calibri"/>
          <w:b/>
          <w:bCs/>
          <w:color w:val="000000"/>
          <w:sz w:val="32"/>
          <w:szCs w:val="32"/>
        </w:rPr>
      </w:pPr>
    </w:p>
    <w:p w14:paraId="55D712F2" w14:textId="77777777" w:rsidR="00FF51CE" w:rsidRDefault="00FF51CE">
      <w:pPr>
        <w:ind w:right="-2"/>
        <w:jc w:val="center"/>
        <w:rPr>
          <w:rFonts w:cs="Calibri"/>
          <w:b/>
          <w:bCs/>
          <w:color w:val="000000"/>
          <w:sz w:val="32"/>
          <w:szCs w:val="32"/>
        </w:rPr>
      </w:pPr>
    </w:p>
    <w:p w14:paraId="36FEBE3C" w14:textId="77777777" w:rsidR="00FF51CE" w:rsidRDefault="00FF51CE">
      <w:pPr>
        <w:ind w:right="-2"/>
        <w:jc w:val="center"/>
        <w:rPr>
          <w:rFonts w:cs="Calibri"/>
          <w:b/>
          <w:bCs/>
          <w:color w:val="000000"/>
          <w:sz w:val="32"/>
          <w:szCs w:val="32"/>
        </w:rPr>
      </w:pPr>
    </w:p>
    <w:p w14:paraId="65D4C1FC" w14:textId="77777777" w:rsidR="00FF51CE" w:rsidRDefault="00FF51CE">
      <w:pPr>
        <w:ind w:right="-2"/>
        <w:jc w:val="center"/>
        <w:rPr>
          <w:rFonts w:cs="Calibri"/>
          <w:b/>
          <w:bCs/>
          <w:color w:val="000000"/>
          <w:sz w:val="32"/>
          <w:szCs w:val="32"/>
        </w:rPr>
      </w:pPr>
    </w:p>
    <w:p w14:paraId="2E22D79C" w14:textId="60B5920C" w:rsidR="00FF51CE" w:rsidRDefault="00A90915">
      <w:pPr>
        <w:spacing w:after="200" w:line="264" w:lineRule="auto"/>
        <w:jc w:val="center"/>
      </w:pPr>
      <w:r>
        <w:rPr>
          <w:rFonts w:eastAsia="Times New Roman" w:cs="Calibri"/>
          <w:b/>
          <w:bCs/>
          <w:sz w:val="32"/>
          <w:szCs w:val="32"/>
        </w:rPr>
        <w:t xml:space="preserve">Evaluarea intervențiilor </w:t>
      </w:r>
      <w:r w:rsidR="00AB68E9">
        <w:rPr>
          <w:rFonts w:eastAsia="Times New Roman" w:cs="Calibri"/>
          <w:b/>
          <w:bCs/>
          <w:sz w:val="32"/>
          <w:szCs w:val="32"/>
        </w:rPr>
        <w:t>POCU</w:t>
      </w:r>
      <w:r>
        <w:rPr>
          <w:rFonts w:eastAsia="Times New Roman" w:cs="Calibri"/>
          <w:b/>
          <w:bCs/>
          <w:sz w:val="32"/>
          <w:szCs w:val="32"/>
        </w:rPr>
        <w:t xml:space="preserve"> în domeniul incluziunii sociale</w:t>
      </w:r>
    </w:p>
    <w:p w14:paraId="09B64734" w14:textId="56FB9A8F" w:rsidR="00FF51CE" w:rsidRDefault="00AB68E9">
      <w:pPr>
        <w:pBdr>
          <w:top w:val="single" w:sz="4" w:space="11" w:color="4F81BD"/>
          <w:bottom w:val="single" w:sz="4" w:space="10" w:color="4F81BD"/>
        </w:pBdr>
        <w:spacing w:after="200" w:line="264" w:lineRule="auto"/>
        <w:ind w:left="864" w:right="864"/>
        <w:jc w:val="center"/>
        <w:rPr>
          <w:rFonts w:cs="Calibri"/>
          <w:b/>
          <w:bCs/>
          <w:color w:val="3CA1BC"/>
          <w:sz w:val="32"/>
          <w:szCs w:val="32"/>
          <w:lang w:eastAsia="ar-SA"/>
        </w:rPr>
      </w:pPr>
      <w:r>
        <w:rPr>
          <w:rFonts w:cs="Calibri"/>
          <w:b/>
          <w:bCs/>
          <w:color w:val="3CA1BC"/>
          <w:sz w:val="32"/>
          <w:szCs w:val="32"/>
          <w:lang w:eastAsia="ar-SA"/>
        </w:rPr>
        <w:t xml:space="preserve">Anexa </w:t>
      </w:r>
      <w:r w:rsidR="00A90915">
        <w:rPr>
          <w:rFonts w:cs="Calibri"/>
          <w:b/>
          <w:bCs/>
          <w:color w:val="3CA1BC"/>
          <w:sz w:val="32"/>
          <w:szCs w:val="32"/>
          <w:lang w:eastAsia="ar-SA"/>
        </w:rPr>
        <w:t>(</w:t>
      </w:r>
      <w:r>
        <w:rPr>
          <w:rFonts w:cs="Calibri"/>
          <w:b/>
          <w:bCs/>
          <w:color w:val="3CA1BC"/>
          <w:sz w:val="32"/>
          <w:szCs w:val="32"/>
          <w:lang w:eastAsia="ar-SA"/>
        </w:rPr>
        <w:t>TE8</w:t>
      </w:r>
      <w:r w:rsidR="00A90915">
        <w:rPr>
          <w:rFonts w:cs="Calibri"/>
          <w:b/>
          <w:bCs/>
          <w:color w:val="3CA1BC"/>
          <w:sz w:val="32"/>
          <w:szCs w:val="32"/>
          <w:lang w:eastAsia="ar-SA"/>
        </w:rPr>
        <w:t>)</w:t>
      </w:r>
      <w:r>
        <w:rPr>
          <w:rFonts w:cs="Calibri"/>
          <w:b/>
          <w:bCs/>
          <w:color w:val="3CA1BC"/>
          <w:sz w:val="32"/>
          <w:szCs w:val="32"/>
          <w:lang w:eastAsia="ar-SA"/>
        </w:rPr>
        <w:t>.11</w:t>
      </w:r>
      <w:r w:rsidR="00A90915">
        <w:rPr>
          <w:rFonts w:cs="Calibri"/>
          <w:b/>
          <w:bCs/>
          <w:color w:val="3CA1BC"/>
          <w:sz w:val="32"/>
          <w:szCs w:val="32"/>
          <w:lang w:eastAsia="ar-SA"/>
        </w:rPr>
        <w:t xml:space="preserve">. </w:t>
      </w:r>
      <w:r w:rsidR="000A4E2E">
        <w:rPr>
          <w:rFonts w:cs="Calibri"/>
          <w:b/>
          <w:bCs/>
          <w:color w:val="3CA1BC"/>
          <w:sz w:val="32"/>
          <w:szCs w:val="32"/>
          <w:lang w:eastAsia="ar-SA"/>
        </w:rPr>
        <w:t>Literatur</w:t>
      </w:r>
      <w:r w:rsidR="000A4E2E">
        <w:rPr>
          <w:rFonts w:cs="Calibri"/>
          <w:b/>
          <w:bCs/>
          <w:color w:val="3CA1BC"/>
          <w:sz w:val="32"/>
          <w:szCs w:val="32"/>
          <w:lang w:val="ro-RO" w:eastAsia="ar-SA"/>
        </w:rPr>
        <w:t>ă</w:t>
      </w:r>
      <w:r w:rsidR="000A4E2E">
        <w:rPr>
          <w:rFonts w:cs="Calibri"/>
          <w:b/>
          <w:bCs/>
          <w:color w:val="3CA1BC"/>
          <w:sz w:val="32"/>
          <w:szCs w:val="32"/>
          <w:lang w:eastAsia="ar-SA"/>
        </w:rPr>
        <w:t xml:space="preserve"> de specialitate și bibliografie</w:t>
      </w:r>
    </w:p>
    <w:p w14:paraId="2294686F" w14:textId="77777777" w:rsidR="00FF51CE" w:rsidRDefault="00FF51CE">
      <w:pPr>
        <w:rPr>
          <w:rFonts w:eastAsia="Times New Roman" w:cs="Calibri"/>
          <w:i/>
          <w:spacing w:val="-10"/>
          <w:kern w:val="3"/>
        </w:rPr>
      </w:pPr>
    </w:p>
    <w:p w14:paraId="3277242C" w14:textId="77777777" w:rsidR="00FF51CE" w:rsidRDefault="00FF51CE">
      <w:pPr>
        <w:rPr>
          <w:rFonts w:eastAsia="Times New Roman" w:cs="Calibri"/>
          <w:i/>
          <w:spacing w:val="-10"/>
          <w:kern w:val="3"/>
        </w:rPr>
      </w:pPr>
    </w:p>
    <w:p w14:paraId="1FB36827" w14:textId="77777777" w:rsidR="00FF51CE" w:rsidRDefault="00FF51CE">
      <w:pPr>
        <w:rPr>
          <w:rFonts w:eastAsia="Times New Roman" w:cs="Calibri"/>
          <w:i/>
          <w:spacing w:val="-10"/>
          <w:kern w:val="3"/>
        </w:rPr>
      </w:pPr>
    </w:p>
    <w:p w14:paraId="40AF748A" w14:textId="77777777" w:rsidR="00FF51CE" w:rsidRDefault="00FF51CE">
      <w:pPr>
        <w:rPr>
          <w:rFonts w:eastAsia="Times New Roman" w:cs="Calibri"/>
          <w:i/>
          <w:spacing w:val="-10"/>
          <w:kern w:val="3"/>
        </w:rPr>
      </w:pPr>
    </w:p>
    <w:p w14:paraId="261699D7" w14:textId="77777777" w:rsidR="00FF51CE" w:rsidRDefault="00FF51CE">
      <w:pPr>
        <w:rPr>
          <w:rFonts w:cs="Calibri"/>
          <w:sz w:val="20"/>
          <w:szCs w:val="20"/>
          <w:lang w:val="ro-RO"/>
        </w:rPr>
      </w:pPr>
    </w:p>
    <w:p w14:paraId="4C18A06D" w14:textId="77777777" w:rsidR="00FF51CE" w:rsidRDefault="00FF51CE">
      <w:pPr>
        <w:rPr>
          <w:rFonts w:cs="Calibri"/>
          <w:sz w:val="20"/>
          <w:szCs w:val="20"/>
          <w:lang w:val="ro-RO"/>
        </w:rPr>
      </w:pPr>
    </w:p>
    <w:p w14:paraId="67CF4ED6" w14:textId="77777777" w:rsidR="00FF51CE" w:rsidRDefault="00FF51CE">
      <w:pPr>
        <w:pageBreakBefore/>
      </w:pPr>
    </w:p>
    <w:p w14:paraId="17104E66" w14:textId="5C893301" w:rsidR="00FF51CE" w:rsidRDefault="00A90915">
      <w:pPr>
        <w:spacing w:after="60"/>
        <w:rPr>
          <w:rFonts w:cs="Calibri"/>
          <w:b/>
          <w:bCs/>
          <w:sz w:val="24"/>
          <w:szCs w:val="24"/>
          <w:lang w:val="ro-RO"/>
        </w:rPr>
      </w:pPr>
      <w:r>
        <w:rPr>
          <w:rFonts w:cs="Calibri"/>
          <w:b/>
          <w:bCs/>
          <w:sz w:val="24"/>
          <w:szCs w:val="24"/>
          <w:lang w:val="ro-RO"/>
        </w:rPr>
        <w:t xml:space="preserve">LITERATURA DE SPECIALITATE </w:t>
      </w:r>
      <w:r w:rsidR="00AB68E9">
        <w:rPr>
          <w:rFonts w:cs="Calibri"/>
          <w:b/>
          <w:bCs/>
          <w:sz w:val="24"/>
          <w:szCs w:val="24"/>
          <w:lang w:val="ro-RO"/>
        </w:rPr>
        <w:t>TEMA 8</w:t>
      </w:r>
    </w:p>
    <w:p w14:paraId="679C4CAF" w14:textId="77777777" w:rsidR="00FF51CE" w:rsidRDefault="00FF51CE">
      <w:pPr>
        <w:pStyle w:val="ListParagraph"/>
        <w:spacing w:after="60"/>
        <w:ind w:left="540"/>
        <w:rPr>
          <w:rFonts w:cs="Calibri"/>
          <w:sz w:val="20"/>
          <w:szCs w:val="20"/>
          <w:lang w:val="ro-RO"/>
        </w:rPr>
      </w:pPr>
    </w:p>
    <w:p w14:paraId="7236C72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Studiul The Social Economy in the European Union (Economia socială în Uniunea Europeană), Comitetului Economic și Social European (CESE), 2012</w:t>
      </w:r>
    </w:p>
    <w:p w14:paraId="3A837E2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Evoluții recente ale economiei sociale în Uniunea Europeană, Comitetului Economic și Social European (CESE), 2017</w:t>
      </w:r>
    </w:p>
    <w:p w14:paraId="618CA88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Cele mai bune practici din politicile publice privind economia socială europeană după criza economică, CIRIEC, mai 2018</w:t>
      </w:r>
    </w:p>
    <w:p w14:paraId="6C29A8D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Apariția economiei sociale în politicile publice. O analiză internațională, CIRIEC</w:t>
      </w:r>
    </w:p>
    <w:p w14:paraId="153E441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Raportul Toia (2009)</w:t>
      </w:r>
    </w:p>
    <w:p w14:paraId="10C75BC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Cercetarea Economiei Sociale din România, Simona Maria Stănescu (Revista de Economie Socială, vol. III, nr. 4/2013)</w:t>
      </w:r>
    </w:p>
    <w:p w14:paraId="4B17F1C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Centrele de Resurse în Economia Socială din România, Mihaela Pitea (Revista de Economie Socială, Vol. III Nr. 5/2013)</w:t>
      </w:r>
    </w:p>
    <w:p w14:paraId="70A4148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în România. Recomandări pentru dezvoltare, Simona Maria Stănescu, Cătălin Luca, Alina Bocai, Romeo Asiminei, Daniela Vîrjan (Revista de Economie Socială, Vol. III Nr. 5/2013)</w:t>
      </w:r>
    </w:p>
    <w:p w14:paraId="61B4245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Dezvoltarea strategică a economiei sociale în România, Angela Achiţei Mihaela Munteanu Ana Drelea, (Revista de Economie Socială, Vol. IV Nr. 2/2014)</w:t>
      </w:r>
    </w:p>
    <w:p w14:paraId="56E3A29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 de bune practici în economia socială, elaborat în cadrul proiectului “TURismul ECOlogic în România – şansă pentru dezvoltare economică şi socială - TURECO”, finanţat din FSE, prin POSDRU 2007-2013, AP 6 - Promovarea incluziunii sociale, DMI 6.1 - Dezvoltarea economiei sociale</w:t>
      </w:r>
    </w:p>
    <w:p w14:paraId="75E0FAB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 privind perspectiva de dezvoltare a economiei sociale în România, proiectul RIES, 2012</w:t>
      </w:r>
    </w:p>
    <w:p w14:paraId="52FEBDA8"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Progresul întreprinderilor sociale și al economiei sociale, GECES, octombrie 2016</w:t>
      </w:r>
    </w:p>
    <w:p w14:paraId="11BEB00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 orientativ privind indicatorii de rezultat, de realizare imediată/output și indicatori de impact care să fie utilizați de întreprinderile sociale/întreprinderile de inserție în raportările anuale, martie 2017</w:t>
      </w:r>
    </w:p>
    <w:p w14:paraId="5B738F6C"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Manual sinteză teme secundare și teme orizontale, ACCES - Activităţi şi Competenţe pentru Competitivitate Economică şi Schimbare, Fundația PAEM ALBA, ACE-ES București, 2019</w:t>
      </w:r>
    </w:p>
    <w:p w14:paraId="7B5219B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Atlasul Economiei Sociale România, 2014</w:t>
      </w:r>
    </w:p>
    <w:p w14:paraId="17B2835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în Europa, Asociației pentru Dezvoltare şi Promovare socio‐economică CATALACTICA - Filiala Teleorman, 2010</w:t>
      </w:r>
    </w:p>
    <w:p w14:paraId="36664BA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Întreprinderea socială şi antreprenoriatul social în România, Prof.univ.dr. Ioan RADU, Academia de Studii Economice București</w:t>
      </w:r>
    </w:p>
    <w:p w14:paraId="0D70D00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Sustenabilitatea financiară a întreprinderilor sociale din România, NESsT, 2018</w:t>
      </w:r>
    </w:p>
    <w:p w14:paraId="3BE8B91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Poate funcționa economia socială pentru toți?, Gelu Duminică, Cristina Mocanu, 2017</w:t>
      </w:r>
    </w:p>
    <w:p w14:paraId="6A1265F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în Uniunea Europeană - Raport de José Luis Monzón şi Rafael Chaves, 2012</w:t>
      </w:r>
    </w:p>
    <w:p w14:paraId="5EDE020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Manualul de creare a conturilor-satelit pentru întreprinderile din economia socială al Comisiei Europene, 2006</w:t>
      </w:r>
    </w:p>
    <w:p w14:paraId="05FFBB5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Analiză Socio-Economică pentru programarea Fondurilor Europene 2014-2020</w:t>
      </w:r>
    </w:p>
    <w:p w14:paraId="3EC24C9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AEDU (2012) Studiu în perspectiva dezvoltării unor orientări privind economia socială în România</w:t>
      </w:r>
    </w:p>
    <w:p w14:paraId="3F02581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Manualul privind instituțiile nonprofit în sistemul de conturi naționale al Organizației Națiunilor Unite</w:t>
      </w:r>
    </w:p>
    <w:p w14:paraId="57F931A8"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Evaluarea Implementării Recomandării Comisiei Europene privind Incluziunea Activă - Analiză de politici naționale, DG Employment, 2013</w:t>
      </w:r>
    </w:p>
    <w:p w14:paraId="0DF2DDB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Politici practici si tendinte in economia sociala in Romania si Uniunea Europeana in ansamblu – Raport de cercetare aflta la baza documentului de poziție privind incluziunea persoanelor cu dizabilități pron structuri de economie socială, Fundaţia ”Alături de Voi” România</w:t>
      </w:r>
    </w:p>
    <w:p w14:paraId="392F72B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lastRenderedPageBreak/>
        <w:t>Raport de deschidere în cadrul proiectului - Modelul Economiei Sociale în România, 2012</w:t>
      </w:r>
    </w:p>
    <w:p w14:paraId="6C51B9A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The Limits of Nonprofit Impact: A Contingency Framework for Measuring Social Performance, 2010</w:t>
      </w:r>
    </w:p>
    <w:p w14:paraId="164BA18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Analiza comparată a cadrului legislative din UE și România privind economia socială, 2009</w:t>
      </w:r>
    </w:p>
    <w:p w14:paraId="6E80362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CCMI/079 Strategiile UE de ieşire din criză şi mutaţiile industriale: locuri de muncă precare sau durabile?, 2011</w:t>
      </w:r>
    </w:p>
    <w:p w14:paraId="47AAFB1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Regulament al Parlamentului European și al Consiliului privind Sistemul european de conturi naționale și regionale din Uniunea Europeană</w:t>
      </w:r>
    </w:p>
    <w:p w14:paraId="056EA74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Conturile satelit privind economia socială în România pentru anii 2011-2012</w:t>
      </w:r>
    </w:p>
    <w:p w14:paraId="0114EC9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Proposed Approaches to Social Impact Measurement in European Commission legislation and in practice relating to EuSEFs and the EaSI GECES Sub-group on Impact Measurement 2014</w:t>
      </w:r>
    </w:p>
    <w:p w14:paraId="1AC46E5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 și grupurile vulnerabile, 2010</w:t>
      </w:r>
    </w:p>
    <w:p w14:paraId="7CC9B62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Boosting Social Enterprise Development GOOD PRACTICE COMPENDIUM, OECD, 2017</w:t>
      </w:r>
    </w:p>
    <w:p w14:paraId="615DE48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Policy Brief on Social Impact Measurement for Social Enterprises Policies for Social Entrepreneurship, OECD, 2015</w:t>
      </w:r>
    </w:p>
    <w:p w14:paraId="6A13DB2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Să creăm locuri de muncă care să dureze – Un Ghid pentru redresare Ua ocupării forței de muncă de calitate la nivel local, OECD, 2010</w:t>
      </w:r>
    </w:p>
    <w:p w14:paraId="16CAC95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Rețeaua Ecosocial – Modele de business ale afacerilor sociale, Centrul pentru Politici Durabile Ecopolis, 2015</w:t>
      </w:r>
    </w:p>
    <w:p w14:paraId="7C9B29E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Buying for Good practice from around the EU, CE, December 2019</w:t>
      </w:r>
    </w:p>
    <w:p w14:paraId="67A47E0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privind indicatorii calitativi relevanți ce vor fi utilizați pentru monitorizarea și evaluarea serviciilor sociale din România, EY</w:t>
      </w:r>
    </w:p>
    <w:p w14:paraId="2C84BCD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Rapoarte privind incluziunea socială în România, Ministerul Muncii și Justiției Sociale, 2017</w:t>
      </w:r>
    </w:p>
    <w:p w14:paraId="7B4CA70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Oamenii, mai importanți decât profturile - Manual de economie socială</w:t>
      </w:r>
    </w:p>
    <w:p w14:paraId="46B13A4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Projet SECOIA: pratiques spécifques des entreprises d’économie sociale et analyse des impacts générés, 2017</w:t>
      </w:r>
    </w:p>
    <w:p w14:paraId="18154AD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Social Economy, European Parlament, Directorate General for Internal Policies, 2016 </w:t>
      </w:r>
    </w:p>
    <w:p w14:paraId="03E5424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şi ocuparea forţei de muncă Integrarea grupurilor vulnerabile pe piaţa muncii, IES, 2013</w:t>
      </w:r>
    </w:p>
    <w:p w14:paraId="0D2B3572"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Analiza şi evaluarea grupurilor vulnerabile în vederea stabilirii nevoii de servicii sociale, , Ministerul Muncii și Justiției Sociale, 2019</w:t>
      </w:r>
    </w:p>
    <w:p w14:paraId="4DADFFA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Grupurile vulnerabile și economia socială. Romi și femei în dificultate. Manual de intervenţie, Catalactica, 2011</w:t>
      </w:r>
    </w:p>
    <w:p w14:paraId="27347338"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Investiții în Asistență și Suport Social. Un imperativ European, 2017</w:t>
      </w:r>
    </w:p>
    <w:p w14:paraId="2234F9D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Serviciile sociale în România. Rolul actorilor economiei sociale, IES, 2014</w:t>
      </w:r>
    </w:p>
    <w:p w14:paraId="6562A146" w14:textId="77777777" w:rsidR="00FF51CE" w:rsidRDefault="00A90915">
      <w:pPr>
        <w:pStyle w:val="ListParagraph"/>
        <w:numPr>
          <w:ilvl w:val="0"/>
          <w:numId w:val="1"/>
        </w:numPr>
        <w:spacing w:after="60"/>
        <w:ind w:left="540" w:hanging="540"/>
      </w:pPr>
      <w:r>
        <w:rPr>
          <w:rFonts w:cs="Calibri"/>
          <w:sz w:val="20"/>
          <w:szCs w:val="20"/>
          <w:lang w:val="ro-RO"/>
        </w:rPr>
        <w:t>Studiu de fundamentare pentru Strategia naţională privind incluziunea socială şi reducerea sărăciei 2015-2020, Banca Mondială, 2015</w:t>
      </w:r>
    </w:p>
    <w:p w14:paraId="13D1DC4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ADV - Politici, practici și tendințe în economia socială în România și în Uniunea Europeană în ansamblu, 2017</w:t>
      </w:r>
    </w:p>
    <w:p w14:paraId="74FCBEE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Asociația Catalitica - Grupurile vulnerabile şi economia socială, romi şi femei în dificultate, 2011</w:t>
      </w:r>
    </w:p>
    <w:p w14:paraId="1F346A5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Barcelona City Council Decree for Socially Responsible Public Procurement (Spain), accesat la https://www.betterentrepreneurship.eu/en/node/32</w:t>
      </w:r>
    </w:p>
    <w:p w14:paraId="38E0CEA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Buțiu, C. - Determinanţi ai ocupării grupurilor vulnerabile din perspectiva furnizorilor de servicii sociale, 2011</w:t>
      </w:r>
    </w:p>
    <w:p w14:paraId="2364628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Buzducea, D. - Economia socială a grupurilor vulnerabile, 2013 </w:t>
      </w:r>
    </w:p>
    <w:p w14:paraId="5D241BD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Bremer, H., Kleemann-Göhring, M, -  Weiterbildung und Bildungsferne (Further education and lack of education), 2011</w:t>
      </w:r>
    </w:p>
    <w:p w14:paraId="4D4E238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Bremer H., Kleemann-Göhring M., - Weiterbildung und Weiterbildungsberatung für Bildungsferne, (Continuing education and training advice for those who are not educated), 2015</w:t>
      </w:r>
    </w:p>
    <w:p w14:paraId="49B528D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Centrul de Legislație Nonprofit, Raport – Contracte rezervate. Provocări, tendințe, oportunități, 2019 </w:t>
      </w:r>
    </w:p>
    <w:p w14:paraId="45EC883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Comisia Europeană - Evaluarea ex-post pentru perioada 2007-2013</w:t>
      </w:r>
    </w:p>
    <w:p w14:paraId="1E31693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Comisia Prezidențială Pentru Analiza Riscurilor Sociale şi Demografice – Riscuri și inechități sociale în România, 2009</w:t>
      </w:r>
    </w:p>
    <w:p w14:paraId="689F0DC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lastRenderedPageBreak/>
        <w:t xml:space="preserve">European Lifelong Guidance Policy Network - Glossary, University of Jyväskylä, Finland, 2008 </w:t>
      </w:r>
    </w:p>
    <w:p w14:paraId="38E10D4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European Parliament - Report regarding social economy, 2009</w:t>
      </w:r>
    </w:p>
    <w:p w14:paraId="2CC6F8D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Fairguidance- Facilitarea accesului persoanelor din grupurile ţintă defavorizate la educaţie, formare şi piaţa muncii prin intermediul consilierii</w:t>
      </w:r>
    </w:p>
    <w:p w14:paraId="6844413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Fundația Adapt-ability, Studiu- Ocuparea persoanelor cu dizabilități psihologia angajatorilor cu privire la angajarea acestora, 2015 </w:t>
      </w:r>
    </w:p>
    <w:p w14:paraId="1D86CC4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Hawthorn, G. - Plausible Worlds: Possibility and Understanding in History and the Social Sciences, 1991</w:t>
      </w:r>
    </w:p>
    <w:p w14:paraId="5757657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IES - Economia socială şi ocuparea forței de muncă, 2013</w:t>
      </w:r>
    </w:p>
    <w:p w14:paraId="4EDD078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IES - Raport de deschidere în cadrul proiectului - Modelul Economiei Sociale în România, 2012</w:t>
      </w:r>
    </w:p>
    <w:p w14:paraId="1076E32C"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Mcloughlin, Caven, S., - Barriers to Hiring Students with Disabilities in the Workforce. International Education Journal, vol 3, 2002.</w:t>
      </w:r>
    </w:p>
    <w:p w14:paraId="3BF5BEA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MMPS - Raportul național strategic privind protecția socială şi incluziunea socială 2008‐2010, 2008, p. 23 </w:t>
      </w:r>
    </w:p>
    <w:p w14:paraId="5D9F6122"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MMPS - Analiza datelor statistice privind situarea României în anul 2011  în contextul european din punct de vedere al incluziunii sociale  </w:t>
      </w:r>
    </w:p>
    <w:p w14:paraId="465E411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MMPS - Raport statistic, 2015</w:t>
      </w:r>
    </w:p>
    <w:p w14:paraId="28F43D9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MMPS - Strategia naționala privind incluziunea sociala si reducerea saraciei 2015-2020</w:t>
      </w:r>
    </w:p>
    <w:p w14:paraId="3CEAA33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Nechita, M. - Integrarea profesională a persoanelor cu dizabilități, 2010</w:t>
      </w:r>
    </w:p>
    <w:p w14:paraId="1084500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Social Enterprise: An International Overview of its Conceptual Evolution and Legal Implementation</w:t>
      </w:r>
    </w:p>
    <w:p w14:paraId="3EFE9DE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November 2009 Social Enterprise Journal 5(3):210-228 Giulia GaleraGiulia GaleraCarlo BorzagaCarlo Borzaga</w:t>
      </w:r>
    </w:p>
    <w:p w14:paraId="48FC1802" w14:textId="77777777" w:rsidR="00FF51CE" w:rsidRDefault="00A90915">
      <w:pPr>
        <w:pStyle w:val="ListParagraph"/>
        <w:numPr>
          <w:ilvl w:val="0"/>
          <w:numId w:val="1"/>
        </w:numPr>
        <w:spacing w:after="60"/>
        <w:ind w:left="540" w:hanging="540"/>
      </w:pPr>
      <w:r>
        <w:rPr>
          <w:rFonts w:cs="Calibri"/>
          <w:sz w:val="20"/>
          <w:szCs w:val="20"/>
          <w:lang w:val="ro-RO"/>
        </w:rPr>
        <w:t>https</w:t>
      </w:r>
      <w:r>
        <w:rPr>
          <w:rFonts w:cs="Calibri"/>
          <w:sz w:val="20"/>
          <w:szCs w:val="20"/>
        </w:rPr>
        <w:t>://ec.europa.eu/growth/sectors/social-economy_ro</w:t>
      </w:r>
    </w:p>
    <w:p w14:paraId="0A31D8F3" w14:textId="77777777" w:rsidR="00FF51CE" w:rsidRDefault="00A90915">
      <w:pPr>
        <w:pStyle w:val="ListParagraph"/>
        <w:numPr>
          <w:ilvl w:val="0"/>
          <w:numId w:val="1"/>
        </w:numPr>
        <w:spacing w:after="60"/>
        <w:ind w:left="540" w:hanging="540"/>
      </w:pPr>
      <w:r>
        <w:rPr>
          <w:rFonts w:cs="Calibri"/>
          <w:sz w:val="20"/>
          <w:szCs w:val="20"/>
        </w:rPr>
        <w:t xml:space="preserve">Petrescu, C. (2019) Achiziții rezervate: provocări, tendințe, oportunități. Centrul pentru Legislație Non-profit: București. Disponibil la: - </w:t>
      </w:r>
      <w:hyperlink r:id="rId10" w:history="1">
        <w:r>
          <w:rPr>
            <w:rStyle w:val="Hyperlink"/>
            <w:rFonts w:cs="Calibri"/>
            <w:sz w:val="20"/>
            <w:szCs w:val="20"/>
          </w:rPr>
          <w:t>https://www.clnr.ro/raport-achizitii-rezervate-provocari-tendinte-oportunitati/</w:t>
        </w:r>
      </w:hyperlink>
    </w:p>
    <w:p w14:paraId="355C9C0C" w14:textId="77777777" w:rsidR="00FF51CE" w:rsidRDefault="00A90915">
      <w:pPr>
        <w:pStyle w:val="ListParagraph"/>
        <w:numPr>
          <w:ilvl w:val="0"/>
          <w:numId w:val="1"/>
        </w:numPr>
        <w:spacing w:after="60"/>
        <w:ind w:left="540" w:hanging="540"/>
      </w:pPr>
      <w:r>
        <w:rPr>
          <w:rFonts w:cs="Calibri"/>
          <w:sz w:val="20"/>
          <w:szCs w:val="20"/>
        </w:rPr>
        <w:t>DISCUSSION PAPER 12-13 June 2008 Peer Review The Social economy from the perspective of activeInclusion, Belgium</w:t>
      </w:r>
      <w:r>
        <w:t xml:space="preserve"> </w:t>
      </w:r>
    </w:p>
    <w:p w14:paraId="3CDB53EC"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Employment in Europe 2010 European Commission</w:t>
      </w:r>
    </w:p>
    <w:p w14:paraId="452F5D3A"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Comunicarea Comisiei către Parlamentul European, Consiliu, Comitetul Economic și Social European și Comitetul Regiunilor Inițiativă pentru antreprenoriatul socialConstruirea unui ecosistem pentru promovarea întreprinderilor sociale în cadrul economiei și al inovării sociale2011</w:t>
      </w:r>
    </w:p>
    <w:p w14:paraId="45184167"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Necesarul de finanțare și acces la servicii financiare și asistență tehnică al întreprinderilor sociale din România Maria Doiciu Ancuța Vameșu Elena Sabina Ganci Irina - Sînziana Opincaru – Eurom IES (FDSC) Aprlie 2016</w:t>
      </w:r>
    </w:p>
    <w:p w14:paraId="4E91E342"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 xml:space="preserve">Conturi nationale satelit ale economiei sociale din Romania Raport preliminar - Unitati institutionale parte a economiei sociale Ancuta Vamesu Fundația pentru Dezvoltarea Societății Civile </w:t>
      </w:r>
    </w:p>
    <w:p w14:paraId="4DC848D2"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ECONOMIA SOCIALĂ ÎN UNIUNEA EUROPEANĂ - Rezumatul raportului întocmit pentru Comitetul Economic și Social European de Centrul Internațional de Cercetare și Informare privind Economia Publică, Socială și Cooperatistă (CIRIEC)</w:t>
      </w:r>
    </w:p>
    <w:p w14:paraId="179E8512" w14:textId="77777777" w:rsidR="00FF51CE" w:rsidRDefault="00A90915">
      <w:pPr>
        <w:pStyle w:val="ListParagraph"/>
        <w:numPr>
          <w:ilvl w:val="0"/>
          <w:numId w:val="1"/>
        </w:numPr>
        <w:spacing w:after="60"/>
        <w:ind w:left="540" w:hanging="540"/>
      </w:pPr>
      <w:r>
        <w:rPr>
          <w:rFonts w:cs="Calibri"/>
          <w:sz w:val="20"/>
          <w:szCs w:val="20"/>
        </w:rPr>
        <w:t>http://www.ies.org.ro/mserv</w:t>
      </w:r>
      <w:r>
        <w:t xml:space="preserve"> </w:t>
      </w:r>
    </w:p>
    <w:p w14:paraId="3763C2C8"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STATISTICA ECONOMIEI SOCIALE ÎN ROMÂNIA Propuneri de politică publică Institutul de Economie Sociala Fundația pentru DezvoltareaSocietății Civile</w:t>
      </w:r>
    </w:p>
    <w:p w14:paraId="093431D3"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Recent evolutions of the Social Economy in the European Union by CIRIEC-International –European Economic and Social Committee CES/CSS/12/2016/23406</w:t>
      </w:r>
    </w:p>
    <w:p w14:paraId="326823DA"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Atlasul economiei sociale 2012-2014 Cristina Barna Institutul de Economie Sociala – Fundatia pentru Dezvoltarea Societatii Civile</w:t>
      </w:r>
    </w:p>
    <w:p w14:paraId="60341E83" w14:textId="77777777" w:rsidR="00FF51CE" w:rsidRDefault="00A90915">
      <w:pPr>
        <w:pStyle w:val="ListParagraph"/>
        <w:numPr>
          <w:ilvl w:val="0"/>
          <w:numId w:val="1"/>
        </w:numPr>
        <w:spacing w:after="60"/>
        <w:ind w:left="540" w:hanging="540"/>
      </w:pPr>
      <w:r>
        <w:rPr>
          <w:rFonts w:cs="Calibri"/>
          <w:sz w:val="20"/>
          <w:szCs w:val="20"/>
        </w:rPr>
        <w:t xml:space="preserve">Fundația pentru dezvoltarea societății civile (FDSC) (2017). </w:t>
      </w:r>
      <w:r>
        <w:rPr>
          <w:rFonts w:cs="Calibri"/>
          <w:i/>
          <w:sz w:val="20"/>
          <w:szCs w:val="20"/>
        </w:rPr>
        <w:t>România 2017. Sectorul neguvernamental – profil, tendințe, provocări</w:t>
      </w:r>
      <w:r>
        <w:rPr>
          <w:rFonts w:cs="Calibri"/>
          <w:sz w:val="20"/>
          <w:szCs w:val="20"/>
        </w:rPr>
        <w:t>. București: FDSC.</w:t>
      </w:r>
    </w:p>
    <w:p w14:paraId="4A8369E5" w14:textId="77777777" w:rsidR="00FF51CE" w:rsidRDefault="00A90915">
      <w:pPr>
        <w:pStyle w:val="ListParagraph"/>
        <w:numPr>
          <w:ilvl w:val="0"/>
          <w:numId w:val="1"/>
        </w:numPr>
        <w:spacing w:after="60"/>
        <w:ind w:left="540" w:hanging="540"/>
      </w:pPr>
      <w:r>
        <w:rPr>
          <w:rFonts w:cs="Calibri"/>
          <w:sz w:val="20"/>
          <w:szCs w:val="20"/>
        </w:rPr>
        <w:lastRenderedPageBreak/>
        <w:t xml:space="preserve">EUropean Commission (2019). </w:t>
      </w:r>
      <w:r>
        <w:rPr>
          <w:rFonts w:cs="Calibri"/>
          <w:i/>
          <w:sz w:val="20"/>
          <w:szCs w:val="20"/>
        </w:rPr>
        <w:t>Social enterprises and their ecosystems in Europe. Updated country report: Romania</w:t>
      </w:r>
      <w:r>
        <w:rPr>
          <w:rFonts w:cs="Calibri"/>
          <w:sz w:val="20"/>
          <w:szCs w:val="20"/>
        </w:rPr>
        <w:t xml:space="preserve">. Authors: Mihaela Lambru and Claudia Petrescu. Luxembourg: Publications Office of the European Union. Available at: </w:t>
      </w:r>
      <w:hyperlink r:id="rId11" w:history="1">
        <w:r>
          <w:rPr>
            <w:rStyle w:val="Hyperlink"/>
            <w:rFonts w:cs="Calibri"/>
            <w:sz w:val="20"/>
            <w:szCs w:val="20"/>
          </w:rPr>
          <w:t>https://ec.europa.eu/social/main.jsp?advSearchKey</w:t>
        </w:r>
      </w:hyperlink>
      <w:r>
        <w:rPr>
          <w:rFonts w:cs="Calibri"/>
          <w:sz w:val="20"/>
          <w:szCs w:val="20"/>
        </w:rPr>
        <w:t xml:space="preserve">= socnteco&amp;mode=advancedSubmit&amp;catId=22&amp;doc_submit=&amp;policyArea=0&amp;policyAreaSub=0&amp; country=0&amp;year=0Infografice „Romania 2017. Sectorul neguvernamental – profil, tendinte, provocari” (ro) – Fundatia pentru Dezvoltarea Societatii Civile Fundația pentru dezvoltarea societății civile (FDSC) (2017). </w:t>
      </w:r>
      <w:r>
        <w:rPr>
          <w:rFonts w:cs="Calibri"/>
          <w:i/>
          <w:sz w:val="20"/>
          <w:szCs w:val="20"/>
        </w:rPr>
        <w:t>România 2017. Sectorul neguvernamental – profil, tendințe, provocări</w:t>
      </w:r>
      <w:r>
        <w:rPr>
          <w:rFonts w:cs="Calibri"/>
          <w:sz w:val="20"/>
          <w:szCs w:val="20"/>
        </w:rPr>
        <w:t>. București: FDSC.</w:t>
      </w:r>
    </w:p>
    <w:p w14:paraId="2E825C05" w14:textId="77777777" w:rsidR="00FF51CE" w:rsidRDefault="00A90915">
      <w:pPr>
        <w:pStyle w:val="ListParagraph"/>
        <w:numPr>
          <w:ilvl w:val="0"/>
          <w:numId w:val="1"/>
        </w:numPr>
        <w:spacing w:after="60"/>
        <w:ind w:left="540" w:hanging="540"/>
      </w:pPr>
      <w:r>
        <w:rPr>
          <w:rFonts w:cs="Calibri"/>
          <w:sz w:val="20"/>
          <w:szCs w:val="20"/>
        </w:rPr>
        <w:t xml:space="preserve">European Commission (2019). </w:t>
      </w:r>
      <w:r>
        <w:rPr>
          <w:rFonts w:cs="Calibri"/>
          <w:i/>
          <w:sz w:val="20"/>
          <w:szCs w:val="20"/>
        </w:rPr>
        <w:t>Social enterprises and their ecosystems in Europe. Updated country report: Romania</w:t>
      </w:r>
      <w:r>
        <w:rPr>
          <w:rFonts w:cs="Calibri"/>
          <w:sz w:val="20"/>
          <w:szCs w:val="20"/>
        </w:rPr>
        <w:t xml:space="preserve">. Authors: Mihaela Lambru and Claudia Petrescu. Luxembourg: Publications Office of the European Union. </w:t>
      </w:r>
      <w:hyperlink r:id="rId12" w:history="1">
        <w:r>
          <w:rPr>
            <w:rStyle w:val="Hyperlink"/>
            <w:rFonts w:cs="Calibri"/>
            <w:sz w:val="20"/>
            <w:szCs w:val="20"/>
          </w:rPr>
          <w:t>https://ec.europa.eu/social/main.jsp?advSearchKey</w:t>
        </w:r>
      </w:hyperlink>
      <w:r>
        <w:rPr>
          <w:rFonts w:cs="Calibri"/>
          <w:sz w:val="20"/>
          <w:szCs w:val="20"/>
        </w:rPr>
        <w:t>= socnteco&amp;mode=advancedSubmit&amp;catId=22&amp;doc_submit=&amp;policyArea=0&amp;policyAreaSub=0&amp; country=0&amp;year=0</w:t>
      </w:r>
    </w:p>
    <w:p w14:paraId="5A10FFE2"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COMMISSION STAFF WORKING DOCUMENT Country Report Romania 2020 European Semester: Assessment of progress on structural reforms, prevention and correction of macroeconomic imbalances, and results of in-depth reviews under Regulation (EU) No 1176/2011</w:t>
      </w:r>
    </w:p>
    <w:p w14:paraId="593579A9"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Conturi nationale satelit ale economiei sociale din Romania Raport preliminar - Unitati institutionale parte a economiei sociale Ancuta Vamesu Fundația pentru Dezvoltarea Societății Civile</w:t>
      </w:r>
    </w:p>
    <w:p w14:paraId="73892C32"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Planul multianual de evaluare pentru PROGRAMUL OPERAŢIONAL SECTORIAL DEZVOLTAREA RESURSELOR UMANE, /http://old.fonduri-ue.ro/posdru/images/doc2013/pme_ro_iunie%202013.pdf </w:t>
      </w:r>
    </w:p>
    <w:p w14:paraId="7071784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Documente programatice 2014-2020</w:t>
      </w:r>
    </w:p>
    <w:p w14:paraId="4C1FBD8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Rapoarte anuale de implementare POSRU</w:t>
      </w:r>
    </w:p>
    <w:p w14:paraId="78B651A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final de implementare POSDRU, 2017</w:t>
      </w:r>
    </w:p>
    <w:p w14:paraId="0568938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de evaluare a Implementării Recomandării Comisiei Europene privind Incluziunea Activă, 2013</w:t>
      </w:r>
    </w:p>
    <w:p w14:paraId="17F0335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Raport – A doua Evaluare Intermediară a POSDRU, </w:t>
      </w:r>
    </w:p>
    <w:p w14:paraId="74EEDBF5" w14:textId="77777777" w:rsidR="00FF51CE" w:rsidRDefault="00F819AF">
      <w:pPr>
        <w:pStyle w:val="ListParagraph"/>
        <w:spacing w:after="60"/>
        <w:ind w:left="540"/>
      </w:pPr>
      <w:hyperlink r:id="rId13" w:history="1">
        <w:r w:rsidR="00A90915">
          <w:rPr>
            <w:rStyle w:val="Hyperlink"/>
            <w:rFonts w:cs="Calibri"/>
            <w:sz w:val="20"/>
            <w:szCs w:val="20"/>
            <w:lang w:val="ro-RO"/>
          </w:rPr>
          <w:t>http://old.fonduri-ue.ro/posdru/images/downdocs/raport.lot.1.pdf</w:t>
        </w:r>
      </w:hyperlink>
      <w:r w:rsidR="00A90915">
        <w:rPr>
          <w:rFonts w:cs="Calibri"/>
          <w:sz w:val="20"/>
          <w:szCs w:val="20"/>
          <w:lang w:val="ro-RO"/>
        </w:rPr>
        <w:t xml:space="preserve"> </w:t>
      </w:r>
    </w:p>
    <w:p w14:paraId="0A79452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Final al  Raportului de Evaluare Intermediară a POSDRU, 2011</w:t>
      </w:r>
    </w:p>
    <w:p w14:paraId="695EF2CF" w14:textId="77777777" w:rsidR="00FF51CE" w:rsidRDefault="00F819AF">
      <w:pPr>
        <w:pStyle w:val="ListParagraph"/>
        <w:spacing w:after="60"/>
        <w:ind w:left="540"/>
      </w:pPr>
      <w:hyperlink r:id="rId14" w:history="1">
        <w:r w:rsidR="00A90915">
          <w:rPr>
            <w:rStyle w:val="Hyperlink"/>
            <w:rFonts w:cs="Calibri"/>
            <w:sz w:val="20"/>
            <w:szCs w:val="20"/>
            <w:lang w:val="ro-RO"/>
          </w:rPr>
          <w:t>https://www.fonduri-ue.ro/images/files/studii-analize/9493/Prima_evaluare_intermediara_POSDRU.pdf</w:t>
        </w:r>
      </w:hyperlink>
    </w:p>
    <w:p w14:paraId="7A95E2E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Ghidurile solicitantului DMI 6.1</w:t>
      </w:r>
    </w:p>
    <w:p w14:paraId="632E09A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Strategii naționale</w:t>
      </w:r>
    </w:p>
    <w:p w14:paraId="78367C1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Legislație specifică în domeniul economiei sociale (Legea 219/2015)</w:t>
      </w:r>
    </w:p>
    <w:p w14:paraId="5D42EE9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Documente proiecte selectate ca studii de caz</w:t>
      </w:r>
    </w:p>
    <w:p w14:paraId="13C68624"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Social Enterprise: An International Overview of its Conceptual Evolution and Legal Implementation</w:t>
      </w:r>
      <w:r>
        <w:t xml:space="preserve"> - </w:t>
      </w:r>
      <w:r w:rsidRPr="008276E5">
        <w:rPr>
          <w:rFonts w:asciiTheme="minorHAnsi" w:hAnsiTheme="minorHAnsi"/>
          <w:sz w:val="20"/>
          <w:szCs w:val="20"/>
        </w:rPr>
        <w:t xml:space="preserve">Disponibil la:  </w:t>
      </w:r>
      <w:hyperlink r:id="rId15" w:history="1">
        <w:r w:rsidRPr="00EB0F6D">
          <w:rPr>
            <w:rStyle w:val="Hyperlink"/>
          </w:rPr>
          <w:t>http://www.fdsc.ro/library/prometeus/Social_enterprise.An_international_overview.pdf</w:t>
        </w:r>
      </w:hyperlink>
      <w:r>
        <w:t xml:space="preserve"> </w:t>
      </w:r>
    </w:p>
    <w:p w14:paraId="4214DAB6"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November 2009 Social Enterprise Journal 5(3):210-228 Giulia GaleraGiulia GaleraCarlo BorzagaCarlo Borzaga</w:t>
      </w:r>
      <w:r>
        <w:t xml:space="preserve"> - </w:t>
      </w:r>
      <w:r w:rsidRPr="008276E5">
        <w:rPr>
          <w:rFonts w:asciiTheme="minorHAnsi" w:hAnsiTheme="minorHAnsi"/>
          <w:sz w:val="20"/>
          <w:szCs w:val="20"/>
        </w:rPr>
        <w:t xml:space="preserve">Disponibil la: </w:t>
      </w:r>
      <w:hyperlink r:id="rId16" w:history="1">
        <w:r w:rsidRPr="00EB0F6D">
          <w:rPr>
            <w:rStyle w:val="Hyperlink"/>
          </w:rPr>
          <w:t>http://www.irsr.eu/issue05/07_Borgaza_p85-102.pdf</w:t>
        </w:r>
      </w:hyperlink>
      <w:r>
        <w:t xml:space="preserve"> </w:t>
      </w:r>
    </w:p>
    <w:p w14:paraId="35174478"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Recent evolutions of the Social Economy in the European Union by CIRIEC-International – European Economic and Social Committee CES/CSS/12/2016/23406</w:t>
      </w:r>
      <w:r>
        <w:rPr>
          <w:sz w:val="20"/>
          <w:szCs w:val="20"/>
        </w:rPr>
        <w:t xml:space="preserve"> - </w:t>
      </w:r>
      <w:r w:rsidRPr="008276E5">
        <w:rPr>
          <w:rFonts w:asciiTheme="minorHAnsi" w:hAnsiTheme="minorHAnsi"/>
          <w:sz w:val="20"/>
          <w:szCs w:val="20"/>
        </w:rPr>
        <w:t xml:space="preserve">Disponibil la: </w:t>
      </w:r>
      <w:hyperlink r:id="rId17" w:history="1">
        <w:r w:rsidRPr="00EB0F6D">
          <w:rPr>
            <w:rStyle w:val="Hyperlink"/>
            <w:sz w:val="20"/>
            <w:szCs w:val="20"/>
          </w:rPr>
          <w:t>https://www.eesc.europa.eu/sites/default/files/files/qe-04-17-875-en-n.pdf</w:t>
        </w:r>
      </w:hyperlink>
      <w:r>
        <w:rPr>
          <w:sz w:val="20"/>
          <w:szCs w:val="20"/>
        </w:rPr>
        <w:t xml:space="preserve"> </w:t>
      </w:r>
    </w:p>
    <w:p w14:paraId="58AA8CF4" w14:textId="77777777" w:rsidR="00521F82" w:rsidRDefault="00521F82" w:rsidP="00521F82">
      <w:pPr>
        <w:pStyle w:val="ListParagraph"/>
        <w:numPr>
          <w:ilvl w:val="0"/>
          <w:numId w:val="1"/>
        </w:numPr>
        <w:spacing w:after="60"/>
        <w:ind w:left="540" w:hanging="540"/>
        <w:rPr>
          <w:rStyle w:val="Hyperlink"/>
        </w:rPr>
      </w:pPr>
      <w:r w:rsidRPr="008276E5">
        <w:rPr>
          <w:rFonts w:asciiTheme="minorHAnsi" w:hAnsiTheme="minorHAnsi"/>
          <w:sz w:val="20"/>
          <w:szCs w:val="20"/>
        </w:rPr>
        <w:t xml:space="preserve">Petrescu, C. (2019) Achiziții rezervate: provocări, tendințe, oportunități. Centrul pentru Legislație Non-profit: București. Disponibil la: - </w:t>
      </w:r>
      <w:hyperlink r:id="rId18" w:history="1">
        <w:r w:rsidRPr="008276E5">
          <w:rPr>
            <w:rStyle w:val="Hyperlink"/>
            <w:rFonts w:asciiTheme="minorHAnsi" w:hAnsiTheme="minorHAnsi"/>
            <w:sz w:val="20"/>
            <w:szCs w:val="20"/>
          </w:rPr>
          <w:t>https://www.clnr.ro/raport-achizitii-rezervate-provocari-tendinte-oportunitati/</w:t>
        </w:r>
      </w:hyperlink>
    </w:p>
    <w:p w14:paraId="21EE52EB"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DISCUSSION PAPER 12-13 June 2008 Peer Review The Social economy from the perspective of active  Inclusion, Belgium</w:t>
      </w:r>
      <w:r>
        <w:rPr>
          <w:sz w:val="20"/>
          <w:szCs w:val="20"/>
        </w:rPr>
        <w:t xml:space="preserve"> - </w:t>
      </w:r>
      <w:hyperlink r:id="rId19" w:history="1">
        <w:r w:rsidRPr="00EB0F6D">
          <w:rPr>
            <w:rStyle w:val="Hyperlink"/>
            <w:sz w:val="20"/>
            <w:szCs w:val="20"/>
          </w:rPr>
          <w:t>https://www.archief.social-enterprise.nl/files/2214/4191/0278/discussionpaperbe08.pdf</w:t>
        </w:r>
      </w:hyperlink>
      <w:r>
        <w:rPr>
          <w:sz w:val="20"/>
          <w:szCs w:val="20"/>
        </w:rPr>
        <w:t xml:space="preserve"> </w:t>
      </w:r>
    </w:p>
    <w:p w14:paraId="4EEFD8E3"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Employment in Europe 2010 European Commission</w:t>
      </w:r>
      <w:r>
        <w:rPr>
          <w:sz w:val="20"/>
          <w:szCs w:val="20"/>
        </w:rPr>
        <w:t xml:space="preserve"> </w:t>
      </w:r>
      <w:r w:rsidRPr="008276E5">
        <w:rPr>
          <w:rFonts w:asciiTheme="minorHAnsi" w:hAnsiTheme="minorHAnsi"/>
          <w:sz w:val="20"/>
          <w:szCs w:val="20"/>
        </w:rPr>
        <w:t xml:space="preserve">Disponibil la: </w:t>
      </w:r>
      <w:r>
        <w:rPr>
          <w:sz w:val="20"/>
          <w:szCs w:val="20"/>
        </w:rPr>
        <w:t xml:space="preserve"> </w:t>
      </w:r>
      <w:hyperlink r:id="rId20" w:history="1">
        <w:r w:rsidRPr="00EB0F6D">
          <w:rPr>
            <w:rStyle w:val="Hyperlink"/>
            <w:sz w:val="20"/>
            <w:szCs w:val="20"/>
          </w:rPr>
          <w:t>https://ec.europa.eu/employment_social/eie/chap1-2-2-page-4_en.html</w:t>
        </w:r>
      </w:hyperlink>
      <w:r>
        <w:rPr>
          <w:sz w:val="20"/>
          <w:szCs w:val="20"/>
        </w:rPr>
        <w:t xml:space="preserve"> </w:t>
      </w:r>
    </w:p>
    <w:p w14:paraId="62605C4C"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lastRenderedPageBreak/>
        <w:t xml:space="preserve">Necesarul de finanțare și acces la servicii financiare și asistență tehnică al întreprinderilor sociale din România Maria Doiciu Ancuța Vameșu Elena Sabina Ganci Irina - Sînziana Opincaru – Eurom IES (FDSC) </w:t>
      </w:r>
      <w:r>
        <w:t>Aprilie</w:t>
      </w:r>
      <w:r w:rsidRPr="008276E5">
        <w:rPr>
          <w:rFonts w:asciiTheme="minorHAnsi" w:hAnsiTheme="minorHAnsi"/>
          <w:sz w:val="20"/>
          <w:szCs w:val="20"/>
        </w:rPr>
        <w:t xml:space="preserve"> 2016</w:t>
      </w:r>
      <w:r>
        <w:t xml:space="preserve">. </w:t>
      </w:r>
      <w:r w:rsidRPr="008276E5">
        <w:rPr>
          <w:rFonts w:asciiTheme="minorHAnsi" w:hAnsiTheme="minorHAnsi"/>
          <w:sz w:val="20"/>
          <w:szCs w:val="20"/>
        </w:rPr>
        <w:t xml:space="preserve">Disponibil la:  </w:t>
      </w:r>
      <w:hyperlink r:id="rId21" w:history="1">
        <w:r w:rsidRPr="00EB0F6D">
          <w:rPr>
            <w:rStyle w:val="Hyperlink"/>
          </w:rPr>
          <w:t>http://www.ies.org.ro/library/files/accesul_la_finantare_si_servicii_is_-_10_august_2017_maria_doiciu.pdf</w:t>
        </w:r>
      </w:hyperlink>
      <w:r>
        <w:t xml:space="preserve"> </w:t>
      </w:r>
    </w:p>
    <w:p w14:paraId="25C1B5AA"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Conturi nationale satelit ale economiei sociale din Romania Raport preliminar - Unitati institutionale parte a economiei sociale Ancuta Vamesu Fundația pentru Dezvoltarea Societății Civile</w:t>
      </w:r>
      <w:r>
        <w:t xml:space="preserve">. </w:t>
      </w:r>
      <w:r w:rsidRPr="008276E5">
        <w:rPr>
          <w:rFonts w:asciiTheme="minorHAnsi" w:hAnsiTheme="minorHAnsi"/>
          <w:sz w:val="20"/>
          <w:szCs w:val="20"/>
        </w:rPr>
        <w:t xml:space="preserve">Disponibil la:- </w:t>
      </w:r>
      <w:hyperlink r:id="rId22" w:history="1">
        <w:r w:rsidRPr="00EB0F6D">
          <w:rPr>
            <w:rStyle w:val="Hyperlink"/>
          </w:rPr>
          <w:t>http://www.ies.org.ro/library/files/document_de_politica_publica_-_statistica_economiei_sociale.pdf</w:t>
        </w:r>
      </w:hyperlink>
      <w:r>
        <w:t xml:space="preserve"> </w:t>
      </w:r>
    </w:p>
    <w:p w14:paraId="1362FD5F"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ECONOMIA SOCIALĂ ÎN UNIUNEA EUROPEANĂ - Rezumatul raportului întocmit pentru Comitetul Economic și Social European de Centrul Internațional de Cercetare și Informare privind Economia Publică, Socială și Cooperatistă (CIRIEC)</w:t>
      </w:r>
      <w:r>
        <w:t xml:space="preserve">. </w:t>
      </w:r>
      <w:r w:rsidRPr="008276E5">
        <w:rPr>
          <w:rFonts w:asciiTheme="minorHAnsi" w:hAnsiTheme="minorHAnsi"/>
          <w:sz w:val="20"/>
          <w:szCs w:val="20"/>
        </w:rPr>
        <w:t xml:space="preserve">Disponibil la: - </w:t>
      </w:r>
      <w:r>
        <w:t xml:space="preserve"> </w:t>
      </w:r>
      <w:hyperlink r:id="rId23" w:history="1">
        <w:r w:rsidRPr="00EB0F6D">
          <w:rPr>
            <w:rStyle w:val="Hyperlink"/>
          </w:rPr>
          <w:t>https://www.eesc.europa.eu/resources/docs/a_ces11042-2012_00_00_tra_etu_ro.pdf</w:t>
        </w:r>
      </w:hyperlink>
      <w:r>
        <w:t xml:space="preserve"> </w:t>
      </w:r>
    </w:p>
    <w:p w14:paraId="579EEB58"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STATISTICA ECONOMIEI SOCIALE ÎN ROMÂNIA Propuneri de politică publică Institutul de Economie Sociala Fundația pentru Dezvoltarea Societății Civile</w:t>
      </w:r>
      <w:r>
        <w:t xml:space="preserve">. </w:t>
      </w:r>
      <w:r w:rsidRPr="008276E5">
        <w:rPr>
          <w:rFonts w:asciiTheme="minorHAnsi" w:hAnsiTheme="minorHAnsi"/>
          <w:sz w:val="20"/>
          <w:szCs w:val="20"/>
        </w:rPr>
        <w:t xml:space="preserve">Disponibil la:- </w:t>
      </w:r>
      <w:r>
        <w:t xml:space="preserve"> </w:t>
      </w:r>
      <w:hyperlink r:id="rId24" w:history="1">
        <w:r w:rsidRPr="00EB0F6D">
          <w:rPr>
            <w:rStyle w:val="Hyperlink"/>
          </w:rPr>
          <w:t>http://www.ies.org.ro/library/files/document_de_politica_publica_-_statistica_economiei_sociale.pdf</w:t>
        </w:r>
      </w:hyperlink>
      <w:r>
        <w:t xml:space="preserve"> </w:t>
      </w:r>
    </w:p>
    <w:p w14:paraId="06B773E7"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Atlasul economiei sociale 2012-2014 Cristina Barna Institutul de Economie Sociala – Fundatia pentru Dezvoltarea Societatii Civile</w:t>
      </w:r>
      <w:r>
        <w:t xml:space="preserve">. </w:t>
      </w:r>
      <w:r w:rsidRPr="008276E5">
        <w:rPr>
          <w:rFonts w:asciiTheme="minorHAnsi" w:hAnsiTheme="minorHAnsi"/>
          <w:sz w:val="20"/>
          <w:szCs w:val="20"/>
        </w:rPr>
        <w:t xml:space="preserve">Disponibil la: </w:t>
      </w:r>
      <w:hyperlink r:id="rId25" w:history="1">
        <w:r w:rsidRPr="00EB0F6D">
          <w:rPr>
            <w:rStyle w:val="Hyperlink"/>
          </w:rPr>
          <w:t>http://profitpentruoameni.ro/wp-content/uploads/2016/06/01-ATLASUL-ECONOMIEI-SOCIALE-EDITIA-2014.pdf</w:t>
        </w:r>
      </w:hyperlink>
      <w:r>
        <w:t xml:space="preserve"> </w:t>
      </w:r>
    </w:p>
    <w:p w14:paraId="46E60BBB" w14:textId="77777777" w:rsidR="00521F82" w:rsidRDefault="00521F82" w:rsidP="00521F82">
      <w:pPr>
        <w:pStyle w:val="ListParagraph"/>
        <w:numPr>
          <w:ilvl w:val="0"/>
          <w:numId w:val="1"/>
        </w:numPr>
        <w:spacing w:after="60"/>
        <w:ind w:left="540" w:hanging="540"/>
      </w:pPr>
      <w:r w:rsidRPr="008276E5">
        <w:rPr>
          <w:rFonts w:asciiTheme="minorHAnsi" w:hAnsiTheme="minorHAnsi"/>
          <w:sz w:val="20"/>
          <w:szCs w:val="20"/>
        </w:rPr>
        <w:t xml:space="preserve">Fundația pentru dezvoltarea societății civile (FDSC) (2017). </w:t>
      </w:r>
      <w:r w:rsidRPr="008276E5">
        <w:rPr>
          <w:rFonts w:asciiTheme="minorHAnsi" w:hAnsiTheme="minorHAnsi"/>
          <w:i/>
          <w:sz w:val="20"/>
          <w:szCs w:val="20"/>
        </w:rPr>
        <w:t>România 2017. Sectorul neguvernamental – profil, tendințe, provocări</w:t>
      </w:r>
      <w:r w:rsidRPr="008276E5">
        <w:rPr>
          <w:rFonts w:asciiTheme="minorHAnsi" w:hAnsiTheme="minorHAnsi"/>
          <w:sz w:val="20"/>
          <w:szCs w:val="20"/>
        </w:rPr>
        <w:t>. București: FDSC</w:t>
      </w:r>
      <w:r>
        <w:t xml:space="preserve">. </w:t>
      </w:r>
      <w:r w:rsidRPr="008276E5">
        <w:rPr>
          <w:rFonts w:asciiTheme="minorHAnsi" w:hAnsiTheme="minorHAnsi"/>
          <w:sz w:val="20"/>
          <w:szCs w:val="20"/>
        </w:rPr>
        <w:t xml:space="preserve">Disponibil la: </w:t>
      </w:r>
      <w:hyperlink r:id="rId26" w:history="1">
        <w:r w:rsidRPr="00EB0F6D">
          <w:rPr>
            <w:rStyle w:val="Hyperlink"/>
          </w:rPr>
          <w:t>https://fondong.fdsc.ro/romania-2017-sectorul-neguvernamental-profil-tendinte-provocari</w:t>
        </w:r>
      </w:hyperlink>
      <w:r>
        <w:t xml:space="preserve"> </w:t>
      </w:r>
    </w:p>
    <w:p w14:paraId="025CE239"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 xml:space="preserve">European Commission (2019). </w:t>
      </w:r>
      <w:r w:rsidRPr="008276E5">
        <w:rPr>
          <w:rFonts w:asciiTheme="minorHAnsi" w:hAnsiTheme="minorHAnsi"/>
          <w:i/>
          <w:sz w:val="20"/>
          <w:szCs w:val="20"/>
        </w:rPr>
        <w:t>Social enterprises and their ecosystems in Europe. Updated country report: Romania</w:t>
      </w:r>
      <w:r w:rsidRPr="008276E5">
        <w:rPr>
          <w:rFonts w:asciiTheme="minorHAnsi" w:hAnsiTheme="minorHAnsi"/>
          <w:sz w:val="20"/>
          <w:szCs w:val="20"/>
        </w:rPr>
        <w:t xml:space="preserve">. Authors: Mihaela Lambru and Claudia Petrescu. Luxembourg: Publications Office of the European Union. Available at: </w:t>
      </w:r>
      <w:hyperlink r:id="rId27">
        <w:r w:rsidRPr="008276E5">
          <w:rPr>
            <w:rStyle w:val="Hyperlink"/>
            <w:rFonts w:asciiTheme="minorHAnsi" w:hAnsiTheme="minorHAnsi"/>
            <w:sz w:val="20"/>
            <w:szCs w:val="20"/>
          </w:rPr>
          <w:t>https://ec.europa.eu/social/main.jsp?advSearchKey</w:t>
        </w:r>
      </w:hyperlink>
      <w:r w:rsidRPr="008276E5">
        <w:rPr>
          <w:rFonts w:asciiTheme="minorHAnsi" w:hAnsiTheme="minorHAnsi"/>
          <w:sz w:val="20"/>
          <w:szCs w:val="20"/>
        </w:rPr>
        <w:t>= socnteco&amp;mode=advancedSubmit&amp;catId=22&amp;doc_submit=&amp;policyArea=0&amp;policyAreaSub=0&amp; country=0&amp;year=0</w:t>
      </w:r>
      <w:r>
        <w:rPr>
          <w:sz w:val="20"/>
          <w:szCs w:val="20"/>
        </w:rPr>
        <w:t xml:space="preserve"> </w:t>
      </w:r>
    </w:p>
    <w:p w14:paraId="405F5DA7"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 xml:space="preserve">European Commission (2019). </w:t>
      </w:r>
      <w:r w:rsidRPr="008276E5">
        <w:rPr>
          <w:rFonts w:asciiTheme="minorHAnsi" w:hAnsiTheme="minorHAnsi"/>
          <w:i/>
          <w:sz w:val="20"/>
          <w:szCs w:val="20"/>
        </w:rPr>
        <w:t>Social enterprises and their ecosystems in Europe. Updated country report: Romania</w:t>
      </w:r>
      <w:r w:rsidRPr="008276E5">
        <w:rPr>
          <w:rFonts w:asciiTheme="minorHAnsi" w:hAnsiTheme="minorHAnsi"/>
          <w:sz w:val="20"/>
          <w:szCs w:val="20"/>
        </w:rPr>
        <w:t xml:space="preserve">. Authors: Mihaela Lambru and Claudia Petrescu. Luxembourg: Publications Office of the European Union. Available at: </w:t>
      </w:r>
      <w:hyperlink r:id="rId28">
        <w:r w:rsidRPr="008276E5">
          <w:rPr>
            <w:rStyle w:val="Hyperlink"/>
            <w:rFonts w:asciiTheme="minorHAnsi" w:hAnsiTheme="minorHAnsi"/>
            <w:sz w:val="20"/>
            <w:szCs w:val="20"/>
          </w:rPr>
          <w:t>https://ec.europa.eu/social/main.jsp?advSearchKey</w:t>
        </w:r>
      </w:hyperlink>
      <w:r w:rsidRPr="008276E5">
        <w:rPr>
          <w:rFonts w:asciiTheme="minorHAnsi" w:hAnsiTheme="minorHAnsi"/>
          <w:sz w:val="20"/>
          <w:szCs w:val="20"/>
        </w:rPr>
        <w:t>= socnteco&amp;mode=advancedSubmit&amp;catId=22&amp;doc_submit=&amp;policyArea=0&amp;policyAreaSub=0&amp; country=0&amp;year=0</w:t>
      </w:r>
    </w:p>
    <w:p w14:paraId="2598AB4F"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bookmarkStart w:id="0" w:name="_Hlk66342380"/>
      <w:r w:rsidRPr="008276E5">
        <w:rPr>
          <w:rFonts w:asciiTheme="minorHAnsi" w:hAnsiTheme="minorHAnsi"/>
          <w:sz w:val="20"/>
          <w:szCs w:val="20"/>
        </w:rPr>
        <w:t>COMMISSION STAFF WORKING DOCUMENT Country Report Romania 2020 European Semester: Assessment of progress on structural reforms, prevention and correction of macroeconomic imbalances, and results of in-depth reviews under Regulation (EU) No 1176/2011</w:t>
      </w:r>
      <w:bookmarkEnd w:id="0"/>
      <w:r>
        <w:rPr>
          <w:sz w:val="20"/>
          <w:szCs w:val="20"/>
        </w:rPr>
        <w:t xml:space="preserve"> - </w:t>
      </w:r>
      <w:hyperlink r:id="rId29" w:history="1">
        <w:r w:rsidRPr="00EB0F6D">
          <w:rPr>
            <w:rStyle w:val="Hyperlink"/>
            <w:sz w:val="20"/>
            <w:szCs w:val="20"/>
          </w:rPr>
          <w:t>https://eur-lex.europa.eu/legal-content/EN/TXT/?uri=CELEX%3A52020SC0522</w:t>
        </w:r>
      </w:hyperlink>
      <w:r>
        <w:rPr>
          <w:sz w:val="20"/>
          <w:szCs w:val="20"/>
        </w:rPr>
        <w:t xml:space="preserve"> </w:t>
      </w:r>
    </w:p>
    <w:p w14:paraId="6CF0C5CC" w14:textId="77777777" w:rsidR="00521F82" w:rsidRPr="008276E5" w:rsidRDefault="00F819AF" w:rsidP="00521F82">
      <w:pPr>
        <w:pStyle w:val="ListParagraph"/>
        <w:numPr>
          <w:ilvl w:val="0"/>
          <w:numId w:val="1"/>
        </w:numPr>
        <w:spacing w:after="60"/>
        <w:ind w:left="540" w:hanging="540"/>
        <w:rPr>
          <w:rFonts w:asciiTheme="minorHAnsi" w:hAnsiTheme="minorHAnsi"/>
          <w:sz w:val="20"/>
          <w:szCs w:val="20"/>
        </w:rPr>
      </w:pPr>
      <w:hyperlink r:id="rId30" w:history="1">
        <w:r w:rsidR="00521F82" w:rsidRPr="008276E5">
          <w:rPr>
            <w:rStyle w:val="Hyperlink"/>
            <w:rFonts w:asciiTheme="minorHAnsi" w:hAnsiTheme="minorHAnsi"/>
            <w:sz w:val="20"/>
            <w:szCs w:val="20"/>
          </w:rPr>
          <w:t>https://ec.europa.eu/growth/sectors/social-economy_ro</w:t>
        </w:r>
      </w:hyperlink>
    </w:p>
    <w:p w14:paraId="6BE1039D" w14:textId="77777777" w:rsidR="00521F82" w:rsidRPr="008276E5" w:rsidRDefault="00F819AF" w:rsidP="00521F82">
      <w:pPr>
        <w:pStyle w:val="ListParagraph"/>
        <w:numPr>
          <w:ilvl w:val="0"/>
          <w:numId w:val="1"/>
        </w:numPr>
        <w:spacing w:after="60"/>
        <w:ind w:left="540" w:hanging="540"/>
        <w:rPr>
          <w:rFonts w:asciiTheme="minorHAnsi" w:hAnsiTheme="minorHAnsi"/>
          <w:sz w:val="20"/>
          <w:szCs w:val="20"/>
        </w:rPr>
      </w:pPr>
      <w:hyperlink r:id="rId31" w:history="1">
        <w:r w:rsidR="00521F82" w:rsidRPr="008276E5">
          <w:rPr>
            <w:rStyle w:val="Hyperlink"/>
            <w:rFonts w:asciiTheme="minorHAnsi" w:hAnsiTheme="minorHAnsi"/>
            <w:sz w:val="20"/>
            <w:szCs w:val="20"/>
          </w:rPr>
          <w:t>http://www.ies.org.ro/mserv</w:t>
        </w:r>
      </w:hyperlink>
    </w:p>
    <w:p w14:paraId="1D98A5EE" w14:textId="77777777" w:rsidR="00FF51CE" w:rsidRDefault="00FF51CE">
      <w:pPr>
        <w:spacing w:after="60" w:line="240" w:lineRule="auto"/>
        <w:jc w:val="both"/>
        <w:rPr>
          <w:rFonts w:cs="Calibri"/>
          <w:sz w:val="20"/>
          <w:szCs w:val="20"/>
        </w:rPr>
      </w:pPr>
    </w:p>
    <w:sectPr w:rsidR="00FF51CE">
      <w:headerReference w:type="default" r:id="rId32"/>
      <w:footerReference w:type="default" r:id="rId33"/>
      <w:pgSz w:w="12240" w:h="15840"/>
      <w:pgMar w:top="1440" w:right="72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3DCF" w14:textId="77777777" w:rsidR="00F819AF" w:rsidRDefault="00F819AF">
      <w:pPr>
        <w:spacing w:after="0" w:line="240" w:lineRule="auto"/>
      </w:pPr>
      <w:r>
        <w:separator/>
      </w:r>
    </w:p>
  </w:endnote>
  <w:endnote w:type="continuationSeparator" w:id="0">
    <w:p w14:paraId="3FC4C84F" w14:textId="77777777" w:rsidR="00F819AF" w:rsidRDefault="00F8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360F" w14:textId="77777777" w:rsidR="000B58FA" w:rsidRDefault="00A90915">
    <w:pPr>
      <w:pBdr>
        <w:top w:val="single" w:sz="4" w:space="1" w:color="000000"/>
      </w:pBdr>
      <w:tabs>
        <w:tab w:val="left" w:pos="1843"/>
      </w:tabs>
      <w:ind w:right="-180"/>
      <w:jc w:val="both"/>
    </w:pPr>
    <w:r>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b/>
        <w:sz w:val="16"/>
        <w:szCs w:val="16"/>
      </w:rPr>
      <w:fldChar w:fldCharType="begin"/>
    </w:r>
    <w:r>
      <w:rPr>
        <w:b/>
        <w:sz w:val="16"/>
        <w:szCs w:val="16"/>
      </w:rPr>
      <w:instrText xml:space="preserve"> PAGE </w:instrText>
    </w:r>
    <w:r>
      <w:rPr>
        <w:b/>
        <w:sz w:val="16"/>
        <w:szCs w:val="16"/>
      </w:rPr>
      <w:fldChar w:fldCharType="separate"/>
    </w:r>
    <w:r>
      <w:rPr>
        <w:b/>
        <w:sz w:val="16"/>
        <w:szCs w:val="16"/>
      </w:rPr>
      <w:t>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0724" w14:textId="77777777" w:rsidR="00F819AF" w:rsidRDefault="00F819AF">
      <w:pPr>
        <w:spacing w:after="0" w:line="240" w:lineRule="auto"/>
      </w:pPr>
      <w:r>
        <w:rPr>
          <w:color w:val="000000"/>
        </w:rPr>
        <w:separator/>
      </w:r>
    </w:p>
  </w:footnote>
  <w:footnote w:type="continuationSeparator" w:id="0">
    <w:p w14:paraId="072481FB" w14:textId="77777777" w:rsidR="00F819AF" w:rsidRDefault="00F8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D627" w14:textId="77777777" w:rsidR="000B58FA" w:rsidRDefault="00A90915">
    <w:pPr>
      <w:pStyle w:val="Header"/>
    </w:pPr>
    <w:r>
      <w:rPr>
        <w:noProof/>
      </w:rPr>
      <w:drawing>
        <wp:inline distT="0" distB="0" distL="0" distR="0" wp14:anchorId="170246DE" wp14:editId="4D6564C6">
          <wp:extent cx="800100" cy="670556"/>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670556"/>
                  </a:xfrm>
                  <a:prstGeom prst="rect">
                    <a:avLst/>
                  </a:prstGeom>
                  <a:noFill/>
                  <a:ln>
                    <a:noFill/>
                    <a:prstDash/>
                  </a:ln>
                </pic:spPr>
              </pic:pic>
            </a:graphicData>
          </a:graphic>
        </wp:inline>
      </w:drawing>
    </w:r>
    <w:r>
      <w:rPr>
        <w:lang w:val="en-GB"/>
      </w:rPr>
      <w:tab/>
    </w:r>
    <w:r>
      <w:rPr>
        <w:noProof/>
      </w:rPr>
      <w:drawing>
        <wp:inline distT="0" distB="0" distL="0" distR="0" wp14:anchorId="45D7EDA0" wp14:editId="07C3E9F8">
          <wp:extent cx="670556" cy="640080"/>
          <wp:effectExtent l="0" t="0" r="0" b="762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r="76346"/>
                  <a:stretch>
                    <a:fillRect/>
                  </a:stretch>
                </pic:blipFill>
                <pic:spPr>
                  <a:xfrm>
                    <a:off x="0" y="0"/>
                    <a:ext cx="670556" cy="640080"/>
                  </a:xfrm>
                  <a:prstGeom prst="rect">
                    <a:avLst/>
                  </a:prstGeom>
                  <a:noFill/>
                  <a:ln>
                    <a:noFill/>
                    <a:prstDash/>
                  </a:ln>
                </pic:spPr>
              </pic:pic>
            </a:graphicData>
          </a:graphic>
        </wp:inline>
      </w:drawing>
    </w:r>
    <w:r>
      <w:rPr>
        <w:lang w:val="en-GB"/>
      </w:rPr>
      <w:tab/>
    </w:r>
    <w:r>
      <w:rPr>
        <w:noProof/>
      </w:rPr>
      <w:drawing>
        <wp:inline distT="0" distB="0" distL="0" distR="0" wp14:anchorId="01F39694" wp14:editId="78E46A2E">
          <wp:extent cx="693416" cy="693416"/>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93416" cy="693416"/>
                  </a:xfrm>
                  <a:prstGeom prst="rect">
                    <a:avLst/>
                  </a:prstGeom>
                  <a:noFill/>
                  <a:ln>
                    <a:noFill/>
                    <a:prstDash/>
                  </a:ln>
                </pic:spPr>
              </pic:pic>
            </a:graphicData>
          </a:graphic>
        </wp:inline>
      </w:drawing>
    </w:r>
  </w:p>
  <w:p w14:paraId="357280B8" w14:textId="77777777" w:rsidR="000B58FA" w:rsidRDefault="00F81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260B"/>
    <w:multiLevelType w:val="multilevel"/>
    <w:tmpl w:val="57D292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CE"/>
    <w:rsid w:val="000A4E2E"/>
    <w:rsid w:val="000B716F"/>
    <w:rsid w:val="001319E9"/>
    <w:rsid w:val="00521F82"/>
    <w:rsid w:val="0075203A"/>
    <w:rsid w:val="00754554"/>
    <w:rsid w:val="00A90915"/>
    <w:rsid w:val="00AB68E9"/>
    <w:rsid w:val="00B444D9"/>
    <w:rsid w:val="00F819AF"/>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95AC"/>
  <w15:docId w15:val="{E510060E-697C-4B28-B67E-BBCC7E2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120" w:line="240" w:lineRule="auto"/>
      <w:ind w:left="720"/>
      <w:jc w:val="both"/>
    </w:pPr>
    <w:rPr>
      <w:rFonts w:eastAsia="SimSun" w:cs="Cambria"/>
      <w:bCs/>
      <w:lang w:eastAsia="ja-JP"/>
    </w:rPr>
  </w:style>
  <w:style w:type="character" w:customStyle="1" w:styleId="ListParagraphChar">
    <w:name w:val="List Paragraph Char"/>
    <w:rPr>
      <w:rFonts w:eastAsia="SimSun" w:cs="Cambria"/>
      <w:bCs/>
      <w:lang w:eastAsia="ja-JP"/>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Strong">
    <w:name w:val="Strong"/>
    <w:rPr>
      <w:rFonts w:cs="Times New Roman"/>
      <w: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uiPriority w:val="99"/>
    <w:pPr>
      <w:spacing w:after="0" w:line="240" w:lineRule="auto"/>
      <w:jc w:val="both"/>
    </w:pPr>
    <w:rPr>
      <w:rFonts w:eastAsia="SimSun" w:cs="Cambria"/>
      <w:sz w:val="20"/>
      <w:szCs w:val="20"/>
      <w:lang w:val="ro-RO"/>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basedOn w:val="DefaultParagraphFont"/>
    <w:uiPriority w:val="99"/>
    <w:rPr>
      <w:rFonts w:eastAsia="SimSun" w:cs="Cambria"/>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fonduri-ue.ro/posdru/images/downdocs/raport.lot.1.pdf" TargetMode="External"/><Relationship Id="rId18" Type="http://schemas.openxmlformats.org/officeDocument/2006/relationships/hyperlink" Target="https://www.clnr.ro/raport-achizitii-rezervate-provocari-tendinte-oportunitati/" TargetMode="External"/><Relationship Id="rId26" Type="http://schemas.openxmlformats.org/officeDocument/2006/relationships/hyperlink" Target="https://fondong.fdsc.ro/romania-2017-sectorul-neguvernamental-profil-tendinte-provocari" TargetMode="External"/><Relationship Id="rId3" Type="http://schemas.openxmlformats.org/officeDocument/2006/relationships/customXml" Target="../customXml/item3.xml"/><Relationship Id="rId21" Type="http://schemas.openxmlformats.org/officeDocument/2006/relationships/hyperlink" Target="http://www.ies.org.ro/library/files/accesul_la_finantare_si_servicii_is_-_10_august_2017_maria_doiciu.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c.europa.eu/social/main.jsp?advSearchKey" TargetMode="External"/><Relationship Id="rId17" Type="http://schemas.openxmlformats.org/officeDocument/2006/relationships/hyperlink" Target="https://www.eesc.europa.eu/sites/default/files/files/qe-04-17-875-en-n.pdf" TargetMode="External"/><Relationship Id="rId25" Type="http://schemas.openxmlformats.org/officeDocument/2006/relationships/hyperlink" Target="http://profitpentruoameni.ro/wp-content/uploads/2016/06/01-ATLASUL-ECONOMIEI-SOCIALE-EDITIA-2014.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rsr.eu/issue05/07_Borgaza_p85-102.pdf" TargetMode="External"/><Relationship Id="rId20" Type="http://schemas.openxmlformats.org/officeDocument/2006/relationships/hyperlink" Target="https://ec.europa.eu/employment_social/eie/chap1-2-2-page-4_en.html" TargetMode="External"/><Relationship Id="rId29" Type="http://schemas.openxmlformats.org/officeDocument/2006/relationships/hyperlink" Target="https://eur-lex.europa.eu/legal-content/EN/TXT/?uri=CELEX%3A52020SC05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social/main.jsp?advSearchKey" TargetMode="External"/><Relationship Id="rId24" Type="http://schemas.openxmlformats.org/officeDocument/2006/relationships/hyperlink" Target="http://www.ies.org.ro/library/files/document_de_politica_publica_-_statistica_economiei_sociale.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dsc.ro/library/prometeus/Social_enterprise.An_international_overview.pdf" TargetMode="External"/><Relationship Id="rId23" Type="http://schemas.openxmlformats.org/officeDocument/2006/relationships/hyperlink" Target="https://www.eesc.europa.eu/resources/docs/a_ces11042-2012_00_00_tra_etu_ro.pdf" TargetMode="External"/><Relationship Id="rId28" Type="http://schemas.openxmlformats.org/officeDocument/2006/relationships/hyperlink" Target="https://ec.europa.eu/social/main.jsp?advSearchKey" TargetMode="External"/><Relationship Id="rId10" Type="http://schemas.openxmlformats.org/officeDocument/2006/relationships/hyperlink" Target="https://www.clnr.ro/raport-achizitii-rezervate-provocari-tendinte-oportunitati/" TargetMode="External"/><Relationship Id="rId19" Type="http://schemas.openxmlformats.org/officeDocument/2006/relationships/hyperlink" Target="https://www.archief.social-enterprise.nl/files/2214/4191/0278/discussionpaperbe08.pdf" TargetMode="External"/><Relationship Id="rId31" Type="http://schemas.openxmlformats.org/officeDocument/2006/relationships/hyperlink" Target="http://www.ies.org.ro/mser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nduri-ue.ro/images/files/studii-analize/9493/Prima_evaluare_intermediara_POSDRU.pdf" TargetMode="External"/><Relationship Id="rId22" Type="http://schemas.openxmlformats.org/officeDocument/2006/relationships/hyperlink" Target="http://www.ies.org.ro/library/files/document_de_politica_publica_-_statistica_economiei_sociale.pdf" TargetMode="External"/><Relationship Id="rId27" Type="http://schemas.openxmlformats.org/officeDocument/2006/relationships/hyperlink" Target="https://ec.europa.eu/social/main.jsp?advSearchKey" TargetMode="External"/><Relationship Id="rId30" Type="http://schemas.openxmlformats.org/officeDocument/2006/relationships/hyperlink" Target="https://ec.europa.eu/growth/sectors/social-economy_ro"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9F2A-D6F9-4831-98C3-870BEA4E7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4378F-F3CA-4B0E-B851-47E0E70B0045}">
  <ds:schemaRefs>
    <ds:schemaRef ds:uri="http://schemas.microsoft.com/sharepoint/v3/contenttype/forms"/>
  </ds:schemaRefs>
</ds:datastoreItem>
</file>

<file path=customXml/itemProps3.xml><?xml version="1.0" encoding="utf-8"?>
<ds:datastoreItem xmlns:ds="http://schemas.openxmlformats.org/officeDocument/2006/customXml" ds:itemID="{7803A345-232F-487B-816C-97DA7139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2795</Words>
  <Characters>15934</Characters>
  <Application>Microsoft Office Word</Application>
  <DocSecurity>0</DocSecurity>
  <Lines>132</Lines>
  <Paragraphs>37</Paragraphs>
  <ScaleCrop>false</ScaleCrop>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Moraru</dc:creator>
  <dc:description/>
  <cp:lastModifiedBy>Stefan Moraru</cp:lastModifiedBy>
  <cp:revision>3</cp:revision>
  <dcterms:created xsi:type="dcterms:W3CDTF">2021-04-19T09:06:00Z</dcterms:created>
  <dcterms:modified xsi:type="dcterms:W3CDTF">2021-11-05T15:22:00Z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