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53C9" w14:textId="77777777" w:rsidR="005F4968" w:rsidRPr="00286B0C" w:rsidRDefault="005F4968" w:rsidP="005F4968">
      <w:pPr>
        <w:ind w:right="-2"/>
        <w:jc w:val="center"/>
        <w:rPr>
          <w:rFonts w:ascii="Calibri" w:hAnsi="Calibri"/>
          <w:b/>
          <w:color w:val="000000"/>
          <w:lang w:val="ro-RO"/>
        </w:rPr>
      </w:pPr>
    </w:p>
    <w:p w14:paraId="7F222BEB" w14:textId="77777777" w:rsidR="005F4968" w:rsidRPr="00286B0C" w:rsidRDefault="005F4968" w:rsidP="005F4968">
      <w:pPr>
        <w:ind w:right="-2"/>
        <w:jc w:val="center"/>
        <w:rPr>
          <w:rFonts w:ascii="Calibri" w:hAnsi="Calibri"/>
          <w:b/>
          <w:color w:val="000000"/>
          <w:lang w:val="ro-RO"/>
        </w:rPr>
      </w:pPr>
    </w:p>
    <w:p w14:paraId="5CFBD7C5" w14:textId="77777777" w:rsidR="005F4968" w:rsidRPr="00286B0C" w:rsidRDefault="005F4968" w:rsidP="005F4968">
      <w:pPr>
        <w:ind w:right="-2"/>
        <w:jc w:val="center"/>
        <w:rPr>
          <w:rFonts w:ascii="Calibri" w:hAnsi="Calibri"/>
          <w:b/>
          <w:color w:val="000000"/>
          <w:lang w:val="ro-RO"/>
        </w:rPr>
      </w:pPr>
    </w:p>
    <w:p w14:paraId="44919514" w14:textId="77777777" w:rsidR="005F4968" w:rsidRPr="00286B0C" w:rsidRDefault="005F4968" w:rsidP="005F4968">
      <w:pPr>
        <w:ind w:right="-2"/>
        <w:jc w:val="center"/>
        <w:rPr>
          <w:rFonts w:ascii="Calibri" w:hAnsi="Calibri"/>
          <w:b/>
          <w:color w:val="000000"/>
          <w:lang w:val="ro-RO"/>
        </w:rPr>
      </w:pPr>
    </w:p>
    <w:p w14:paraId="20110B6A" w14:textId="77777777" w:rsidR="005F4968" w:rsidRPr="00286B0C" w:rsidRDefault="005F4968" w:rsidP="005F4968">
      <w:pPr>
        <w:ind w:right="-2"/>
        <w:jc w:val="center"/>
        <w:rPr>
          <w:rFonts w:ascii="Calibri" w:hAnsi="Calibri"/>
          <w:b/>
          <w:color w:val="000000"/>
          <w:lang w:val="ro-RO"/>
        </w:rPr>
      </w:pPr>
    </w:p>
    <w:p w14:paraId="48EFB19B" w14:textId="77777777" w:rsidR="005F4968" w:rsidRPr="00286B0C" w:rsidRDefault="005F4968" w:rsidP="005F4968">
      <w:pPr>
        <w:ind w:right="-2"/>
        <w:jc w:val="center"/>
        <w:rPr>
          <w:rFonts w:ascii="Calibri" w:hAnsi="Calibri"/>
          <w:b/>
          <w:bCs/>
          <w:color w:val="000000"/>
          <w:sz w:val="32"/>
          <w:szCs w:val="32"/>
          <w:lang w:val="ro-RO"/>
        </w:rPr>
      </w:pPr>
    </w:p>
    <w:p w14:paraId="2E7D67D1" w14:textId="77777777" w:rsidR="005F4968" w:rsidRPr="00286B0C" w:rsidRDefault="005F4968" w:rsidP="005F4968">
      <w:pPr>
        <w:ind w:right="-2"/>
        <w:jc w:val="center"/>
        <w:rPr>
          <w:rFonts w:ascii="Calibri" w:hAnsi="Calibri"/>
          <w:b/>
          <w:bCs/>
          <w:color w:val="000000"/>
          <w:sz w:val="32"/>
          <w:szCs w:val="32"/>
          <w:lang w:val="ro-RO"/>
        </w:rPr>
      </w:pPr>
    </w:p>
    <w:p w14:paraId="1C0494F8" w14:textId="77777777" w:rsidR="005F4968" w:rsidRPr="00286B0C" w:rsidRDefault="005F4968" w:rsidP="005F4968">
      <w:pPr>
        <w:ind w:right="-2"/>
        <w:jc w:val="center"/>
        <w:rPr>
          <w:rFonts w:ascii="Calibri" w:hAnsi="Calibri"/>
          <w:b/>
          <w:bCs/>
          <w:color w:val="000000"/>
          <w:sz w:val="32"/>
          <w:szCs w:val="32"/>
          <w:lang w:val="ro-RO"/>
        </w:rPr>
      </w:pPr>
    </w:p>
    <w:p w14:paraId="76D3B1FA" w14:textId="77777777" w:rsidR="005F4968" w:rsidRPr="00286B0C" w:rsidRDefault="005F4968" w:rsidP="005F4968">
      <w:pPr>
        <w:ind w:right="-2"/>
        <w:jc w:val="center"/>
        <w:rPr>
          <w:rFonts w:ascii="Calibri" w:hAnsi="Calibri"/>
          <w:b/>
          <w:bCs/>
          <w:color w:val="000000"/>
          <w:sz w:val="32"/>
          <w:szCs w:val="32"/>
          <w:lang w:val="ro-RO"/>
        </w:rPr>
      </w:pPr>
    </w:p>
    <w:p w14:paraId="325FB364" w14:textId="10D31909" w:rsidR="005F4968" w:rsidRPr="00286B0C" w:rsidRDefault="005F4968" w:rsidP="005F4968">
      <w:pPr>
        <w:spacing w:after="200" w:line="264" w:lineRule="auto"/>
        <w:jc w:val="center"/>
        <w:rPr>
          <w:rFonts w:ascii="Calibri" w:eastAsia="Times New Roman" w:hAnsi="Calibri"/>
          <w:b/>
          <w:bCs/>
          <w:color w:val="4F81BD"/>
          <w:kern w:val="1"/>
          <w:sz w:val="32"/>
          <w:szCs w:val="32"/>
          <w:lang w:val="ro-RO"/>
        </w:rPr>
      </w:pPr>
      <w:r w:rsidRPr="00286B0C">
        <w:rPr>
          <w:rFonts w:ascii="Calibri" w:eastAsia="Times New Roman" w:hAnsi="Calibri"/>
          <w:b/>
          <w:bCs/>
          <w:sz w:val="32"/>
          <w:szCs w:val="32"/>
          <w:lang w:val="ro-RO"/>
        </w:rPr>
        <w:t xml:space="preserve">Evaluarea intervențiilor </w:t>
      </w:r>
      <w:r w:rsidR="00BC706E" w:rsidRPr="00286B0C">
        <w:rPr>
          <w:rFonts w:ascii="Calibri" w:eastAsia="Times New Roman" w:hAnsi="Calibri"/>
          <w:b/>
          <w:bCs/>
          <w:sz w:val="32"/>
          <w:szCs w:val="32"/>
          <w:lang w:val="ro-RO"/>
        </w:rPr>
        <w:t>POCU</w:t>
      </w:r>
      <w:r w:rsidRPr="00286B0C">
        <w:rPr>
          <w:rFonts w:ascii="Calibri" w:eastAsia="Times New Roman" w:hAnsi="Calibri"/>
          <w:b/>
          <w:bCs/>
          <w:sz w:val="32"/>
          <w:szCs w:val="32"/>
          <w:lang w:val="ro-RO"/>
        </w:rPr>
        <w:t xml:space="preserve"> în domeniul incluziunii sociale</w:t>
      </w:r>
    </w:p>
    <w:p w14:paraId="0D1C229E" w14:textId="6C027F2E" w:rsidR="002368A2" w:rsidRPr="00286B0C" w:rsidRDefault="006500FF" w:rsidP="002368A2">
      <w:pPr>
        <w:pBdr>
          <w:top w:val="single" w:sz="4" w:space="11" w:color="4F81BD"/>
          <w:bottom w:val="single" w:sz="4" w:space="10" w:color="4F81BD"/>
        </w:pBdr>
        <w:spacing w:after="200" w:line="264" w:lineRule="auto"/>
        <w:ind w:left="864" w:right="864"/>
        <w:jc w:val="center"/>
        <w:rPr>
          <w:rFonts w:ascii="Calibri" w:hAnsi="Calibri"/>
          <w:b/>
          <w:bCs/>
          <w:color w:val="3CA1BC"/>
          <w:sz w:val="32"/>
          <w:szCs w:val="32"/>
          <w:lang w:val="ro-RO"/>
        </w:rPr>
      </w:pPr>
      <w:r w:rsidRPr="00286B0C">
        <w:rPr>
          <w:rFonts w:ascii="Calibri" w:hAnsi="Calibri"/>
          <w:b/>
          <w:bCs/>
          <w:color w:val="3CA1BC"/>
          <w:sz w:val="32"/>
          <w:szCs w:val="32"/>
          <w:lang w:val="ro-RO"/>
        </w:rPr>
        <w:t xml:space="preserve">Anexa </w:t>
      </w:r>
      <w:r w:rsidR="002368A2" w:rsidRPr="00286B0C">
        <w:rPr>
          <w:rFonts w:ascii="Calibri" w:hAnsi="Calibri"/>
          <w:b/>
          <w:bCs/>
          <w:color w:val="3CA1BC"/>
          <w:sz w:val="32"/>
          <w:szCs w:val="32"/>
          <w:lang w:val="ro-RO"/>
        </w:rPr>
        <w:t>(</w:t>
      </w:r>
      <w:r w:rsidR="00BC706E" w:rsidRPr="00286B0C">
        <w:rPr>
          <w:rFonts w:ascii="Calibri" w:hAnsi="Calibri"/>
          <w:b/>
          <w:bCs/>
          <w:color w:val="3CA1BC"/>
          <w:sz w:val="32"/>
          <w:szCs w:val="32"/>
          <w:lang w:val="ro-RO"/>
        </w:rPr>
        <w:t>TE</w:t>
      </w:r>
      <w:r w:rsidR="001539C1" w:rsidRPr="00286B0C">
        <w:rPr>
          <w:rFonts w:ascii="Calibri" w:hAnsi="Calibri"/>
          <w:b/>
          <w:bCs/>
          <w:color w:val="3CA1BC"/>
          <w:sz w:val="32"/>
          <w:szCs w:val="32"/>
          <w:lang w:val="ro-RO"/>
        </w:rPr>
        <w:t>8</w:t>
      </w:r>
      <w:r w:rsidR="002368A2" w:rsidRPr="00286B0C">
        <w:rPr>
          <w:rFonts w:ascii="Calibri" w:hAnsi="Calibri"/>
          <w:b/>
          <w:bCs/>
          <w:color w:val="3CA1BC"/>
          <w:sz w:val="32"/>
          <w:szCs w:val="32"/>
          <w:lang w:val="ro-RO"/>
        </w:rPr>
        <w:t>).</w:t>
      </w:r>
      <w:r w:rsidRPr="00286B0C">
        <w:rPr>
          <w:rFonts w:ascii="Calibri" w:hAnsi="Calibri"/>
          <w:b/>
          <w:bCs/>
          <w:color w:val="3CA1BC"/>
          <w:sz w:val="32"/>
          <w:szCs w:val="32"/>
          <w:lang w:val="ro-RO"/>
        </w:rPr>
        <w:t>10</w:t>
      </w:r>
      <w:r w:rsidR="002368A2" w:rsidRPr="00286B0C">
        <w:rPr>
          <w:rFonts w:ascii="Calibri" w:hAnsi="Calibri"/>
          <w:b/>
          <w:bCs/>
          <w:color w:val="3CA1BC"/>
          <w:sz w:val="32"/>
          <w:szCs w:val="32"/>
          <w:lang w:val="ro-RO"/>
        </w:rPr>
        <w:t>. Tabel corelare constatări-concluzii-recomandări</w:t>
      </w:r>
    </w:p>
    <w:p w14:paraId="6D7FB839" w14:textId="77777777" w:rsidR="004D518B" w:rsidRPr="00286B0C" w:rsidRDefault="004D518B" w:rsidP="004D518B">
      <w:pPr>
        <w:ind w:right="-2"/>
        <w:jc w:val="center"/>
        <w:rPr>
          <w:b/>
          <w:color w:val="000000"/>
          <w:sz w:val="28"/>
          <w:lang w:val="ro-RO"/>
        </w:rPr>
      </w:pPr>
    </w:p>
    <w:p w14:paraId="57CB4A2F" w14:textId="77777777" w:rsidR="004D518B" w:rsidRPr="00286B0C" w:rsidRDefault="004D518B" w:rsidP="004D518B">
      <w:pPr>
        <w:ind w:right="-2"/>
        <w:jc w:val="center"/>
        <w:rPr>
          <w:b/>
          <w:color w:val="000000"/>
          <w:sz w:val="28"/>
          <w:lang w:val="ro-RO"/>
        </w:rPr>
      </w:pPr>
    </w:p>
    <w:p w14:paraId="2CE9C112" w14:textId="77777777" w:rsidR="004D518B" w:rsidRPr="00286B0C" w:rsidRDefault="004D518B">
      <w:pPr>
        <w:suppressAutoHyphens w:val="0"/>
        <w:jc w:val="left"/>
        <w:rPr>
          <w:rFonts w:ascii="Calibri" w:hAnsi="Calibri"/>
          <w:lang w:val="ro-RO"/>
        </w:rPr>
        <w:sectPr w:rsidR="004D518B" w:rsidRPr="00286B0C" w:rsidSect="005F4968">
          <w:headerReference w:type="default" r:id="rId11"/>
          <w:footerReference w:type="default" r:id="rId12"/>
          <w:pgSz w:w="11909" w:h="16834" w:code="9"/>
          <w:pgMar w:top="1440" w:right="720" w:bottom="1440" w:left="1440" w:header="706" w:footer="706" w:gutter="0"/>
          <w:cols w:space="720"/>
          <w:docGrid w:linePitch="360"/>
        </w:sectPr>
      </w:pPr>
    </w:p>
    <w:p w14:paraId="125E3922" w14:textId="693ECB65" w:rsidR="00CA4D49" w:rsidRPr="00286B0C" w:rsidRDefault="004D518B" w:rsidP="004D518B">
      <w:pPr>
        <w:rPr>
          <w:rFonts w:ascii="Calibri" w:hAnsi="Calibri"/>
          <w:b/>
          <w:lang w:val="ro-RO"/>
        </w:rPr>
      </w:pPr>
      <w:r w:rsidRPr="00286B0C">
        <w:rPr>
          <w:rFonts w:ascii="Calibri" w:hAnsi="Calibri"/>
          <w:b/>
          <w:lang w:val="ro-RO"/>
        </w:rPr>
        <w:lastRenderedPageBreak/>
        <w:t xml:space="preserve">Tabel de corelare </w:t>
      </w:r>
      <w:r w:rsidR="00833CDC" w:rsidRPr="00286B0C">
        <w:rPr>
          <w:rFonts w:ascii="Calibri" w:hAnsi="Calibri"/>
          <w:b/>
          <w:lang w:val="ro-RO"/>
        </w:rPr>
        <w:t>constatări-concluzii-recomandăr</w:t>
      </w:r>
      <w:r w:rsidR="00D171FA" w:rsidRPr="00286B0C">
        <w:rPr>
          <w:rFonts w:ascii="Calibri" w:hAnsi="Calibri"/>
          <w:b/>
          <w:lang w:val="ro-RO"/>
        </w:rPr>
        <w:t>i</w:t>
      </w:r>
    </w:p>
    <w:p w14:paraId="43C27E5B" w14:textId="77777777" w:rsidR="00833CDC" w:rsidRPr="00286B0C" w:rsidRDefault="00833CDC" w:rsidP="004D518B">
      <w:pPr>
        <w:rPr>
          <w:rFonts w:ascii="Calibri" w:hAnsi="Calibri"/>
          <w:b/>
          <w:lang w:val="ro-RO"/>
        </w:rPr>
      </w:pPr>
    </w:p>
    <w:tbl>
      <w:tblPr>
        <w:tblStyle w:val="GridTable4"/>
        <w:tblW w:w="15385" w:type="dxa"/>
        <w:jc w:val="center"/>
        <w:tblLook w:val="04A0" w:firstRow="1" w:lastRow="0" w:firstColumn="1" w:lastColumn="0" w:noHBand="0" w:noVBand="1"/>
      </w:tblPr>
      <w:tblGrid>
        <w:gridCol w:w="5305"/>
        <w:gridCol w:w="4860"/>
        <w:gridCol w:w="5220"/>
      </w:tblGrid>
      <w:tr w:rsidR="00DF7445" w:rsidRPr="00286B0C" w14:paraId="6E6E4FED" w14:textId="77777777" w:rsidTr="00DF74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tcPr>
          <w:p w14:paraId="3F0501CA" w14:textId="77777777" w:rsidR="00DF7445" w:rsidRPr="00286B0C" w:rsidRDefault="00DF7445" w:rsidP="00DF7445">
            <w:pPr>
              <w:spacing w:after="60"/>
              <w:rPr>
                <w:rFonts w:cstheme="minorHAnsi"/>
                <w:b w:val="0"/>
                <w:lang w:val="ro-RO"/>
              </w:rPr>
            </w:pPr>
            <w:r w:rsidRPr="00286B0C">
              <w:rPr>
                <w:rFonts w:cstheme="minorHAnsi"/>
                <w:lang w:val="ro-RO"/>
              </w:rPr>
              <w:t>Recomandări</w:t>
            </w:r>
          </w:p>
        </w:tc>
        <w:tc>
          <w:tcPr>
            <w:tcW w:w="4860" w:type="dxa"/>
          </w:tcPr>
          <w:p w14:paraId="3E226824" w14:textId="77777777" w:rsidR="00DF7445" w:rsidRPr="00286B0C" w:rsidRDefault="00DF7445" w:rsidP="00DF7445">
            <w:pPr>
              <w:spacing w:after="60"/>
              <w:cnfStyle w:val="100000000000" w:firstRow="1" w:lastRow="0" w:firstColumn="0" w:lastColumn="0" w:oddVBand="0" w:evenVBand="0" w:oddHBand="0" w:evenHBand="0" w:firstRowFirstColumn="0" w:firstRowLastColumn="0" w:lastRowFirstColumn="0" w:lastRowLastColumn="0"/>
              <w:rPr>
                <w:rFonts w:cstheme="minorHAnsi"/>
                <w:b w:val="0"/>
                <w:lang w:val="ro-RO"/>
              </w:rPr>
            </w:pPr>
            <w:r w:rsidRPr="00286B0C">
              <w:rPr>
                <w:rFonts w:cstheme="minorHAnsi"/>
                <w:lang w:val="ro-RO"/>
              </w:rPr>
              <w:t>Concluzii</w:t>
            </w:r>
          </w:p>
        </w:tc>
        <w:tc>
          <w:tcPr>
            <w:tcW w:w="5220" w:type="dxa"/>
          </w:tcPr>
          <w:p w14:paraId="49020B0A" w14:textId="77777777" w:rsidR="00DF7445" w:rsidRPr="00286B0C" w:rsidRDefault="00DF7445" w:rsidP="00DF7445">
            <w:pPr>
              <w:spacing w:after="60"/>
              <w:cnfStyle w:val="100000000000" w:firstRow="1" w:lastRow="0" w:firstColumn="0" w:lastColumn="0" w:oddVBand="0" w:evenVBand="0" w:oddHBand="0" w:evenHBand="0" w:firstRowFirstColumn="0" w:firstRowLastColumn="0" w:lastRowFirstColumn="0" w:lastRowLastColumn="0"/>
              <w:rPr>
                <w:rFonts w:cstheme="minorHAnsi"/>
                <w:b w:val="0"/>
                <w:lang w:val="ro-RO"/>
              </w:rPr>
            </w:pPr>
            <w:r w:rsidRPr="00286B0C">
              <w:rPr>
                <w:rFonts w:cstheme="minorHAnsi"/>
                <w:lang w:val="ro-RO"/>
              </w:rPr>
              <w:t>Constatări</w:t>
            </w:r>
          </w:p>
        </w:tc>
      </w:tr>
      <w:tr w:rsidR="00DF7445" w:rsidRPr="00286B0C" w14:paraId="5332C6D9" w14:textId="77777777" w:rsidTr="00DF7445">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0165" w:type="dxa"/>
            <w:gridSpan w:val="2"/>
          </w:tcPr>
          <w:p w14:paraId="18FD3A60" w14:textId="10FB2B3B" w:rsidR="00DF7445" w:rsidRPr="00286B0C" w:rsidRDefault="00DF7445" w:rsidP="00DF7445">
            <w:pPr>
              <w:tabs>
                <w:tab w:val="left" w:pos="360"/>
              </w:tabs>
              <w:spacing w:after="60"/>
              <w:rPr>
                <w:rFonts w:cstheme="minorHAnsi"/>
                <w:bCs w:val="0"/>
                <w:kern w:val="12"/>
                <w:lang w:val="ro-RO"/>
              </w:rPr>
            </w:pPr>
            <w:r w:rsidRPr="00286B0C">
              <w:rPr>
                <w:rFonts w:cstheme="minorHAnsi"/>
                <w:kern w:val="12"/>
                <w:lang w:val="ro-RO"/>
              </w:rPr>
              <w:t xml:space="preserve">La nivel strategic </w:t>
            </w:r>
            <w:r w:rsidR="002E52B6" w:rsidRPr="00286B0C">
              <w:rPr>
                <w:rFonts w:cstheme="minorHAnsi"/>
                <w:kern w:val="12"/>
                <w:lang w:val="ro-RO"/>
              </w:rPr>
              <w:t>și</w:t>
            </w:r>
            <w:r w:rsidRPr="00286B0C">
              <w:rPr>
                <w:rFonts w:cstheme="minorHAnsi"/>
                <w:kern w:val="12"/>
                <w:lang w:val="ro-RO"/>
              </w:rPr>
              <w:t xml:space="preserve"> al cadrului de reglementare</w:t>
            </w:r>
          </w:p>
        </w:tc>
        <w:tc>
          <w:tcPr>
            <w:tcW w:w="5220" w:type="dxa"/>
          </w:tcPr>
          <w:p w14:paraId="45B53158" w14:textId="77777777" w:rsidR="00DF7445" w:rsidRPr="00286B0C" w:rsidRDefault="00DF7445" w:rsidP="00DF7445">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
                <w:kern w:val="12"/>
                <w:lang w:val="ro-RO"/>
              </w:rPr>
            </w:pPr>
          </w:p>
        </w:tc>
      </w:tr>
      <w:tr w:rsidR="003E641A" w:rsidRPr="00286B0C" w14:paraId="530141FC" w14:textId="77777777" w:rsidTr="00DF7445">
        <w:trPr>
          <w:jc w:val="center"/>
        </w:trPr>
        <w:tc>
          <w:tcPr>
            <w:cnfStyle w:val="001000000000" w:firstRow="0" w:lastRow="0" w:firstColumn="1" w:lastColumn="0" w:oddVBand="0" w:evenVBand="0" w:oddHBand="0" w:evenHBand="0" w:firstRowFirstColumn="0" w:firstRowLastColumn="0" w:lastRowFirstColumn="0" w:lastRowLastColumn="0"/>
            <w:tcW w:w="5305" w:type="dxa"/>
          </w:tcPr>
          <w:p w14:paraId="4E4D7D49" w14:textId="02BAED25" w:rsidR="003E641A" w:rsidRPr="00286B0C" w:rsidRDefault="003E641A" w:rsidP="003E641A">
            <w:pPr>
              <w:widowControl w:val="0"/>
              <w:tabs>
                <w:tab w:val="left" w:pos="921"/>
              </w:tabs>
              <w:suppressAutoHyphens w:val="0"/>
              <w:autoSpaceDE w:val="0"/>
              <w:autoSpaceDN w:val="0"/>
              <w:spacing w:after="120"/>
              <w:ind w:right="202"/>
              <w:rPr>
                <w:rFonts w:cstheme="minorHAnsi"/>
                <w:b w:val="0"/>
                <w:bCs w:val="0"/>
                <w:lang w:val="ro-RO"/>
              </w:rPr>
            </w:pPr>
            <w:r w:rsidRPr="00286B0C">
              <w:rPr>
                <w:rFonts w:cstheme="minorHAnsi"/>
                <w:lang w:val="ro-RO"/>
              </w:rPr>
              <w:t>R1.</w:t>
            </w:r>
            <w:r w:rsidRPr="00286B0C">
              <w:rPr>
                <w:rFonts w:cstheme="minorHAnsi"/>
                <w:b w:val="0"/>
                <w:bCs w:val="0"/>
                <w:lang w:val="ro-RO"/>
              </w:rPr>
              <w:t xml:space="preserve"> </w:t>
            </w:r>
            <w:r w:rsidR="0052407E" w:rsidRPr="0052407E">
              <w:rPr>
                <w:rFonts w:cstheme="minorHAnsi"/>
                <w:b w:val="0"/>
                <w:bCs w:val="0"/>
                <w:lang w:val="ro-RO"/>
              </w:rPr>
              <w:t>La nivel strategic este necesară continuarea, de către Ministerul Muncii și Solidarității Sociale, a dezvoltării cadrului legislativ și de reglementare al economiei sociale prin crearea unui mecanism de sprijin financiar și facilități fiscale pentru toate formele de organizare a structurilor de economie socială existente, nu doar pentru cele de inserție,  în vederea stimulării dezvoltării acestui sector și pentru corelarea cu politicile de ocupare a forței de muncă în ceea ce privește angajarea grupurilor vulnerabile. Sunt de asemenea recomandate și alte măsuri de sprijinire a activității întreprinderilor sociale, spre exemplu prin regimuri preferențiale de achiziții publice pentru bunuri și servicii furnizate de întreprinderile sociale (contracte rezervate).</w:t>
            </w:r>
          </w:p>
        </w:tc>
        <w:tc>
          <w:tcPr>
            <w:tcW w:w="4860" w:type="dxa"/>
          </w:tcPr>
          <w:p w14:paraId="7E43A80D"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eastAsia="Arial" w:cstheme="minorHAnsi"/>
                <w:lang w:val="ro-RO" w:eastAsia="ro-RO"/>
              </w:rPr>
            </w:pPr>
            <w:r w:rsidRPr="00286B0C">
              <w:rPr>
                <w:rFonts w:cstheme="minorHAnsi"/>
                <w:b/>
                <w:bCs/>
                <w:lang w:val="ro-RO"/>
              </w:rPr>
              <w:t>C1.</w:t>
            </w:r>
            <w:r w:rsidRPr="00286B0C">
              <w:rPr>
                <w:rFonts w:cstheme="minorHAnsi"/>
                <w:lang w:val="ro-RO"/>
              </w:rPr>
              <w:t xml:space="preserve"> Față de exercițiul financiar 2007-2013 când nu exista un cadru legislativ aferent economiei sociale, intervenția POCU OS 4.16 (TE8) este corelată cu noul cadrul legislativ furnizat de adoptarea Legii Economiei Sociale 219/2015 și a legislației secundare subsecvente. Noul cadru legislativ, ale cărui baze au fost puse cu ajutorul intervențiilor POSDRU privind economia socială, asigură cadrul legal de recunoaștere dar nu există o strategie de dezvoltare efectivă a acestui sector și de corelare a acestuia cu politicile privind ocuparea forței de muncă, în special din perspectiva angajării grupurilor vulnerabile. Totodată, în lipsa unei dezvoltări economice vizibile a României, posibilitățile de dezvoltare a economiei sociale în sensul definit de către Uniunea Europeană (combinarea unui scop antreprenorial cu un scop social) sunt extrem de reduse. Faptul că un număr atât de ridicat de persoane aleg să caute un loc de muncă în alte state membre reprezintă o indicație clară a faptului că în România disponibilitatea locurilor de muncă, în special pentru persoanele cu nivel redus de competențe din mediul rural, este total insuficientă. Economia socială nu poate suplini lipsa dezvoltării economiei clasice ci poate progresa doar în tandem cu creșterea economică națională și cu creșterea numărului de locuri de muncă atractive care ar trebui să însoțească această creștere economică.</w:t>
            </w:r>
          </w:p>
          <w:p w14:paraId="0492FBAE"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t>C2.</w:t>
            </w:r>
            <w:r w:rsidRPr="00286B0C">
              <w:rPr>
                <w:rFonts w:cstheme="minorHAnsi"/>
                <w:lang w:val="ro-RO"/>
              </w:rPr>
              <w:t xml:space="preserve"> Ca urmare a adoptării legii economiei sociale și a normelor de atestare ca întreprindere socială, dinamica </w:t>
            </w:r>
            <w:r w:rsidRPr="00286B0C">
              <w:rPr>
                <w:rFonts w:cstheme="minorHAnsi"/>
                <w:lang w:val="ro-RO"/>
              </w:rPr>
              <w:lastRenderedPageBreak/>
              <w:t>întreprinderilor de economie socială în perioada 2014-martie 2020 este una în scădere față de perioada 2009-2012 când a existat o creștere semnificativă a numărului de organizații aferente economiei sociale, în special a asociațiilor și fundațiilor, acesta fiind și cel mai numeros segment al economiei sociale. Lipsa facilităților fiscale și de dezvoltare a acestui sector nu a încurajat aceste tipuri de structuri să se ateste/certifice astfel că creșterea spectaculoasă reflectată de dinamica întreprinderilor sociale atestate din perioada martie 2020 (133 ÎES) - august 2021 (2,306 ÎES) este datorată finanțării POCU privind economia socială, dar reprezintă un procent redus (sub 10%) dacă luăm în considerare tot ecosistemul de structuri ale economiei sociale din România neatestate (peste 40.000).</w:t>
            </w:r>
          </w:p>
          <w:p w14:paraId="15CDE68E" w14:textId="6DC135AC"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t>C3.</w:t>
            </w:r>
            <w:r w:rsidRPr="00286B0C">
              <w:rPr>
                <w:rFonts w:cstheme="minorHAnsi"/>
                <w:lang w:val="ro-RO"/>
              </w:rPr>
              <w:t xml:space="preserve"> Din perspectiva evoluției numărului de angajați de la nivelul IS, aceasta a fost crescătoare în perioada 2017-2020 dar cu o diminuare a procentului angajaților aparținând grupurilor vulnerabile, această diminuare fiind datorată lipsei obligativității la nivelul intervențiilor finanțate din POCU de a angaja persoane aparținând grupurilor vulnerabile. Evoluția financiară a acestor întreprinderi înregistrează o creștere în perioada 2017-2020, dar coroborat cu un grad mare de îndatorare în 2020, aspect de subliniază lipsa de măsuri de sprijin față de acest sector. </w:t>
            </w:r>
          </w:p>
          <w:p w14:paraId="17128CBC"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eastAsia="Times New Roman" w:cstheme="minorHAnsi"/>
                <w:b/>
                <w:bCs/>
                <w:lang w:val="ro-RO" w:eastAsia="en-GB"/>
              </w:rPr>
              <w:t>C4.</w:t>
            </w:r>
            <w:r w:rsidRPr="00286B0C">
              <w:rPr>
                <w:rFonts w:eastAsia="Times New Roman" w:cstheme="minorHAnsi"/>
                <w:lang w:val="ro-RO" w:eastAsia="en-GB"/>
              </w:rPr>
              <w:t xml:space="preserve"> Astfel, în contextul prezentului cadru legal, dezvoltarea economiei sociale în România urmează 2 trasee: </w:t>
            </w:r>
          </w:p>
          <w:p w14:paraId="3DADD626" w14:textId="158E9B73" w:rsidR="003E641A" w:rsidRPr="00286B0C" w:rsidRDefault="003E641A" w:rsidP="003E641A">
            <w:pPr>
              <w:numPr>
                <w:ilvl w:val="0"/>
                <w:numId w:val="10"/>
              </w:numPr>
              <w:suppressAutoHyphens w:val="0"/>
              <w:spacing w:line="0" w:lineRule="atLeast"/>
              <w:contextualSpacing/>
              <w:cnfStyle w:val="000000000000" w:firstRow="0" w:lastRow="0" w:firstColumn="0" w:lastColumn="0" w:oddVBand="0" w:evenVBand="0" w:oddHBand="0" w:evenHBand="0" w:firstRowFirstColumn="0" w:firstRowLastColumn="0" w:lastRowFirstColumn="0" w:lastRowLastColumn="0"/>
              <w:rPr>
                <w:rFonts w:eastAsia="SimSun" w:cstheme="minorHAnsi"/>
                <w:lang w:val="ro-RO" w:eastAsia="en-US"/>
              </w:rPr>
            </w:pPr>
            <w:r w:rsidRPr="00286B0C">
              <w:rPr>
                <w:rFonts w:cstheme="minorHAnsi"/>
                <w:lang w:val="ro-RO"/>
              </w:rPr>
              <w:t xml:space="preserve">cel </w:t>
            </w:r>
            <w:r w:rsidRPr="00286B0C">
              <w:rPr>
                <w:rFonts w:eastAsia="SimSun" w:cstheme="minorHAnsi"/>
                <w:lang w:val="ro-RO" w:eastAsia="en-US"/>
              </w:rPr>
              <w:t xml:space="preserve">al dezvoltării organice a structurilor economiei sociale care funcționează și își îndeplinesc rolul social fără a fi atestate ca </w:t>
            </w:r>
            <w:r w:rsidRPr="00286B0C">
              <w:rPr>
                <w:rFonts w:eastAsia="SimSun" w:cstheme="minorHAnsi"/>
                <w:lang w:val="ro-RO" w:eastAsia="en-US"/>
              </w:rPr>
              <w:lastRenderedPageBreak/>
              <w:t>întreprinderi sociale și fără o legătură directă cu cadrul legal al economiei sociale;</w:t>
            </w:r>
          </w:p>
          <w:p w14:paraId="50FD3F14" w14:textId="77777777" w:rsidR="003E641A" w:rsidRPr="00286B0C" w:rsidRDefault="003E641A" w:rsidP="003E641A">
            <w:pPr>
              <w:numPr>
                <w:ilvl w:val="0"/>
                <w:numId w:val="10"/>
              </w:numPr>
              <w:suppressAutoHyphens w:val="0"/>
              <w:spacing w:line="0" w:lineRule="atLeast"/>
              <w:contextualSpacing/>
              <w:cnfStyle w:val="000000000000" w:firstRow="0" w:lastRow="0" w:firstColumn="0" w:lastColumn="0" w:oddVBand="0" w:evenVBand="0" w:oddHBand="0" w:evenHBand="0" w:firstRowFirstColumn="0" w:firstRowLastColumn="0" w:lastRowFirstColumn="0" w:lastRowLastColumn="0"/>
              <w:rPr>
                <w:rFonts w:eastAsia="SimSun" w:cstheme="minorHAnsi"/>
                <w:lang w:val="ro-RO" w:eastAsia="en-US"/>
              </w:rPr>
            </w:pPr>
            <w:r w:rsidRPr="00286B0C">
              <w:rPr>
                <w:rFonts w:eastAsia="SimSun" w:cstheme="minorHAnsi"/>
                <w:lang w:val="ro-RO" w:eastAsia="en-US"/>
              </w:rPr>
              <w:t>cel al creării și dezvoltării de întreprinderi sociale atestate/certificate, în cadrul legal existent privind economia socială, acesta fiind totodată domeniul de intervenție al POCU.</w:t>
            </w:r>
          </w:p>
          <w:p w14:paraId="1E69C2DA"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t>C5.</w:t>
            </w:r>
            <w:r w:rsidRPr="00286B0C">
              <w:rPr>
                <w:rFonts w:cstheme="minorHAnsi"/>
                <w:lang w:val="ro-RO"/>
              </w:rPr>
              <w:t xml:space="preserve"> Intervențiile POCU OS 4.16  </w:t>
            </w:r>
            <w:r w:rsidRPr="00286B0C">
              <w:rPr>
                <w:rFonts w:cstheme="minorHAnsi"/>
                <w:b/>
                <w:bCs/>
                <w:lang w:val="ro-RO"/>
              </w:rPr>
              <w:t>au avut o contribuție esențială la înființare de noi întreprinderi sociale</w:t>
            </w:r>
            <w:r w:rsidRPr="00286B0C">
              <w:rPr>
                <w:rFonts w:cstheme="minorHAnsi"/>
                <w:lang w:val="ro-RO"/>
              </w:rPr>
              <w:t xml:space="preserve">, peste 90% din întreprinderile sociale înființate în perioada 2014-2020 fiind înființate ca urmare a sprijinului financiar primit în cadrul POCU. </w:t>
            </w:r>
            <w:r w:rsidRPr="00286B0C">
              <w:rPr>
                <w:rFonts w:cstheme="minorHAnsi"/>
                <w:lang w:val="ro-RO" w:eastAsia="en-US"/>
              </w:rPr>
              <w:t>Totodată, majoritatea respondenților la sondajul realizat la nivelul IS atestate precum și cu ocazia studiilor de caz au declarat că nu ar fi</w:t>
            </w:r>
            <w:r w:rsidRPr="00286B0C">
              <w:rPr>
                <w:rFonts w:cstheme="minorHAnsi"/>
                <w:b/>
                <w:lang w:val="ro-RO"/>
              </w:rPr>
              <w:t xml:space="preserve"> demarat o </w:t>
            </w:r>
            <w:r w:rsidRPr="00286B0C">
              <w:rPr>
                <w:rFonts w:cstheme="minorHAnsi"/>
                <w:b/>
                <w:spacing w:val="-3"/>
                <w:lang w:val="ro-RO"/>
              </w:rPr>
              <w:t xml:space="preserve">afacere </w:t>
            </w:r>
            <w:r w:rsidRPr="00286B0C">
              <w:rPr>
                <w:rFonts w:cstheme="minorHAnsi"/>
                <w:b/>
                <w:lang w:val="ro-RO"/>
              </w:rPr>
              <w:t>pe cont propriu dacă nu ar fi beneficiat de sprijin</w:t>
            </w:r>
            <w:r w:rsidRPr="00286B0C">
              <w:rPr>
                <w:rFonts w:cstheme="minorHAnsi"/>
                <w:lang w:val="ro-RO"/>
              </w:rPr>
              <w:t>.</w:t>
            </w:r>
          </w:p>
          <w:p w14:paraId="7CEFC6E4" w14:textId="764F231E" w:rsidR="003E641A" w:rsidRPr="00286B0C" w:rsidRDefault="003E641A" w:rsidP="003E641A">
            <w:pPr>
              <w:spacing w:after="60"/>
              <w:cnfStyle w:val="000000000000" w:firstRow="0" w:lastRow="0" w:firstColumn="0" w:lastColumn="0" w:oddVBand="0" w:evenVBand="0" w:oddHBand="0" w:evenHBand="0" w:firstRowFirstColumn="0" w:firstRowLastColumn="0" w:lastRowFirstColumn="0" w:lastRowLastColumn="0"/>
              <w:rPr>
                <w:rFonts w:cstheme="minorHAnsi"/>
                <w:b/>
                <w:kern w:val="12"/>
                <w:lang w:val="ro-RO"/>
              </w:rPr>
            </w:pPr>
          </w:p>
        </w:tc>
        <w:tc>
          <w:tcPr>
            <w:tcW w:w="5220" w:type="dxa"/>
          </w:tcPr>
          <w:p w14:paraId="150B5B62"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lang w:val="ro-RO"/>
              </w:rPr>
              <w:lastRenderedPageBreak/>
              <w:t xml:space="preserve">În perioada 2014-2020, principala evoluție din cadrul legal și de politici pentru organizațiile economiei sociale (cooperative, asociații și fundații) este legată de adoptarea Legii economiei sociale. </w:t>
            </w:r>
          </w:p>
          <w:p w14:paraId="6FBD8315"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lang w:val="ro-RO"/>
              </w:rPr>
              <w:t>Din perspectiva dinamicii întreprinderilor de economie socială, dacă în perioada 2009-2012 s-a constat o creștere a numărului de organizații aferente economiei sociale, în special a asociațiilor și fundațiilor, acesta fiind și cel mai numeros segment al economiei sociale, ulterior adoptării legii economiei sociale și a normelor de atestare ca întreprindere socială, după o perioadă în care numărul atestărilor a fost mare, în perioada 2016-2020 se constată o scădere a numărului de întreprinderi sociale atestate/certificate până în martie 2020 când funcționau doar 133 întreprinderi de economie socială, urmată de o creștere spectaculoasă datorată finanțării POCU privind economia socială (ajungând la 2,306 ÎES în august 2021), însă cu o distribuție neuniformă a acestora la nivel național.</w:t>
            </w:r>
          </w:p>
          <w:p w14:paraId="545ABD94"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p>
          <w:p w14:paraId="3827C7D5"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lang w:val="ro-RO"/>
              </w:rPr>
              <w:t>Creșterea numărului de ÎES atestate/certificate ca urmare a intervențiilor POCU a contribuit la creșterea numărului de locuri de muncă, inclusiv pentru persoanele aparținând grupurilor vulnerabile.</w:t>
            </w:r>
            <w:r w:rsidRPr="00286B0C">
              <w:rPr>
                <w:rFonts w:cstheme="minorHAnsi"/>
                <w:lang w:val="ro-RO" w:eastAsia="en-US"/>
              </w:rPr>
              <w:t xml:space="preserve"> Numărul de locuri de muncă create prin POCU a fost condiționat de nivelul ajutorului de minimis solicitat conform Ghidului Solicitantului. În cele 2,306 ÎES erau angajate 535 persoane, din care 110 persoane aparținând grupurilor vulnerabile. </w:t>
            </w:r>
          </w:p>
          <w:p w14:paraId="692A13E3"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eastAsia="en-US"/>
              </w:rPr>
            </w:pPr>
            <w:r w:rsidRPr="00286B0C">
              <w:rPr>
                <w:rFonts w:cstheme="minorHAnsi"/>
                <w:lang w:val="ro-RO" w:eastAsia="en-US"/>
              </w:rPr>
              <w:lastRenderedPageBreak/>
              <w:t>Deși numărul total al angajaților în cadrul ÎES, inclusiv a persoanelor din grupuri vulnerabile a crescut în perioada 2017-2020, totuși procentul angajaților din grupul vulnerabil și procentul timpului de lucru pentru aceste persoane în totalul angajaților indică o scădere în 2020 față de 2017. Persoanele angajate în ÎES din grupuri vulnerabile au beneficiat de diverse tipuri de măsuri de acompaniament: informare, consiliere, forme de pregătire profesională, mediere, adaptare a locului de muncă, ucenicie și practică, altele.</w:t>
            </w:r>
          </w:p>
          <w:p w14:paraId="0E49DFAF"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eastAsia="en-US"/>
              </w:rPr>
            </w:pPr>
          </w:p>
          <w:p w14:paraId="4316E57C"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eastAsia="en-US"/>
              </w:rPr>
            </w:pPr>
            <w:r w:rsidRPr="00286B0C">
              <w:rPr>
                <w:rFonts w:cstheme="minorHAnsi"/>
                <w:lang w:val="ro-RO" w:eastAsia="en-US"/>
              </w:rPr>
              <w:t>Deși datele financiare indică o creștere a veniturilor totale realizate de ÎES, totuși gradul de îndatorare este foarte ridicat în 2020 față de 2017. Asigurarea veniturilor pe termen lung este principala preocupare a antreprenorilor sociali.</w:t>
            </w:r>
          </w:p>
          <w:p w14:paraId="606EA6A1"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eastAsia="en-US"/>
              </w:rPr>
            </w:pPr>
          </w:p>
          <w:p w14:paraId="0FFB4D80"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eastAsia="en-US"/>
              </w:rPr>
            </w:pPr>
            <w:r w:rsidRPr="00286B0C">
              <w:rPr>
                <w:rFonts w:cstheme="minorHAnsi"/>
                <w:lang w:val="ro-RO" w:eastAsia="en-US"/>
              </w:rPr>
              <w:t>În România există peste 40.000 de organizații (de tipul cooperative, societăți și cooperative agricole, case de ajutor reciproc, asociații și fundații etc) ce activează în domeniul economiei sociale, fără a fi atestate/certificate. Contribuția acestor organiza</w:t>
            </w:r>
            <w:r w:rsidRPr="00286B0C">
              <w:rPr>
                <w:rFonts w:cstheme="minorHAnsi"/>
                <w:lang w:val="ro-RO"/>
              </w:rPr>
              <w:t>ții</w:t>
            </w:r>
            <w:r w:rsidRPr="00286B0C">
              <w:rPr>
                <w:rFonts w:cstheme="minorHAnsi"/>
                <w:lang w:val="ro-RO" w:eastAsia="en-US"/>
              </w:rPr>
              <w:t xml:space="preserve"> la dezvoltarea sectorului economiei sociale din România nu este suficient capitalizată la acest moment.  </w:t>
            </w:r>
          </w:p>
          <w:p w14:paraId="36D8E744"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p>
          <w:p w14:paraId="3A2CE549"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p>
          <w:p w14:paraId="6764E33B"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p>
          <w:p w14:paraId="246E33BD"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r w:rsidRPr="00286B0C">
              <w:rPr>
                <w:rFonts w:ascii="Calibri" w:eastAsia="SimSun" w:hAnsi="Calibri"/>
                <w:lang w:val="ro-RO" w:eastAsia="en-US"/>
              </w:rPr>
              <w:t xml:space="preserve">Creșterea numărului de întreprinderi sociale atestate din România este evident rezultatul finanțărilor POCU într-o proporție foarte ridicată (peste 90% din întreprinderile sociale atestate au beneficiat de finanțare POCU 2014-2020). Este clar că beneficiarii ajutoarelor de minimis nu ar fi avut posibilitatea </w:t>
            </w:r>
            <w:r w:rsidRPr="00286B0C">
              <w:rPr>
                <w:rFonts w:ascii="Calibri" w:eastAsia="SimSun" w:hAnsi="Calibri"/>
                <w:lang w:val="ro-RO" w:eastAsia="en-US"/>
              </w:rPr>
              <w:lastRenderedPageBreak/>
              <w:t xml:space="preserve">înființării întreprinderilor sociale fără sprijinul financiar și cel tehnic acordat prin activitățile de formare și consiliere în înființarea și dezvoltarea unei afaceri sociale. </w:t>
            </w:r>
          </w:p>
          <w:p w14:paraId="32C3A351"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p>
          <w:p w14:paraId="165D231C"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r w:rsidRPr="00286B0C">
              <w:rPr>
                <w:rFonts w:ascii="Calibri" w:eastAsia="SimSun" w:hAnsi="Calibri"/>
                <w:lang w:val="ro-RO" w:eastAsia="en-US"/>
              </w:rPr>
              <w:t xml:space="preserve">Trebuie ținut totuși cont de faptul că numărul de structuri ale economiei sociale care funcționează în România fără a fi atestate </w:t>
            </w:r>
            <w:bookmarkStart w:id="0" w:name="_Hlk87833788"/>
            <w:r w:rsidRPr="00286B0C">
              <w:rPr>
                <w:rFonts w:ascii="Calibri" w:eastAsia="SimSun" w:hAnsi="Calibri"/>
                <w:lang w:val="ro-RO" w:eastAsia="en-US"/>
              </w:rPr>
              <w:t>este foarte ridicat (peste 40.000 ONG) astfel încât numărul de întreprinderi sociale înființate cu sprijin POCU și estimat a fi înființate prin proiectele finanțate, deși relativ ridicat ca valoare absolută, reprezintă totuși un procent destul de redus din numărul total de structuri ale economiei sociale din România (sub 10%).</w:t>
            </w:r>
            <w:bookmarkEnd w:id="0"/>
          </w:p>
          <w:p w14:paraId="0E18A3FE"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p>
          <w:p w14:paraId="6258114D"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r w:rsidRPr="00286B0C">
              <w:rPr>
                <w:rFonts w:ascii="Calibri" w:eastAsia="SimSun" w:hAnsi="Calibri"/>
                <w:lang w:val="ro-RO" w:eastAsia="en-US"/>
              </w:rPr>
              <w:t xml:space="preserve">În concluzie, se constată faptul că proiectele finanțate în cadrul OS 4.16 au avut și urmează să aibă o contribuție importantă la dezvoltarea economiei sociale din România, prin înființarea de întreprinderi sociale care au drept efect creșterea ocupării prin crearea de noi locuri de muncă, inclusiv pentru persoane vulnerabile, prin prestarea de servicii în folosul comunității ca parte a misiunilor sociale ale întreprinderilor sociale înființate, prin creșterea competențelor antreprenorilor sociali ca urmare a programelor de formare derulate în cadrul proiectelor finanțate. În ansamblul economiei sociale din România însă, luând în calcul cele câteva zeci de mii de structuri ale economiei sociale care funcționează de mulți ani fără a fi atestate, amploarea efectelor intervenției POCU este încă redusă. </w:t>
            </w:r>
          </w:p>
          <w:p w14:paraId="5D61853A" w14:textId="77777777" w:rsidR="003E641A"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p>
          <w:p w14:paraId="19043F68" w14:textId="32F78978"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p>
        </w:tc>
      </w:tr>
      <w:tr w:rsidR="003E641A" w:rsidRPr="00286B0C" w14:paraId="19AA102F" w14:textId="77777777" w:rsidTr="00DF7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tcPr>
          <w:p w14:paraId="59B2017D" w14:textId="05AEE2FA" w:rsidR="003E641A" w:rsidRPr="00286B0C" w:rsidRDefault="003E641A" w:rsidP="003E641A">
            <w:pPr>
              <w:spacing w:after="60"/>
              <w:rPr>
                <w:rFonts w:cstheme="minorHAnsi"/>
                <w:b w:val="0"/>
                <w:bCs w:val="0"/>
                <w:lang w:val="ro-RO"/>
              </w:rPr>
            </w:pPr>
            <w:r w:rsidRPr="00286B0C">
              <w:rPr>
                <w:rFonts w:cstheme="minorHAnsi"/>
                <w:kern w:val="12"/>
                <w:lang w:val="ro-RO"/>
              </w:rPr>
              <w:lastRenderedPageBreak/>
              <w:t>La nivelul logicii intervenției și sistemului de implementare</w:t>
            </w:r>
          </w:p>
        </w:tc>
        <w:tc>
          <w:tcPr>
            <w:tcW w:w="4860" w:type="dxa"/>
          </w:tcPr>
          <w:p w14:paraId="1CF00775" w14:textId="77777777" w:rsidR="003E641A" w:rsidRPr="00286B0C" w:rsidRDefault="003E641A" w:rsidP="003E641A">
            <w:pPr>
              <w:spacing w:after="60"/>
              <w:cnfStyle w:val="000000100000" w:firstRow="0" w:lastRow="0" w:firstColumn="0" w:lastColumn="0" w:oddVBand="0" w:evenVBand="0" w:oddHBand="1" w:evenHBand="0" w:firstRowFirstColumn="0" w:firstRowLastColumn="0" w:lastRowFirstColumn="0" w:lastRowLastColumn="0"/>
              <w:rPr>
                <w:rFonts w:cstheme="minorHAnsi"/>
                <w:b/>
                <w:kern w:val="12"/>
                <w:lang w:val="ro-RO"/>
              </w:rPr>
            </w:pPr>
          </w:p>
        </w:tc>
        <w:tc>
          <w:tcPr>
            <w:tcW w:w="5220" w:type="dxa"/>
          </w:tcPr>
          <w:p w14:paraId="3F5ACE53" w14:textId="77777777" w:rsidR="003E641A" w:rsidRPr="00286B0C" w:rsidRDefault="003E641A" w:rsidP="003E641A">
            <w:pPr>
              <w:suppressAutoHyphens w:val="0"/>
              <w:spacing w:after="60"/>
              <w:cnfStyle w:val="000000100000" w:firstRow="0" w:lastRow="0" w:firstColumn="0" w:lastColumn="0" w:oddVBand="0" w:evenVBand="0" w:oddHBand="1" w:evenHBand="0" w:firstRowFirstColumn="0" w:firstRowLastColumn="0" w:lastRowFirstColumn="0" w:lastRowLastColumn="0"/>
              <w:rPr>
                <w:rFonts w:eastAsia="SimSun" w:cstheme="minorHAnsi"/>
                <w:lang w:val="ro-RO" w:eastAsia="en-US"/>
              </w:rPr>
            </w:pPr>
          </w:p>
        </w:tc>
      </w:tr>
      <w:tr w:rsidR="003E641A" w:rsidRPr="00286B0C" w14:paraId="388ED776" w14:textId="77777777" w:rsidTr="00DF7445">
        <w:trPr>
          <w:jc w:val="center"/>
        </w:trPr>
        <w:tc>
          <w:tcPr>
            <w:cnfStyle w:val="001000000000" w:firstRow="0" w:lastRow="0" w:firstColumn="1" w:lastColumn="0" w:oddVBand="0" w:evenVBand="0" w:oddHBand="0" w:evenHBand="0" w:firstRowFirstColumn="0" w:firstRowLastColumn="0" w:lastRowFirstColumn="0" w:lastRowLastColumn="0"/>
            <w:tcW w:w="5305" w:type="dxa"/>
          </w:tcPr>
          <w:p w14:paraId="7598AF84" w14:textId="1D6E14DA" w:rsidR="003E641A" w:rsidRDefault="003E641A" w:rsidP="003E641A">
            <w:pPr>
              <w:widowControl w:val="0"/>
              <w:tabs>
                <w:tab w:val="left" w:pos="921"/>
              </w:tabs>
              <w:suppressAutoHyphens w:val="0"/>
              <w:autoSpaceDE w:val="0"/>
              <w:autoSpaceDN w:val="0"/>
              <w:spacing w:after="120"/>
              <w:ind w:right="202"/>
              <w:rPr>
                <w:rFonts w:cstheme="minorHAnsi"/>
                <w:b w:val="0"/>
                <w:bCs w:val="0"/>
                <w:lang w:val="ro-RO"/>
              </w:rPr>
            </w:pPr>
            <w:r w:rsidRPr="00286B0C">
              <w:rPr>
                <w:rFonts w:cstheme="minorHAnsi"/>
                <w:lang w:val="ro-RO"/>
              </w:rPr>
              <w:t>R2.</w:t>
            </w:r>
            <w:r w:rsidRPr="00286B0C">
              <w:rPr>
                <w:rFonts w:cstheme="minorHAnsi"/>
                <w:b w:val="0"/>
                <w:bCs w:val="0"/>
                <w:lang w:val="ro-RO"/>
              </w:rPr>
              <w:t xml:space="preserve"> </w:t>
            </w:r>
            <w:r w:rsidR="0052407E" w:rsidRPr="0052407E">
              <w:rPr>
                <w:rFonts w:cstheme="minorHAnsi"/>
                <w:b w:val="0"/>
                <w:bCs w:val="0"/>
                <w:lang w:val="ro-RO"/>
              </w:rPr>
              <w:t>Se recomandă AM POCU continuarea finanțării prin programele operaționale viitoare a unor intervenții similare care să conțină un pachet de măsuri integrate de dezvoltare a competențelor manageriale și de antreprenoriat social și de susținere financiară a întreprinderilor sociale, în corelare cu activități de consiliere/mentorat în prima parte a dezvoltării afacerii</w:t>
            </w:r>
            <w:r w:rsidRPr="00286B0C">
              <w:rPr>
                <w:rFonts w:cstheme="minorHAnsi"/>
                <w:b w:val="0"/>
                <w:bCs w:val="0"/>
                <w:lang w:val="ro-RO"/>
              </w:rPr>
              <w:t>.</w:t>
            </w:r>
            <w:r w:rsidRPr="00286B0C">
              <w:rPr>
                <w:rFonts w:cstheme="minorHAnsi"/>
                <w:lang w:val="ro-RO"/>
              </w:rPr>
              <w:t xml:space="preserve"> </w:t>
            </w:r>
          </w:p>
          <w:p w14:paraId="08FA88E4" w14:textId="3C204DB9" w:rsidR="003E641A" w:rsidRDefault="003E641A" w:rsidP="003E641A">
            <w:pPr>
              <w:widowControl w:val="0"/>
              <w:tabs>
                <w:tab w:val="left" w:pos="921"/>
              </w:tabs>
              <w:suppressAutoHyphens w:val="0"/>
              <w:autoSpaceDE w:val="0"/>
              <w:autoSpaceDN w:val="0"/>
              <w:spacing w:after="120"/>
              <w:ind w:right="202"/>
              <w:rPr>
                <w:rFonts w:cstheme="minorHAnsi"/>
                <w:lang w:val="ro-RO"/>
              </w:rPr>
            </w:pPr>
            <w:r w:rsidRPr="00286B0C">
              <w:rPr>
                <w:rFonts w:cstheme="minorHAnsi"/>
                <w:lang w:val="ro-RO"/>
              </w:rPr>
              <w:t>R3.</w:t>
            </w:r>
            <w:r w:rsidRPr="00286B0C">
              <w:rPr>
                <w:rFonts w:cstheme="minorHAnsi"/>
                <w:b w:val="0"/>
                <w:bCs w:val="0"/>
                <w:lang w:val="ro-RO"/>
              </w:rPr>
              <w:t xml:space="preserve"> </w:t>
            </w:r>
            <w:r w:rsidR="0052407E" w:rsidRPr="0052407E">
              <w:rPr>
                <w:rFonts w:cstheme="minorHAnsi"/>
                <w:b w:val="0"/>
                <w:bCs w:val="0"/>
                <w:lang w:val="ro-RO"/>
              </w:rPr>
              <w:t>În cazul unor scheme de finanțare viitoare pentru întreprinderi sociale, se recomandă AM POCU creșterea perioadei de acordare a sprijinului pentru întreprinderi sociale nou-inființate astfel încât acestea să poată sprijini antreprenorii cu activități specifice de tip coaching și mentorat și în etapele de implementare și sustenabilitate, nu doar în etapa de înființare a întreprinderilor sociale. Trebuie ținut cont de realitățile procesului de implementare a unui plan de afaceri din perspectiva angajării resurselor umane, fiind necesară acordarea posibilității de a ocupa locurile de muncă nou-create atunci când este nevoie și nu neapărat imediat după înființarea întreprinderii sociale</w:t>
            </w:r>
            <w:r>
              <w:rPr>
                <w:rFonts w:cstheme="minorHAnsi"/>
                <w:b w:val="0"/>
                <w:bCs w:val="0"/>
                <w:lang w:val="ro-RO"/>
              </w:rPr>
              <w:t>.</w:t>
            </w:r>
          </w:p>
          <w:p w14:paraId="690528F7" w14:textId="55355A60" w:rsidR="003E641A" w:rsidRDefault="003E641A" w:rsidP="003E641A">
            <w:pPr>
              <w:widowControl w:val="0"/>
              <w:tabs>
                <w:tab w:val="left" w:pos="921"/>
              </w:tabs>
              <w:suppressAutoHyphens w:val="0"/>
              <w:autoSpaceDE w:val="0"/>
              <w:autoSpaceDN w:val="0"/>
              <w:spacing w:after="120"/>
              <w:ind w:right="202"/>
              <w:rPr>
                <w:rFonts w:cstheme="minorHAnsi"/>
                <w:lang w:val="ro-RO"/>
              </w:rPr>
            </w:pPr>
            <w:r w:rsidRPr="00286B0C">
              <w:rPr>
                <w:rFonts w:cstheme="minorHAnsi"/>
                <w:lang w:val="ro-RO"/>
              </w:rPr>
              <w:t>R4.</w:t>
            </w:r>
            <w:r w:rsidRPr="00286B0C">
              <w:rPr>
                <w:rFonts w:cstheme="minorHAnsi"/>
                <w:b w:val="0"/>
                <w:bCs w:val="0"/>
                <w:lang w:val="ro-RO"/>
              </w:rPr>
              <w:t xml:space="preserve"> </w:t>
            </w:r>
            <w:r w:rsidR="003855FF" w:rsidRPr="003855FF">
              <w:rPr>
                <w:rFonts w:cstheme="minorHAnsi"/>
                <w:b w:val="0"/>
                <w:bCs w:val="0"/>
                <w:lang w:val="ro-RO"/>
              </w:rPr>
              <w:t>Se recomandă AM POCU și Organismelor Intermediare Regionale reducerea poverii administrative la nivelul noilor antreprenori, prin mecanisme mai simple de raportare și de realizare de modificări la nivelul planurilor de afaceri ca urmare firească a experienței implementării și a condițiilor de piață întâmpinate, fără a fi nevoie de acte adiționale pentru orice modificare</w:t>
            </w:r>
            <w:r w:rsidR="003855FF">
              <w:rPr>
                <w:rFonts w:cstheme="minorHAnsi"/>
                <w:b w:val="0"/>
                <w:bCs w:val="0"/>
                <w:lang w:val="ro-RO"/>
              </w:rPr>
              <w:t>.</w:t>
            </w:r>
          </w:p>
          <w:p w14:paraId="02C713FE" w14:textId="0DEB4D5E" w:rsidR="003E641A" w:rsidRDefault="003E641A" w:rsidP="003E641A">
            <w:pPr>
              <w:widowControl w:val="0"/>
              <w:tabs>
                <w:tab w:val="left" w:pos="921"/>
              </w:tabs>
              <w:suppressAutoHyphens w:val="0"/>
              <w:autoSpaceDE w:val="0"/>
              <w:autoSpaceDN w:val="0"/>
              <w:spacing w:after="120"/>
              <w:ind w:right="202"/>
              <w:rPr>
                <w:rFonts w:cstheme="minorHAnsi"/>
                <w:lang w:val="ro-RO"/>
              </w:rPr>
            </w:pPr>
            <w:r w:rsidRPr="00286B0C">
              <w:rPr>
                <w:rFonts w:cstheme="minorHAnsi"/>
                <w:lang w:val="ro-RO"/>
              </w:rPr>
              <w:t>R5.</w:t>
            </w:r>
            <w:r w:rsidRPr="00286B0C">
              <w:rPr>
                <w:rFonts w:cstheme="minorHAnsi"/>
                <w:b w:val="0"/>
                <w:bCs w:val="0"/>
                <w:lang w:val="ro-RO"/>
              </w:rPr>
              <w:t xml:space="preserve"> </w:t>
            </w:r>
            <w:r w:rsidR="003855FF" w:rsidRPr="003855FF">
              <w:rPr>
                <w:rFonts w:cstheme="minorHAnsi"/>
                <w:b w:val="0"/>
                <w:bCs w:val="0"/>
                <w:lang w:val="ro-RO"/>
              </w:rPr>
              <w:t>Se recomandă AM POCU pregătirea unor scheme de finanțare viitoare (2021-2027) care să permită dezvoltarea întreprinderilor sociale deja înființate (spre exemplu granturi în rândul celor ce au urmat astfel de programe la nivelul intervențiilor similare DMI 6.1, POCU OS 4.16).</w:t>
            </w:r>
          </w:p>
          <w:p w14:paraId="724D4C24" w14:textId="06018139" w:rsidR="003E641A" w:rsidRPr="00286B0C" w:rsidRDefault="003E641A" w:rsidP="003E641A">
            <w:pPr>
              <w:widowControl w:val="0"/>
              <w:tabs>
                <w:tab w:val="left" w:pos="921"/>
              </w:tabs>
              <w:suppressAutoHyphens w:val="0"/>
              <w:autoSpaceDE w:val="0"/>
              <w:autoSpaceDN w:val="0"/>
              <w:spacing w:after="120"/>
              <w:ind w:right="202"/>
              <w:rPr>
                <w:rFonts w:cstheme="minorHAnsi"/>
                <w:b w:val="0"/>
                <w:bCs w:val="0"/>
                <w:lang w:val="ro-RO"/>
              </w:rPr>
            </w:pPr>
          </w:p>
        </w:tc>
        <w:tc>
          <w:tcPr>
            <w:tcW w:w="4860" w:type="dxa"/>
          </w:tcPr>
          <w:p w14:paraId="55031EDF"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lastRenderedPageBreak/>
              <w:t>C6.</w:t>
            </w:r>
            <w:r w:rsidRPr="00286B0C">
              <w:rPr>
                <w:rFonts w:cstheme="minorHAnsi"/>
                <w:lang w:val="ro-RO"/>
              </w:rPr>
              <w:t xml:space="preserve"> Cu privire la efectele atribuibile POCU OS 4.16 asupra dezvoltării întreprinderilor sociale nou înființate, la momentul prezentei evaluări, marea majoritate a acestor structuri au o vechime de sub 1 an, astfel încât </w:t>
            </w:r>
            <w:r w:rsidRPr="00286B0C">
              <w:rPr>
                <w:rFonts w:cstheme="minorHAnsi"/>
                <w:b/>
                <w:bCs/>
                <w:lang w:val="ro-RO"/>
              </w:rPr>
              <w:t>este dificil de cuantificat impactul intervenției asupra șanselor de supraviețuire ale acestora</w:t>
            </w:r>
            <w:r w:rsidRPr="00286B0C">
              <w:rPr>
                <w:rFonts w:cstheme="minorHAnsi"/>
                <w:lang w:val="ro-RO"/>
              </w:rPr>
              <w:t>.</w:t>
            </w:r>
          </w:p>
          <w:p w14:paraId="73C43D48"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t>C7.</w:t>
            </w:r>
            <w:r w:rsidRPr="00286B0C">
              <w:rPr>
                <w:rFonts w:cstheme="minorHAnsi"/>
                <w:lang w:val="ro-RO"/>
              </w:rPr>
              <w:t xml:space="preserve"> Efectele activităților și serviciilor ce urmează a fi furnizate la nivelul întreprinderilor social create prin intervenția OS 4.16, sunt în curs de materializare și cele mai </w:t>
            </w:r>
            <w:r w:rsidRPr="00286B0C">
              <w:rPr>
                <w:rFonts w:cstheme="minorHAnsi"/>
                <w:b/>
                <w:bCs/>
                <w:lang w:val="ro-RO"/>
              </w:rPr>
              <w:t>importante și observabile efecte se referă la crearea de locuri de muncă pentru persoane din categorii vulnerabile</w:t>
            </w:r>
            <w:r w:rsidRPr="00286B0C">
              <w:rPr>
                <w:rFonts w:cstheme="minorHAnsi"/>
                <w:lang w:val="ro-RO"/>
              </w:rPr>
              <w:t xml:space="preserve"> contribuind astfel la creșterea oportunităților de ocupare pentru această categorie. </w:t>
            </w:r>
          </w:p>
          <w:p w14:paraId="4A6FDF0D"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t>C8.</w:t>
            </w:r>
            <w:r w:rsidRPr="00286B0C">
              <w:rPr>
                <w:rFonts w:cstheme="minorHAnsi"/>
                <w:lang w:val="ro-RO"/>
              </w:rPr>
              <w:t xml:space="preserve"> Dintre efectele pozitive neintenționate percepute la acest moment de beneficiarii subvențiilor se referă la </w:t>
            </w:r>
            <w:r w:rsidRPr="00286B0C">
              <w:rPr>
                <w:rFonts w:cstheme="minorHAnsi"/>
                <w:b/>
                <w:bCs/>
                <w:lang w:val="ro-RO"/>
              </w:rPr>
              <w:t>furnizarea de servicii care pot contribui la dezvoltarea bunăstării comunității</w:t>
            </w:r>
            <w:r w:rsidRPr="00286B0C">
              <w:rPr>
                <w:rFonts w:cstheme="minorHAnsi"/>
                <w:lang w:val="ro-RO"/>
              </w:rPr>
              <w:t xml:space="preserve"> din care fac parte, inclusiv prestarea de servicii gratuite pentru grupurile vulnerabile.</w:t>
            </w:r>
          </w:p>
          <w:p w14:paraId="40CCE524"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eastAsia="Times New Roman" w:cstheme="minorHAnsi"/>
                <w:lang w:val="ro-RO" w:eastAsia="en-GB"/>
              </w:rPr>
            </w:pPr>
            <w:r w:rsidRPr="00286B0C">
              <w:rPr>
                <w:rFonts w:eastAsia="Times New Roman" w:cstheme="minorHAnsi"/>
                <w:b/>
                <w:bCs/>
                <w:lang w:val="ro-RO" w:eastAsia="en-GB"/>
              </w:rPr>
              <w:t>C9.</w:t>
            </w:r>
            <w:r w:rsidRPr="00286B0C">
              <w:rPr>
                <w:rFonts w:eastAsia="Times New Roman" w:cstheme="minorHAnsi"/>
                <w:lang w:val="ro-RO" w:eastAsia="en-GB"/>
              </w:rPr>
              <w:t xml:space="preserve"> Măsura în care astfel de efecte pot fi menținute după încheierea intervenției POCU depinde de evoluția cadrului legal al economiei sociale, care în forma sa actuală stimulează prea puțin înființarea întreprinderilor sociale și angajarea de persoane vulnerabile în cadrul acestor întreprinderi sociale. </w:t>
            </w:r>
          </w:p>
          <w:p w14:paraId="0F7F73BE"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eastAsia="Arial" w:cstheme="minorHAnsi"/>
                <w:lang w:val="ro-RO" w:eastAsia="ro-RO"/>
              </w:rPr>
            </w:pPr>
            <w:r w:rsidRPr="00286B0C">
              <w:rPr>
                <w:rFonts w:cstheme="minorHAnsi"/>
                <w:b/>
                <w:bCs/>
                <w:lang w:val="ro-RO"/>
              </w:rPr>
              <w:t>C10.</w:t>
            </w:r>
            <w:r w:rsidRPr="00286B0C">
              <w:rPr>
                <w:rFonts w:cstheme="minorHAnsi"/>
                <w:lang w:val="ro-RO"/>
              </w:rPr>
              <w:t xml:space="preserve"> Participarea la activitățile proiectelor a generat efecte neintenționate și asupra persoanelor din grupul țintă, manifestându-se, în principal, prin </w:t>
            </w:r>
            <w:r w:rsidRPr="00286B0C">
              <w:rPr>
                <w:rFonts w:cstheme="minorHAnsi"/>
                <w:b/>
                <w:bCs/>
                <w:lang w:val="ro-RO"/>
              </w:rPr>
              <w:t>dezvoltarea competențelor manageriale și de antreprenoriat social</w:t>
            </w:r>
            <w:r w:rsidRPr="00286B0C">
              <w:rPr>
                <w:rFonts w:cstheme="minorHAnsi"/>
                <w:lang w:val="ro-RO"/>
              </w:rPr>
              <w:t xml:space="preserve">, prin participarea la programele de formare </w:t>
            </w:r>
            <w:r w:rsidRPr="00286B0C">
              <w:rPr>
                <w:rFonts w:cstheme="minorHAnsi"/>
                <w:lang w:val="ro-RO"/>
              </w:rPr>
              <w:lastRenderedPageBreak/>
              <w:t xml:space="preserve">profesională, precum și prin </w:t>
            </w:r>
            <w:r w:rsidRPr="00286B0C">
              <w:rPr>
                <w:rFonts w:cstheme="minorHAnsi"/>
                <w:b/>
                <w:bCs/>
                <w:lang w:val="ro-RO"/>
              </w:rPr>
              <w:t>promovarea și popularizarea conceptului de economie socială la scară națională</w:t>
            </w:r>
            <w:r w:rsidRPr="00286B0C">
              <w:rPr>
                <w:rFonts w:cstheme="minorHAnsi"/>
                <w:lang w:val="ro-RO"/>
              </w:rPr>
              <w:t>. Alte efecte pozitive au vizat îmbunătățirea conștientizării și capacității departamentelor de asistență socială cu privire realizarea anchetelor sociale necesare privind angajarea persoanelor din grupurile vulnerabile la nivelul întreprinderilor sociale înființate.</w:t>
            </w:r>
          </w:p>
          <w:p w14:paraId="2787F573"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eastAsia="SimSun" w:cstheme="minorHAnsi"/>
                <w:lang w:val="ro-RO" w:eastAsia="en-US"/>
              </w:rPr>
            </w:pPr>
            <w:r w:rsidRPr="00286B0C">
              <w:rPr>
                <w:rFonts w:cstheme="minorHAnsi"/>
                <w:b/>
                <w:bCs/>
                <w:lang w:val="ro-RO"/>
              </w:rPr>
              <w:t>C11.</w:t>
            </w:r>
            <w:r w:rsidRPr="00286B0C">
              <w:rPr>
                <w:rFonts w:cstheme="minorHAnsi"/>
                <w:lang w:val="ro-RO"/>
              </w:rPr>
              <w:t xml:space="preserve"> Propagarea efectelor este la momentul evaluării perceptibilă la nivelul creșterii competitivității la nivel local și/sau regional prin contribuția la creșterea competiției, și pe cale de consecință, a calității produselor și serviciilor furnizate la nivel local. Eventual efecte asupra familiilor angajaților din firmele noi înființate prin faptul ca au acces la venituri stabile iar la nivelul administratorilor de schemă de ajutor de minimis în calitate de beneficiari ai finanțării prin creșterea capacității de implementarea de astfel de proiecte, a vizibilității la nivel local/regional. Totodată, d</w:t>
            </w:r>
            <w:r w:rsidRPr="00286B0C">
              <w:rPr>
                <w:rFonts w:eastAsia="SimSun" w:cstheme="minorHAnsi"/>
                <w:lang w:val="ro-RO" w:eastAsia="en-US"/>
              </w:rPr>
              <w:t xml:space="preserve">ezvoltarea unor instrumente și mecanisme (platforme de crowdfunding, site-uri de promovare marcă socială, hărți interactive etc), analize (analize actuale la nivelul regiunilor în care au fost implementate proiectele), studii (Barometrul economiei sociale) ce vizează sectorul economiei sociale din cadrul unor proiecte sau conectarea întreprinderilor sociale la rețele și platforme naționale și europene vor contribui la propagarea efectelor proiectelor și în alte regiuni și grupuri, chiar și la nivel internațional. </w:t>
            </w:r>
          </w:p>
          <w:p w14:paraId="25E003D0"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t>C12.</w:t>
            </w:r>
            <w:r w:rsidRPr="00286B0C">
              <w:rPr>
                <w:rFonts w:cstheme="minorHAnsi"/>
                <w:lang w:val="ro-RO"/>
              </w:rPr>
              <w:t xml:space="preserve"> În ceea ce privește sustenabilitatea efectelor POCU OS 4.16, dacă direct la nivelul beneficiarilor de subvenție privind înființarea unor structuri, șansele percepute la acest moment sunt optimiste în ceea ce </w:t>
            </w:r>
            <w:r w:rsidRPr="00286B0C">
              <w:rPr>
                <w:rFonts w:cstheme="minorHAnsi"/>
                <w:lang w:val="ro-RO"/>
              </w:rPr>
              <w:lastRenderedPageBreak/>
              <w:t>privește sustenabilitatea afacerilor, informațiile colectate la nivelul administratorilor de grant arată o preocupare a acestor privind sustenabilitatea noilor întreprinderi din punct de vedere al mediului concurențial, al lipsei de măsuri de sprijin privind dezvoltarea acestor structuri în condițiile angajării unor persoane din grupurile vulnerabile.</w:t>
            </w:r>
          </w:p>
          <w:p w14:paraId="1DFEFD89"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t>C13.</w:t>
            </w:r>
            <w:r w:rsidRPr="00286B0C">
              <w:rPr>
                <w:rFonts w:cstheme="minorHAnsi"/>
                <w:lang w:val="ro-RO"/>
              </w:rPr>
              <w:t xml:space="preserve"> Legat de dezvoltarea acestor firme și menținerea și/sau creșterea numărului de angajați, șansele unor evoluții potențiale favorabile se înscriu în regulile statistice de dezvoltare/supraviețuire ale unui start-up, dar care ar trebui să fie mai mari în condițiile unui sprijin financiar nerambursabil. Un aspect important în acest sens este legat de șansele de menținere a misiunii sociale ulterior finalizării perioadei de sustenabilitate, care sunt reduse în condițiile unui cadru de reglementare lipsit de măsuri de sprijin și stimulate pentru dezvoltarea capacității întreprinderilor sociale altele decât întreprinderile sociale de inserție.</w:t>
            </w:r>
          </w:p>
          <w:p w14:paraId="5A51225F" w14:textId="77777777" w:rsidR="003E641A" w:rsidRPr="00286B0C" w:rsidRDefault="003E641A" w:rsidP="003E641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lang w:val="ro-RO"/>
              </w:rPr>
            </w:pPr>
            <w:r w:rsidRPr="00286B0C">
              <w:rPr>
                <w:rFonts w:cstheme="minorHAnsi"/>
                <w:b/>
                <w:bCs/>
                <w:lang w:val="ro-RO"/>
              </w:rPr>
              <w:t>C14.</w:t>
            </w:r>
            <w:r w:rsidRPr="00286B0C">
              <w:rPr>
                <w:rFonts w:cstheme="minorHAnsi"/>
                <w:lang w:val="ro-RO"/>
              </w:rPr>
              <w:t xml:space="preserve"> Participarea la intervențiile finanțate în cadrul POCU OS 4.16 a fost afectat de o serie de factori interni și externi precum: nivelul foarte ridicat al cerințelor administrative și de raportare, abordarea neunitară a procesului de verificare a actelor constitutive de către AJOFM, dificultăți în demersurile de angajarea de persoane vulnerabile în cadrul acelor întreprinderi sociale, pandemia SARS-CoV-2 și restricțiile aferente.</w:t>
            </w:r>
          </w:p>
          <w:p w14:paraId="1A6EFAFD" w14:textId="75A079CA" w:rsidR="003E641A" w:rsidRPr="00286B0C" w:rsidRDefault="003E641A" w:rsidP="003E641A">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
                <w:kern w:val="12"/>
                <w:lang w:val="ro-RO"/>
              </w:rPr>
            </w:pPr>
            <w:r w:rsidRPr="00286B0C">
              <w:rPr>
                <w:rFonts w:cstheme="minorHAnsi"/>
                <w:b/>
                <w:bCs/>
                <w:lang w:val="ro-RO"/>
              </w:rPr>
              <w:t>C15.</w:t>
            </w:r>
            <w:r w:rsidRPr="00286B0C">
              <w:rPr>
                <w:rFonts w:cstheme="minorHAnsi"/>
                <w:lang w:val="ro-RO"/>
              </w:rPr>
              <w:t xml:space="preserve"> Din perspectiva factorilor pozitivi, efectele intervențiilor POCU OS 4.16 au fost </w:t>
            </w:r>
            <w:r w:rsidRPr="00286B0C">
              <w:rPr>
                <w:rFonts w:cstheme="minorHAnsi"/>
                <w:b/>
                <w:lang w:val="ro-RO"/>
              </w:rPr>
              <w:t xml:space="preserve">favorizate </w:t>
            </w:r>
            <w:r w:rsidRPr="00286B0C">
              <w:rPr>
                <w:rFonts w:cstheme="minorHAnsi"/>
                <w:lang w:val="ro-RO"/>
              </w:rPr>
              <w:t xml:space="preserve">de mecanismul de implementare a intervenției prin utilizarea unei structuri de administratori de scheme de ajutor de minimis, design-ul activităților de la nivelul </w:t>
            </w:r>
            <w:r w:rsidRPr="00286B0C">
              <w:rPr>
                <w:rFonts w:cstheme="minorHAnsi"/>
                <w:lang w:val="ro-RO"/>
              </w:rPr>
              <w:lastRenderedPageBreak/>
              <w:t>ghidului solicitantului prin prevederea unor măsuri integrate de intervenție (informare, formare, consiliere, monitorizare), comunicarea bună cu OIR și de la nivelul structurii de parteneri ai administratorilor de schemă de minimis, flexibilitatea privind derularea unor programe de formare în sistem online după declanșarea pandemiei.</w:t>
            </w:r>
          </w:p>
        </w:tc>
        <w:tc>
          <w:tcPr>
            <w:tcW w:w="5220" w:type="dxa"/>
          </w:tcPr>
          <w:p w14:paraId="5916B549"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r w:rsidRPr="00286B0C">
              <w:rPr>
                <w:rFonts w:ascii="Calibri" w:eastAsia="SimSun" w:hAnsi="Calibri"/>
                <w:lang w:val="ro-RO" w:eastAsia="en-US"/>
              </w:rPr>
              <w:lastRenderedPageBreak/>
              <w:t>Intervențiile finanțate prin OS 4.16 au ca efecte potențiale de propagare asupra mediului de afaceri de la nivel local sau regional unde s-au înființat întreprinderile sociale prin creșterea competiției, și implicit a calității produselor și serviciilor furnizate la nivel local.</w:t>
            </w:r>
          </w:p>
          <w:p w14:paraId="57358477"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r w:rsidRPr="00286B0C">
              <w:rPr>
                <w:rFonts w:ascii="Calibri" w:eastAsia="SimSun" w:hAnsi="Calibri"/>
                <w:lang w:val="ro-RO" w:eastAsia="en-US"/>
              </w:rPr>
              <w:t>Efecte pozitive pot fi percepute și la nivelul angajaților întreprinderilor sociale create atât la nivelul managerilor prin promovarea conceptului și transferul de cunoștințe/competențe către alte cunoștințe, dar și al angajaților prin acces la un venit stabil, creșterea veniturilor persoanelor aparținând grupurilor vulnerabile angajate.</w:t>
            </w:r>
          </w:p>
          <w:p w14:paraId="3B27A5FE"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p>
          <w:p w14:paraId="7B17D62A"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r w:rsidRPr="00286B0C">
              <w:rPr>
                <w:rFonts w:ascii="Calibri" w:eastAsia="SimSun" w:hAnsi="Calibri"/>
                <w:lang w:val="ro-RO" w:eastAsia="en-US"/>
              </w:rPr>
              <w:t>La nivelul solicitanților și partenerilor acestora, respectiv administratorii de schemă de minimis a crescut capacitatea de a implementa astfel de scheme de antreprenoriat și implicit a vizibilității si diversificării paletei de servicii în antreprenoriat.</w:t>
            </w:r>
          </w:p>
          <w:p w14:paraId="5C8001BE"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p>
          <w:p w14:paraId="35CFB2DC"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r w:rsidRPr="00286B0C">
              <w:rPr>
                <w:rFonts w:ascii="Calibri" w:eastAsia="SimSun" w:hAnsi="Calibri"/>
                <w:lang w:val="ro-RO" w:eastAsia="en-US"/>
              </w:rPr>
              <w:t xml:space="preserve">Dezvoltarea unor instrumente și mecanisme (platforme crowdfunding, site-uri de promovare marca socială, hărți interactive etc), analize (analize actuale la nivelul regiunilor în care au fost implementate proiectele), studii (Barometrul economiei sociale) ce vizează sectorul economiei sociale din cadrul unor proiecte sau conectarea întreprinderilor sociale la rețele și platforme naționale și europene vor contribui la propagarea efectelor proiectelor și în alte regiuni și grupuri, chiar și la nivel internațional. </w:t>
            </w:r>
          </w:p>
          <w:p w14:paraId="645A1B35"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r w:rsidRPr="00286B0C">
              <w:rPr>
                <w:rFonts w:ascii="Calibri" w:eastAsia="SimSun" w:hAnsi="Calibri"/>
                <w:lang w:val="ro-RO" w:eastAsia="en-US"/>
              </w:rPr>
              <w:t xml:space="preserve">Chiar dacă se poate estima că multe dintre actualele întreprinderi sociale atestate vor renunța la atestatul de întreprindere socială după încheierea perioadei de sustenabilitate, se poate totodată estima faptul că cel puțin </w:t>
            </w:r>
            <w:r w:rsidRPr="00286B0C">
              <w:rPr>
                <w:rFonts w:ascii="Calibri" w:eastAsia="SimSun" w:hAnsi="Calibri"/>
                <w:lang w:val="ro-RO" w:eastAsia="en-US"/>
              </w:rPr>
              <w:lastRenderedPageBreak/>
              <w:t xml:space="preserve">unele dintre aceste organizații își vor păstra totuși misiunea socială, chiar dacă aleg să renunțe la statutul de întreprindere socială. Cu alte cuvinte, șansele ca misiunea socială a unor organizații dintre cele finanțate să continue să fie implementată sunt mai ridicate decât șansele de menținere a statutului de întreprindere socială atestată. Din punct de vedere al economiei sociale acesta este un aspect benefic, faptul că cel puțin o parte din organizații vor continua să își urmeze misiunea socială cu sau fără atestat de întreprindere socială este un beneficiu pentru societate. </w:t>
            </w:r>
          </w:p>
          <w:p w14:paraId="6FD2A9D3"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p>
          <w:p w14:paraId="7FCA013B" w14:textId="77777777" w:rsidR="003E641A" w:rsidRPr="00286B0C" w:rsidRDefault="003E641A" w:rsidP="003E641A">
            <w:pPr>
              <w:tabs>
                <w:tab w:val="left" w:pos="360"/>
              </w:tabs>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lang w:val="ro-RO" w:eastAsia="en-US"/>
              </w:rPr>
            </w:pPr>
          </w:p>
          <w:p w14:paraId="2E9F83C5" w14:textId="640EC8B9" w:rsidR="003E641A" w:rsidRPr="00286B0C" w:rsidRDefault="003E641A" w:rsidP="003E641A">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
                <w:kern w:val="12"/>
                <w:lang w:val="ro-RO"/>
              </w:rPr>
            </w:pPr>
            <w:r w:rsidRPr="00286B0C">
              <w:rPr>
                <w:rFonts w:ascii="Calibri" w:eastAsia="SimSun" w:hAnsi="Calibri"/>
                <w:lang w:val="ro-RO" w:eastAsia="en-US"/>
              </w:rPr>
              <w:t>Deși au existat și o serie de influențe negative precum cele descrise, analiza informațiilor colectate de către echipa de evaluare indică faptul că în ansamblu schema de ajutor de minimis progresează suficient de bine, existând șanse ridicate ca aceasta să își atingă scopul privind creșterea numărului de structuri ale economiei sociale. Cea mai mare provocare o reprezintă însă menținerea acestor structuri nou create și mai ales menținerea misiunii sociale a acestora, în acest sens analizele evaluatorilor indicând șanse reduse, după cum s-a menționat și anterior în cadrul secțiunii privind sustenabilitatea intervenției POCU</w:t>
            </w:r>
            <w:r>
              <w:rPr>
                <w:rFonts w:ascii="Calibri" w:eastAsia="SimSun" w:hAnsi="Calibri"/>
                <w:lang w:val="ro-RO" w:eastAsia="en-US"/>
              </w:rPr>
              <w:t>.</w:t>
            </w:r>
          </w:p>
        </w:tc>
      </w:tr>
    </w:tbl>
    <w:p w14:paraId="65818969" w14:textId="77777777" w:rsidR="00DF7445" w:rsidRPr="00286B0C" w:rsidRDefault="00DF7445" w:rsidP="002764D5">
      <w:pPr>
        <w:rPr>
          <w:rFonts w:ascii="Calibri" w:hAnsi="Calibri"/>
          <w:b/>
          <w:lang w:val="ro-RO"/>
        </w:rPr>
      </w:pPr>
    </w:p>
    <w:sectPr w:rsidR="00DF7445" w:rsidRPr="00286B0C" w:rsidSect="00094E71">
      <w:pgSz w:w="16834" w:h="11909" w:orient="landscape"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2B2F" w14:textId="77777777" w:rsidR="00AD0DC1" w:rsidRDefault="00AD0DC1" w:rsidP="00CA4D49">
      <w:r>
        <w:separator/>
      </w:r>
    </w:p>
  </w:endnote>
  <w:endnote w:type="continuationSeparator" w:id="0">
    <w:p w14:paraId="467F92A0" w14:textId="77777777" w:rsidR="00AD0DC1" w:rsidRDefault="00AD0DC1" w:rsidP="00CA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A552" w14:textId="17DF9087" w:rsidR="006F0B07" w:rsidRPr="005F4968" w:rsidRDefault="005F4968" w:rsidP="005F4968">
    <w:pPr>
      <w:pBdr>
        <w:top w:val="single" w:sz="4" w:space="1" w:color="auto"/>
      </w:pBdr>
      <w:tabs>
        <w:tab w:val="left" w:pos="1843"/>
      </w:tabs>
      <w:ind w:right="-180"/>
      <w:rPr>
        <w:b/>
        <w:color w:val="31849B"/>
        <w:sz w:val="16"/>
        <w:szCs w:val="16"/>
      </w:rPr>
    </w:pPr>
    <w:r w:rsidRPr="005F4968">
      <w:rPr>
        <w:rStyle w:val="Strong"/>
        <w:b w:val="0"/>
        <w:i/>
        <w:color w:val="3CA1BC"/>
        <w:sz w:val="16"/>
      </w:rPr>
      <w:t>„Implementarea Planului de Evaluare a Programului Operațional Capital Uman 2014-2020 - Lotul 1: Evaluarea intervențiilor în domeniul incluziunii sociale”, Contract nr. 36273 / 05.05.2020</w:t>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Pr>
        <w:rStyle w:val="Strong"/>
        <w:b w:val="0"/>
        <w:i/>
        <w:color w:val="4F81BD"/>
        <w:sz w:val="16"/>
      </w:rPr>
      <w:tab/>
    </w:r>
    <w:r>
      <w:rPr>
        <w:rStyle w:val="Strong"/>
        <w:b w:val="0"/>
        <w:i/>
        <w:color w:val="4F81BD"/>
        <w:sz w:val="16"/>
      </w:rPr>
      <w:tab/>
    </w:r>
    <w:r>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b/>
        <w:sz w:val="16"/>
        <w:szCs w:val="16"/>
      </w:rPr>
      <w:fldChar w:fldCharType="begin"/>
    </w:r>
    <w:r w:rsidRPr="005F4968">
      <w:rPr>
        <w:b/>
        <w:sz w:val="16"/>
        <w:szCs w:val="16"/>
      </w:rPr>
      <w:instrText xml:space="preserve"> PAGE   \* MERGEFORMAT </w:instrText>
    </w:r>
    <w:r w:rsidRPr="005F4968">
      <w:rPr>
        <w:b/>
        <w:sz w:val="16"/>
        <w:szCs w:val="16"/>
      </w:rPr>
      <w:fldChar w:fldCharType="separate"/>
    </w:r>
    <w:r w:rsidRPr="005F4968">
      <w:rPr>
        <w:b/>
        <w:sz w:val="16"/>
        <w:szCs w:val="16"/>
      </w:rPr>
      <w:t>1</w:t>
    </w:r>
    <w:r w:rsidRPr="005F4968">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1775" w14:textId="77777777" w:rsidR="00AD0DC1" w:rsidRDefault="00AD0DC1" w:rsidP="00CA4D49">
      <w:r>
        <w:separator/>
      </w:r>
    </w:p>
  </w:footnote>
  <w:footnote w:type="continuationSeparator" w:id="0">
    <w:p w14:paraId="4BF52F69" w14:textId="77777777" w:rsidR="00AD0DC1" w:rsidRDefault="00AD0DC1" w:rsidP="00CA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E32" w14:textId="77777777" w:rsidR="006F0B07" w:rsidRDefault="006F0B07" w:rsidP="004D3CBA">
    <w:pPr>
      <w:pStyle w:val="Header"/>
    </w:pPr>
    <w:r>
      <w:rPr>
        <w:noProof/>
        <w:lang w:val="en-US" w:eastAsia="en-US"/>
      </w:rPr>
      <w:t xml:space="preserve">     </w:t>
    </w:r>
    <w:r w:rsidRPr="00D63EF2">
      <w:rPr>
        <w:noProof/>
        <w:lang w:val="en-US" w:eastAsia="en-US"/>
      </w:rPr>
      <w:drawing>
        <wp:inline distT="0" distB="0" distL="0" distR="0" wp14:anchorId="0546AE47" wp14:editId="0398906B">
          <wp:extent cx="800100" cy="6667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eastAsia="en-US"/>
      </w:rPr>
      <w:t xml:space="preserve">                                                        </w:t>
    </w:r>
    <w:r w:rsidRPr="00D63EF2">
      <w:rPr>
        <w:noProof/>
        <w:lang w:val="en-US" w:eastAsia="en-US"/>
      </w:rPr>
      <w:drawing>
        <wp:inline distT="0" distB="0" distL="0" distR="0" wp14:anchorId="0EE91C4F" wp14:editId="1FEFC876">
          <wp:extent cx="666750" cy="6381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w:t xml:space="preserve">                                                                </w:t>
    </w:r>
    <w:r w:rsidRPr="00D63EF2">
      <w:rPr>
        <w:noProof/>
        <w:lang w:val="en-US" w:eastAsia="en-US"/>
      </w:rPr>
      <w:drawing>
        <wp:inline distT="0" distB="0" distL="0" distR="0" wp14:anchorId="4CEA0E77" wp14:editId="4A39BC87">
          <wp:extent cx="695325" cy="6953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eastAsia="en-US"/>
      </w:rPr>
      <w:t xml:space="preserve">                            </w:t>
    </w:r>
  </w:p>
  <w:p w14:paraId="7B3B8630" w14:textId="16B3AD33" w:rsidR="006F0B07" w:rsidRPr="004D3CBA" w:rsidRDefault="006F0B07" w:rsidP="004D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F24"/>
    <w:multiLevelType w:val="hybridMultilevel"/>
    <w:tmpl w:val="FB907120"/>
    <w:lvl w:ilvl="0" w:tplc="6D303542">
      <w:start w:val="1"/>
      <w:numFmt w:val="decimal"/>
      <w:suff w:val="space"/>
      <w:lvlText w:val="%1."/>
      <w:lvlJc w:val="left"/>
      <w:pPr>
        <w:ind w:left="360" w:hanging="360"/>
      </w:pPr>
      <w:rPr>
        <w:rFonts w:asciiTheme="minorHAnsi" w:hAnsiTheme="minorHAnsi" w:cstheme="minorHAnsi" w:hint="default"/>
        <w:b/>
        <w:i w:val="0"/>
        <w:color w:val="ABCD3A" w:themeColor="accent5"/>
        <w:u w:val="single"/>
      </w:rPr>
    </w:lvl>
    <w:lvl w:ilvl="1" w:tplc="04090005">
      <w:start w:val="1"/>
      <w:numFmt w:val="bullet"/>
      <w:lvlText w:val=""/>
      <w:lvlJc w:val="left"/>
      <w:pPr>
        <w:ind w:left="1582" w:hanging="360"/>
      </w:pPr>
      <w:rPr>
        <w:rFonts w:ascii="Wingdings" w:hAnsi="Wingdings" w:hint="default"/>
        <w:b/>
        <w:bCs w:val="0"/>
      </w:rPr>
    </w:lvl>
    <w:lvl w:ilvl="2" w:tplc="0409001B">
      <w:start w:val="1"/>
      <w:numFmt w:val="lowerRoman"/>
      <w:lvlText w:val="%3."/>
      <w:lvlJc w:val="right"/>
      <w:pPr>
        <w:ind w:left="2302" w:hanging="180"/>
      </w:pPr>
    </w:lvl>
    <w:lvl w:ilvl="3" w:tplc="3FF87978">
      <w:numFmt w:val="bullet"/>
      <w:lvlText w:val="•"/>
      <w:lvlJc w:val="left"/>
      <w:pPr>
        <w:ind w:left="3022" w:hanging="360"/>
      </w:pPr>
      <w:rPr>
        <w:rFonts w:ascii="Calibri" w:eastAsia="Calibri" w:hAnsi="Calibri" w:cs="Calibri" w:hint="default"/>
      </w:r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13874956"/>
    <w:multiLevelType w:val="hybridMultilevel"/>
    <w:tmpl w:val="58C01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1388"/>
    <w:multiLevelType w:val="hybridMultilevel"/>
    <w:tmpl w:val="5BD80276"/>
    <w:lvl w:ilvl="0" w:tplc="76227A2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65537"/>
    <w:multiLevelType w:val="hybridMultilevel"/>
    <w:tmpl w:val="CDAE43E2"/>
    <w:lvl w:ilvl="0" w:tplc="892CD722">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E4A41"/>
    <w:multiLevelType w:val="hybridMultilevel"/>
    <w:tmpl w:val="A2EE3032"/>
    <w:lvl w:ilvl="0" w:tplc="689A55AE">
      <w:start w:val="1"/>
      <w:numFmt w:val="bullet"/>
      <w:lvlText w:val=""/>
      <w:lvlJc w:val="left"/>
      <w:pPr>
        <w:ind w:left="720" w:hanging="360"/>
      </w:pPr>
      <w:rPr>
        <w:rFonts w:ascii="Symbol" w:hAnsi="Symbol" w:hint="default"/>
        <w:color w:val="000000" w:themeColor="text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6711E66"/>
    <w:multiLevelType w:val="hybridMultilevel"/>
    <w:tmpl w:val="CF184A24"/>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7915C6D"/>
    <w:multiLevelType w:val="hybridMultilevel"/>
    <w:tmpl w:val="0F7ED0DE"/>
    <w:lvl w:ilvl="0" w:tplc="0409000D">
      <w:start w:val="1"/>
      <w:numFmt w:val="bullet"/>
      <w:lvlText w:val=""/>
      <w:lvlJc w:val="left"/>
      <w:pPr>
        <w:tabs>
          <w:tab w:val="num" w:pos="720"/>
        </w:tabs>
        <w:ind w:left="720" w:hanging="360"/>
      </w:pPr>
      <w:rPr>
        <w:rFonts w:ascii="Wingdings" w:hAnsi="Wingdings" w:hint="default"/>
      </w:rPr>
    </w:lvl>
    <w:lvl w:ilvl="1" w:tplc="7DB626C8">
      <w:start w:val="1"/>
      <w:numFmt w:val="bullet"/>
      <w:lvlText w:val=""/>
      <w:lvlJc w:val="left"/>
      <w:pPr>
        <w:tabs>
          <w:tab w:val="num" w:pos="1440"/>
        </w:tabs>
        <w:ind w:left="1440" w:hanging="360"/>
      </w:pPr>
      <w:rPr>
        <w:rFonts w:ascii="Wingdings" w:hAnsi="Wingdings" w:hint="default"/>
      </w:rPr>
    </w:lvl>
    <w:lvl w:ilvl="2" w:tplc="0A663E2C">
      <w:start w:val="1"/>
      <w:numFmt w:val="bullet"/>
      <w:lvlText w:val=""/>
      <w:lvlJc w:val="left"/>
      <w:pPr>
        <w:tabs>
          <w:tab w:val="num" w:pos="2160"/>
        </w:tabs>
        <w:ind w:left="2160" w:hanging="360"/>
      </w:pPr>
      <w:rPr>
        <w:rFonts w:ascii="Wingdings" w:hAnsi="Wingdings" w:hint="default"/>
      </w:rPr>
    </w:lvl>
    <w:lvl w:ilvl="3" w:tplc="AA2E12DC">
      <w:start w:val="1"/>
      <w:numFmt w:val="bullet"/>
      <w:lvlText w:val=""/>
      <w:lvlJc w:val="left"/>
      <w:pPr>
        <w:tabs>
          <w:tab w:val="num" w:pos="2880"/>
        </w:tabs>
        <w:ind w:left="2880" w:hanging="360"/>
      </w:pPr>
      <w:rPr>
        <w:rFonts w:ascii="Wingdings" w:hAnsi="Wingdings" w:hint="default"/>
      </w:rPr>
    </w:lvl>
    <w:lvl w:ilvl="4" w:tplc="D8E69D88">
      <w:numFmt w:val="bullet"/>
      <w:lvlText w:val="•"/>
      <w:lvlJc w:val="left"/>
      <w:pPr>
        <w:tabs>
          <w:tab w:val="num" w:pos="3600"/>
        </w:tabs>
        <w:ind w:left="3600" w:hanging="360"/>
      </w:pPr>
      <w:rPr>
        <w:rFonts w:ascii="Arial" w:hAnsi="Arial" w:cs="Times New Roman" w:hint="default"/>
      </w:rPr>
    </w:lvl>
    <w:lvl w:ilvl="5" w:tplc="FADC88D0">
      <w:start w:val="1"/>
      <w:numFmt w:val="bullet"/>
      <w:lvlText w:val=""/>
      <w:lvlJc w:val="left"/>
      <w:pPr>
        <w:tabs>
          <w:tab w:val="num" w:pos="4320"/>
        </w:tabs>
        <w:ind w:left="4320" w:hanging="360"/>
      </w:pPr>
      <w:rPr>
        <w:rFonts w:ascii="Wingdings" w:hAnsi="Wingdings" w:hint="default"/>
      </w:rPr>
    </w:lvl>
    <w:lvl w:ilvl="6" w:tplc="350EAC9E">
      <w:start w:val="1"/>
      <w:numFmt w:val="bullet"/>
      <w:lvlText w:val=""/>
      <w:lvlJc w:val="left"/>
      <w:pPr>
        <w:tabs>
          <w:tab w:val="num" w:pos="5040"/>
        </w:tabs>
        <w:ind w:left="5040" w:hanging="360"/>
      </w:pPr>
      <w:rPr>
        <w:rFonts w:ascii="Wingdings" w:hAnsi="Wingdings" w:hint="default"/>
      </w:rPr>
    </w:lvl>
    <w:lvl w:ilvl="7" w:tplc="A7BC6AAC">
      <w:start w:val="1"/>
      <w:numFmt w:val="bullet"/>
      <w:lvlText w:val=""/>
      <w:lvlJc w:val="left"/>
      <w:pPr>
        <w:tabs>
          <w:tab w:val="num" w:pos="5760"/>
        </w:tabs>
        <w:ind w:left="5760" w:hanging="360"/>
      </w:pPr>
      <w:rPr>
        <w:rFonts w:ascii="Wingdings" w:hAnsi="Wingdings" w:hint="default"/>
      </w:rPr>
    </w:lvl>
    <w:lvl w:ilvl="8" w:tplc="DB8C455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E21AD"/>
    <w:multiLevelType w:val="hybridMultilevel"/>
    <w:tmpl w:val="B600BADA"/>
    <w:lvl w:ilvl="0" w:tplc="C0061D36">
      <w:start w:val="1"/>
      <w:numFmt w:val="bullet"/>
      <w:pStyle w:val="REBulletsimple"/>
      <w:lvlText w:val=""/>
      <w:lvlJc w:val="left"/>
      <w:pPr>
        <w:ind w:left="768" w:hanging="360"/>
      </w:pPr>
      <w:rPr>
        <w:rFonts w:ascii="Symbol" w:hAnsi="Symbol" w:hint="default"/>
        <w:color w:val="ABCD3A" w:themeColor="accent5"/>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50A75EAA"/>
    <w:multiLevelType w:val="hybridMultilevel"/>
    <w:tmpl w:val="BCC69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D08AE"/>
    <w:multiLevelType w:val="hybridMultilevel"/>
    <w:tmpl w:val="79E8327A"/>
    <w:lvl w:ilvl="0" w:tplc="F65CAB24">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7"/>
  </w:num>
  <w:num w:numId="6">
    <w:abstractNumId w:val="2"/>
  </w:num>
  <w:num w:numId="7">
    <w:abstractNumId w:val="5"/>
  </w:num>
  <w:num w:numId="8">
    <w:abstractNumId w:val="4"/>
  </w:num>
  <w:num w:numId="9">
    <w:abstractNumId w:val="1"/>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MrU0MzIzN7U0MDNV0lEKTi0uzszPAykwrgUA8ryDIywAAAA="/>
  </w:docVars>
  <w:rsids>
    <w:rsidRoot w:val="00B0516E"/>
    <w:rsid w:val="00002377"/>
    <w:rsid w:val="0001260C"/>
    <w:rsid w:val="000347E3"/>
    <w:rsid w:val="000377D8"/>
    <w:rsid w:val="00041BF2"/>
    <w:rsid w:val="00042EC7"/>
    <w:rsid w:val="00066A44"/>
    <w:rsid w:val="0008037A"/>
    <w:rsid w:val="00094E71"/>
    <w:rsid w:val="000A7ABB"/>
    <w:rsid w:val="000C0243"/>
    <w:rsid w:val="000C0D8A"/>
    <w:rsid w:val="000D07D4"/>
    <w:rsid w:val="000F3073"/>
    <w:rsid w:val="00104DEF"/>
    <w:rsid w:val="00121704"/>
    <w:rsid w:val="0014128C"/>
    <w:rsid w:val="0014391D"/>
    <w:rsid w:val="0014601C"/>
    <w:rsid w:val="00153690"/>
    <w:rsid w:val="001539C1"/>
    <w:rsid w:val="00160565"/>
    <w:rsid w:val="00177CDD"/>
    <w:rsid w:val="00181356"/>
    <w:rsid w:val="00185419"/>
    <w:rsid w:val="001A46C4"/>
    <w:rsid w:val="001B46CE"/>
    <w:rsid w:val="001E21D2"/>
    <w:rsid w:val="00204625"/>
    <w:rsid w:val="00207A2A"/>
    <w:rsid w:val="00215336"/>
    <w:rsid w:val="002368A2"/>
    <w:rsid w:val="002764D5"/>
    <w:rsid w:val="00286B0C"/>
    <w:rsid w:val="0029435C"/>
    <w:rsid w:val="002A4E74"/>
    <w:rsid w:val="002A6078"/>
    <w:rsid w:val="002B0694"/>
    <w:rsid w:val="002C2047"/>
    <w:rsid w:val="002D07C8"/>
    <w:rsid w:val="002D377A"/>
    <w:rsid w:val="002D650C"/>
    <w:rsid w:val="002E52B6"/>
    <w:rsid w:val="00300402"/>
    <w:rsid w:val="00307E93"/>
    <w:rsid w:val="00315907"/>
    <w:rsid w:val="00327450"/>
    <w:rsid w:val="00331FEB"/>
    <w:rsid w:val="00343C7E"/>
    <w:rsid w:val="0035056A"/>
    <w:rsid w:val="00374128"/>
    <w:rsid w:val="0038176D"/>
    <w:rsid w:val="003855FF"/>
    <w:rsid w:val="003A747E"/>
    <w:rsid w:val="003B7756"/>
    <w:rsid w:val="003C206F"/>
    <w:rsid w:val="003C6064"/>
    <w:rsid w:val="003C71A6"/>
    <w:rsid w:val="003D09CB"/>
    <w:rsid w:val="003D7101"/>
    <w:rsid w:val="003E641A"/>
    <w:rsid w:val="003F091B"/>
    <w:rsid w:val="003F1555"/>
    <w:rsid w:val="004056C6"/>
    <w:rsid w:val="0042028E"/>
    <w:rsid w:val="00420659"/>
    <w:rsid w:val="00426B31"/>
    <w:rsid w:val="00450BA3"/>
    <w:rsid w:val="00461132"/>
    <w:rsid w:val="00462600"/>
    <w:rsid w:val="00471D7C"/>
    <w:rsid w:val="004926AD"/>
    <w:rsid w:val="004A5E52"/>
    <w:rsid w:val="004B2891"/>
    <w:rsid w:val="004C782C"/>
    <w:rsid w:val="004D3CBA"/>
    <w:rsid w:val="004D518B"/>
    <w:rsid w:val="004E1470"/>
    <w:rsid w:val="004F14E1"/>
    <w:rsid w:val="004F3B5B"/>
    <w:rsid w:val="005105E0"/>
    <w:rsid w:val="00510758"/>
    <w:rsid w:val="00512151"/>
    <w:rsid w:val="0052407E"/>
    <w:rsid w:val="00572721"/>
    <w:rsid w:val="00576691"/>
    <w:rsid w:val="00576C21"/>
    <w:rsid w:val="00582BD8"/>
    <w:rsid w:val="005A5AAA"/>
    <w:rsid w:val="005A6E90"/>
    <w:rsid w:val="005B69B4"/>
    <w:rsid w:val="005B7F64"/>
    <w:rsid w:val="005C482B"/>
    <w:rsid w:val="005C5D60"/>
    <w:rsid w:val="005C6B84"/>
    <w:rsid w:val="005D54D7"/>
    <w:rsid w:val="005F42E4"/>
    <w:rsid w:val="005F4968"/>
    <w:rsid w:val="005F7B3E"/>
    <w:rsid w:val="00602913"/>
    <w:rsid w:val="00605738"/>
    <w:rsid w:val="00614536"/>
    <w:rsid w:val="006206CA"/>
    <w:rsid w:val="006208AD"/>
    <w:rsid w:val="00621983"/>
    <w:rsid w:val="006237F2"/>
    <w:rsid w:val="00635F0C"/>
    <w:rsid w:val="00641869"/>
    <w:rsid w:val="006500FF"/>
    <w:rsid w:val="00651133"/>
    <w:rsid w:val="00653A16"/>
    <w:rsid w:val="00665544"/>
    <w:rsid w:val="006872ED"/>
    <w:rsid w:val="006874FD"/>
    <w:rsid w:val="00695E44"/>
    <w:rsid w:val="006A2830"/>
    <w:rsid w:val="006A5789"/>
    <w:rsid w:val="006C0B95"/>
    <w:rsid w:val="006E380F"/>
    <w:rsid w:val="006F0B07"/>
    <w:rsid w:val="006F634E"/>
    <w:rsid w:val="006F6CE4"/>
    <w:rsid w:val="00703135"/>
    <w:rsid w:val="0072188C"/>
    <w:rsid w:val="00722DC3"/>
    <w:rsid w:val="007241A0"/>
    <w:rsid w:val="00735A0D"/>
    <w:rsid w:val="00736C0A"/>
    <w:rsid w:val="00745481"/>
    <w:rsid w:val="00756DE5"/>
    <w:rsid w:val="00757996"/>
    <w:rsid w:val="00765E81"/>
    <w:rsid w:val="00784D61"/>
    <w:rsid w:val="00796D79"/>
    <w:rsid w:val="007A18D5"/>
    <w:rsid w:val="007A775C"/>
    <w:rsid w:val="007F030D"/>
    <w:rsid w:val="0080191C"/>
    <w:rsid w:val="00815CD6"/>
    <w:rsid w:val="0082264A"/>
    <w:rsid w:val="00833CDC"/>
    <w:rsid w:val="0087243F"/>
    <w:rsid w:val="008761BD"/>
    <w:rsid w:val="008A35AF"/>
    <w:rsid w:val="008C0689"/>
    <w:rsid w:val="008C7E24"/>
    <w:rsid w:val="008F2AAB"/>
    <w:rsid w:val="009079CA"/>
    <w:rsid w:val="00911335"/>
    <w:rsid w:val="00912E17"/>
    <w:rsid w:val="009165E7"/>
    <w:rsid w:val="00916733"/>
    <w:rsid w:val="00940148"/>
    <w:rsid w:val="00947099"/>
    <w:rsid w:val="009924AF"/>
    <w:rsid w:val="009A0465"/>
    <w:rsid w:val="009B6529"/>
    <w:rsid w:val="009C0FCE"/>
    <w:rsid w:val="009C79F2"/>
    <w:rsid w:val="009D6C2E"/>
    <w:rsid w:val="009E5B72"/>
    <w:rsid w:val="009F1268"/>
    <w:rsid w:val="009F390B"/>
    <w:rsid w:val="009F3978"/>
    <w:rsid w:val="00A30864"/>
    <w:rsid w:val="00A32477"/>
    <w:rsid w:val="00A42EAB"/>
    <w:rsid w:val="00A524A4"/>
    <w:rsid w:val="00A52DE0"/>
    <w:rsid w:val="00A57EBA"/>
    <w:rsid w:val="00A61914"/>
    <w:rsid w:val="00A6753A"/>
    <w:rsid w:val="00A67E85"/>
    <w:rsid w:val="00A723AC"/>
    <w:rsid w:val="00A72763"/>
    <w:rsid w:val="00A72971"/>
    <w:rsid w:val="00A75380"/>
    <w:rsid w:val="00A80BB5"/>
    <w:rsid w:val="00AC0FF3"/>
    <w:rsid w:val="00AC3AF8"/>
    <w:rsid w:val="00AC44AB"/>
    <w:rsid w:val="00AD0DC1"/>
    <w:rsid w:val="00AD110F"/>
    <w:rsid w:val="00AD2B76"/>
    <w:rsid w:val="00AD730F"/>
    <w:rsid w:val="00AE0849"/>
    <w:rsid w:val="00AE46AF"/>
    <w:rsid w:val="00AE4C0B"/>
    <w:rsid w:val="00AF5734"/>
    <w:rsid w:val="00B0516E"/>
    <w:rsid w:val="00B06511"/>
    <w:rsid w:val="00B11F29"/>
    <w:rsid w:val="00B16352"/>
    <w:rsid w:val="00B30CD3"/>
    <w:rsid w:val="00B31090"/>
    <w:rsid w:val="00B51282"/>
    <w:rsid w:val="00B674C9"/>
    <w:rsid w:val="00B70348"/>
    <w:rsid w:val="00B8640C"/>
    <w:rsid w:val="00B913FB"/>
    <w:rsid w:val="00B92DF0"/>
    <w:rsid w:val="00B95274"/>
    <w:rsid w:val="00BB2EEC"/>
    <w:rsid w:val="00BC706E"/>
    <w:rsid w:val="00BD108A"/>
    <w:rsid w:val="00BD3026"/>
    <w:rsid w:val="00BE128F"/>
    <w:rsid w:val="00BE1646"/>
    <w:rsid w:val="00C24356"/>
    <w:rsid w:val="00C25F98"/>
    <w:rsid w:val="00C47905"/>
    <w:rsid w:val="00C57AD3"/>
    <w:rsid w:val="00C6537F"/>
    <w:rsid w:val="00C7507D"/>
    <w:rsid w:val="00C77911"/>
    <w:rsid w:val="00C80C6C"/>
    <w:rsid w:val="00C8782A"/>
    <w:rsid w:val="00C87900"/>
    <w:rsid w:val="00CA4D49"/>
    <w:rsid w:val="00CB0FEF"/>
    <w:rsid w:val="00CC1738"/>
    <w:rsid w:val="00CD38A0"/>
    <w:rsid w:val="00CE0DC0"/>
    <w:rsid w:val="00CF25BF"/>
    <w:rsid w:val="00D15463"/>
    <w:rsid w:val="00D171FA"/>
    <w:rsid w:val="00D440AE"/>
    <w:rsid w:val="00D63471"/>
    <w:rsid w:val="00D63A8D"/>
    <w:rsid w:val="00D76192"/>
    <w:rsid w:val="00D91F55"/>
    <w:rsid w:val="00DA198D"/>
    <w:rsid w:val="00DC2A96"/>
    <w:rsid w:val="00DC4DDC"/>
    <w:rsid w:val="00DE706F"/>
    <w:rsid w:val="00DE7DA1"/>
    <w:rsid w:val="00DF7445"/>
    <w:rsid w:val="00E3284B"/>
    <w:rsid w:val="00E33A6F"/>
    <w:rsid w:val="00E33BC6"/>
    <w:rsid w:val="00E41D76"/>
    <w:rsid w:val="00E4358F"/>
    <w:rsid w:val="00E47493"/>
    <w:rsid w:val="00E570CF"/>
    <w:rsid w:val="00E57416"/>
    <w:rsid w:val="00E61699"/>
    <w:rsid w:val="00E65BB8"/>
    <w:rsid w:val="00E70E47"/>
    <w:rsid w:val="00E91FE4"/>
    <w:rsid w:val="00EB0079"/>
    <w:rsid w:val="00EB5F1D"/>
    <w:rsid w:val="00EC30EC"/>
    <w:rsid w:val="00EE2220"/>
    <w:rsid w:val="00EE3B60"/>
    <w:rsid w:val="00EF2BE9"/>
    <w:rsid w:val="00EF5092"/>
    <w:rsid w:val="00F032E4"/>
    <w:rsid w:val="00F0392B"/>
    <w:rsid w:val="00F15008"/>
    <w:rsid w:val="00F254DD"/>
    <w:rsid w:val="00F36CED"/>
    <w:rsid w:val="00F72031"/>
    <w:rsid w:val="00F843E7"/>
    <w:rsid w:val="00F95D6C"/>
    <w:rsid w:val="00F978A4"/>
    <w:rsid w:val="00FC4F50"/>
    <w:rsid w:val="00FC5110"/>
    <w:rsid w:val="00FC7D47"/>
    <w:rsid w:val="00FE3F99"/>
    <w:rsid w:val="00FE6F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BF10"/>
  <w15:docId w15:val="{ED22B36F-9DF5-4912-9378-8BB44717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49"/>
    <w:pPr>
      <w:suppressAutoHyphens/>
      <w:jc w:val="both"/>
    </w:pPr>
    <w:rPr>
      <w:rFonts w:asciiTheme="minorHAnsi" w:eastAsia="Calibri" w:hAnsiTheme="minorHAnsi" w:cs="Calibri"/>
      <w:sz w:val="20"/>
      <w:szCs w:val="20"/>
      <w:lang w:val="en-GB" w:eastAsia="ar-SA"/>
    </w:rPr>
  </w:style>
  <w:style w:type="paragraph" w:styleId="Heading1">
    <w:name w:val="heading 1"/>
    <w:basedOn w:val="Normal"/>
    <w:next w:val="Normal"/>
    <w:link w:val="Heading1Char"/>
    <w:uiPriority w:val="9"/>
    <w:qFormat/>
    <w:rsid w:val="00DC2A96"/>
    <w:pPr>
      <w:keepNext/>
      <w:keepLines/>
      <w:spacing w:before="320" w:after="80"/>
      <w:jc w:val="center"/>
      <w:outlineLvl w:val="0"/>
    </w:pPr>
    <w:rPr>
      <w:rFonts w:asciiTheme="majorHAnsi" w:eastAsiaTheme="majorEastAsia" w:hAnsiTheme="majorHAnsi" w:cstheme="majorBidi"/>
      <w:color w:val="2D788C" w:themeColor="accent1" w:themeShade="BF"/>
      <w:sz w:val="40"/>
      <w:szCs w:val="40"/>
    </w:rPr>
  </w:style>
  <w:style w:type="paragraph" w:styleId="Heading2">
    <w:name w:val="heading 2"/>
    <w:basedOn w:val="Normal"/>
    <w:next w:val="Normal"/>
    <w:link w:val="Heading2Char"/>
    <w:uiPriority w:val="9"/>
    <w:semiHidden/>
    <w:unhideWhenUsed/>
    <w:qFormat/>
    <w:rsid w:val="00DC2A96"/>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C2A96"/>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C2A96"/>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C2A96"/>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C2A96"/>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C2A96"/>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C2A96"/>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C2A96"/>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96"/>
    <w:rPr>
      <w:rFonts w:asciiTheme="majorHAnsi" w:eastAsiaTheme="majorEastAsia" w:hAnsiTheme="majorHAnsi" w:cstheme="majorBidi"/>
      <w:color w:val="2D788C" w:themeColor="accent1" w:themeShade="BF"/>
      <w:sz w:val="40"/>
      <w:szCs w:val="40"/>
    </w:rPr>
  </w:style>
  <w:style w:type="character" w:customStyle="1" w:styleId="Heading2Char">
    <w:name w:val="Heading 2 Char"/>
    <w:basedOn w:val="DefaultParagraphFont"/>
    <w:link w:val="Heading2"/>
    <w:uiPriority w:val="9"/>
    <w:semiHidden/>
    <w:rsid w:val="00DC2A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C2A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C2A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C2A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C2A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C2A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C2A96"/>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C2A96"/>
    <w:rPr>
      <w:b/>
      <w:bCs/>
      <w:i/>
      <w:iCs/>
    </w:rPr>
  </w:style>
  <w:style w:type="paragraph" w:styleId="Caption">
    <w:name w:val="caption"/>
    <w:basedOn w:val="Normal"/>
    <w:next w:val="Normal"/>
    <w:uiPriority w:val="35"/>
    <w:semiHidden/>
    <w:unhideWhenUsed/>
    <w:qFormat/>
    <w:rsid w:val="00DC2A96"/>
    <w:rPr>
      <w:b/>
      <w:bCs/>
      <w:color w:val="268EA6" w:themeColor="text1" w:themeTint="BF"/>
      <w:sz w:val="16"/>
      <w:szCs w:val="16"/>
    </w:rPr>
  </w:style>
  <w:style w:type="paragraph" w:styleId="Title">
    <w:name w:val="Title"/>
    <w:basedOn w:val="Normal"/>
    <w:next w:val="Normal"/>
    <w:link w:val="TitleChar"/>
    <w:uiPriority w:val="10"/>
    <w:qFormat/>
    <w:rsid w:val="00DC2A96"/>
    <w:pPr>
      <w:pBdr>
        <w:top w:val="single" w:sz="6" w:space="8" w:color="502523" w:themeColor="accent3"/>
        <w:bottom w:val="single" w:sz="6" w:space="8" w:color="502523" w:themeColor="accent3"/>
      </w:pBdr>
      <w:spacing w:after="400"/>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DC2A96"/>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DC2A96"/>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DC2A96"/>
    <w:rPr>
      <w:color w:val="000000" w:themeColor="text2"/>
      <w:sz w:val="28"/>
      <w:szCs w:val="28"/>
    </w:rPr>
  </w:style>
  <w:style w:type="character" w:styleId="Strong">
    <w:name w:val="Strong"/>
    <w:aliases w:val="Bold"/>
    <w:basedOn w:val="DefaultParagraphFont"/>
    <w:qFormat/>
    <w:rsid w:val="00DC2A96"/>
    <w:rPr>
      <w:b/>
      <w:bCs/>
    </w:rPr>
  </w:style>
  <w:style w:type="character" w:styleId="Emphasis">
    <w:name w:val="Emphasis"/>
    <w:basedOn w:val="DefaultParagraphFont"/>
    <w:uiPriority w:val="20"/>
    <w:qFormat/>
    <w:rsid w:val="00DC2A96"/>
    <w:rPr>
      <w:i/>
      <w:iCs/>
      <w:color w:val="134753" w:themeColor="text1"/>
    </w:rPr>
  </w:style>
  <w:style w:type="paragraph" w:styleId="NoSpacing">
    <w:name w:val="No Spacing"/>
    <w:uiPriority w:val="1"/>
    <w:qFormat/>
    <w:rsid w:val="00DC2A96"/>
  </w:style>
  <w:style w:type="paragraph" w:styleId="ListParagraph">
    <w:name w:val="List Paragraph"/>
    <w:aliases w:val="Normal bullet 2,List Paragraph1,List Paragraph (numbered (a)),WB Para,Lijstalinea1,A_wyliczenie,K-P_odwolanie,Akapit z listą5,maz_wyliczenie,opis dzialania,Bullet 1,Table of contents numbered,List Paragraph4,List1,Listă paragraf,body 2,bu"/>
    <w:basedOn w:val="Normal"/>
    <w:link w:val="ListParagraphChar"/>
    <w:uiPriority w:val="34"/>
    <w:qFormat/>
    <w:rsid w:val="00DC2A96"/>
    <w:pPr>
      <w:ind w:left="720"/>
      <w:contextualSpacing/>
    </w:pPr>
  </w:style>
  <w:style w:type="paragraph" w:styleId="Quote">
    <w:name w:val="Quote"/>
    <w:basedOn w:val="Normal"/>
    <w:next w:val="Normal"/>
    <w:link w:val="QuoteChar"/>
    <w:uiPriority w:val="29"/>
    <w:qFormat/>
    <w:rsid w:val="00DC2A96"/>
    <w:pPr>
      <w:spacing w:before="160"/>
      <w:ind w:left="720" w:right="720"/>
      <w:jc w:val="center"/>
    </w:pPr>
    <w:rPr>
      <w:i/>
      <w:iCs/>
      <w:color w:val="3B1B1A" w:themeColor="accent3" w:themeShade="BF"/>
      <w:sz w:val="24"/>
      <w:szCs w:val="24"/>
    </w:rPr>
  </w:style>
  <w:style w:type="character" w:customStyle="1" w:styleId="QuoteChar">
    <w:name w:val="Quote Char"/>
    <w:basedOn w:val="DefaultParagraphFont"/>
    <w:link w:val="Quote"/>
    <w:uiPriority w:val="29"/>
    <w:rsid w:val="00DC2A96"/>
    <w:rPr>
      <w:i/>
      <w:iCs/>
      <w:color w:val="3B1B1A" w:themeColor="accent3" w:themeShade="BF"/>
      <w:sz w:val="24"/>
      <w:szCs w:val="24"/>
    </w:rPr>
  </w:style>
  <w:style w:type="paragraph" w:styleId="IntenseQuote">
    <w:name w:val="Intense Quote"/>
    <w:basedOn w:val="Normal"/>
    <w:next w:val="Normal"/>
    <w:link w:val="IntenseQuoteChar"/>
    <w:uiPriority w:val="30"/>
    <w:qFormat/>
    <w:rsid w:val="00DC2A96"/>
    <w:pPr>
      <w:spacing w:before="160"/>
      <w:ind w:left="936" w:right="936"/>
      <w:jc w:val="center"/>
    </w:pPr>
    <w:rPr>
      <w:rFonts w:asciiTheme="majorHAnsi" w:eastAsiaTheme="majorEastAsia" w:hAnsiTheme="majorHAnsi" w:cstheme="majorBidi"/>
      <w:caps/>
      <w:color w:val="2D788C" w:themeColor="accent1" w:themeShade="BF"/>
      <w:sz w:val="28"/>
      <w:szCs w:val="28"/>
    </w:rPr>
  </w:style>
  <w:style w:type="character" w:customStyle="1" w:styleId="IntenseQuoteChar">
    <w:name w:val="Intense Quote Char"/>
    <w:basedOn w:val="DefaultParagraphFont"/>
    <w:link w:val="IntenseQuote"/>
    <w:uiPriority w:val="30"/>
    <w:rsid w:val="00DC2A96"/>
    <w:rPr>
      <w:rFonts w:asciiTheme="majorHAnsi" w:eastAsiaTheme="majorEastAsia" w:hAnsiTheme="majorHAnsi" w:cstheme="majorBidi"/>
      <w:caps/>
      <w:color w:val="2D788C" w:themeColor="accent1" w:themeShade="BF"/>
      <w:sz w:val="28"/>
      <w:szCs w:val="28"/>
    </w:rPr>
  </w:style>
  <w:style w:type="character" w:styleId="SubtleEmphasis">
    <w:name w:val="Subtle Emphasis"/>
    <w:basedOn w:val="DefaultParagraphFont"/>
    <w:uiPriority w:val="19"/>
    <w:qFormat/>
    <w:rsid w:val="00DC2A96"/>
    <w:rPr>
      <w:i/>
      <w:iCs/>
      <w:color w:val="2DA9C6" w:themeColor="text1" w:themeTint="A6"/>
    </w:rPr>
  </w:style>
  <w:style w:type="character" w:styleId="IntenseEmphasis">
    <w:name w:val="Intense Emphasis"/>
    <w:basedOn w:val="DefaultParagraphFont"/>
    <w:uiPriority w:val="21"/>
    <w:qFormat/>
    <w:rsid w:val="00DC2A96"/>
    <w:rPr>
      <w:b/>
      <w:bCs/>
      <w:i/>
      <w:iCs/>
      <w:color w:val="auto"/>
    </w:rPr>
  </w:style>
  <w:style w:type="character" w:styleId="SubtleReference">
    <w:name w:val="Subtle Reference"/>
    <w:basedOn w:val="DefaultParagraphFont"/>
    <w:uiPriority w:val="31"/>
    <w:qFormat/>
    <w:rsid w:val="00DC2A96"/>
    <w:rPr>
      <w:caps w:val="0"/>
      <w:smallCaps/>
      <w:color w:val="268EA6" w:themeColor="text1" w:themeTint="BF"/>
      <w:spacing w:val="0"/>
      <w:u w:val="single" w:color="58C0D8" w:themeColor="text1" w:themeTint="80"/>
    </w:rPr>
  </w:style>
  <w:style w:type="character" w:styleId="IntenseReference">
    <w:name w:val="Intense Reference"/>
    <w:basedOn w:val="DefaultParagraphFont"/>
    <w:uiPriority w:val="32"/>
    <w:qFormat/>
    <w:rsid w:val="00DC2A96"/>
    <w:rPr>
      <w:b/>
      <w:bCs/>
      <w:caps w:val="0"/>
      <w:smallCaps/>
      <w:color w:val="auto"/>
      <w:spacing w:val="0"/>
      <w:u w:val="single"/>
    </w:rPr>
  </w:style>
  <w:style w:type="character" w:styleId="BookTitle">
    <w:name w:val="Book Title"/>
    <w:basedOn w:val="DefaultParagraphFont"/>
    <w:uiPriority w:val="33"/>
    <w:qFormat/>
    <w:rsid w:val="00DC2A96"/>
    <w:rPr>
      <w:b/>
      <w:bCs/>
      <w:caps w:val="0"/>
      <w:smallCaps/>
      <w:spacing w:val="0"/>
    </w:rPr>
  </w:style>
  <w:style w:type="paragraph" w:styleId="TOCHeading">
    <w:name w:val="TOC Heading"/>
    <w:basedOn w:val="Heading1"/>
    <w:next w:val="Normal"/>
    <w:uiPriority w:val="39"/>
    <w:semiHidden/>
    <w:unhideWhenUsed/>
    <w:qFormat/>
    <w:rsid w:val="00DC2A96"/>
    <w:pPr>
      <w:outlineLvl w:val="9"/>
    </w:pPr>
  </w:style>
  <w:style w:type="character" w:customStyle="1" w:styleId="ListParagraphChar">
    <w:name w:val="List Paragraph Char"/>
    <w:aliases w:val="Normal bullet 2 Char,List Paragraph1 Char,List Paragraph (numbered (a)) Char,WB Para Char,Lijstalinea1 Char,A_wyliczenie Char,K-P_odwolanie Char,Akapit z listą5 Char,maz_wyliczenie Char,opis dzialania Char,Bullet 1 Char,List1 Char"/>
    <w:basedOn w:val="DefaultParagraphFont"/>
    <w:link w:val="ListParagraph"/>
    <w:uiPriority w:val="34"/>
    <w:qFormat/>
    <w:locked/>
    <w:rsid w:val="00B0516E"/>
  </w:style>
  <w:style w:type="table" w:styleId="TableGrid">
    <w:name w:val="Table Grid"/>
    <w:basedOn w:val="TableNormal"/>
    <w:uiPriority w:val="39"/>
    <w:rsid w:val="00CA4D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iPriority w:val="99"/>
    <w:unhideWhenUsed/>
    <w:qFormat/>
    <w:rsid w:val="00CA4D49"/>
    <w:pPr>
      <w:suppressAutoHyphens w:val="0"/>
    </w:pPr>
    <w:rPr>
      <w:rFonts w:eastAsiaTheme="minorEastAsia" w:cstheme="minorBidi"/>
      <w:lang w:val="ro-RO" w:eastAsia="en-US"/>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A4D49"/>
    <w:rPr>
      <w:rFonts w:asciiTheme="minorHAnsi" w:eastAsiaTheme="minorEastAsia" w:hAnsiTheme="minorHAnsi"/>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FR"/>
    <w:basedOn w:val="DefaultParagraphFont"/>
    <w:link w:val="FootnotesymbolCharCaracterChar"/>
    <w:uiPriority w:val="99"/>
    <w:unhideWhenUsed/>
    <w:qFormat/>
    <w:rsid w:val="00CA4D49"/>
    <w:rPr>
      <w:vertAlign w:val="superscript"/>
    </w:rPr>
  </w:style>
  <w:style w:type="paragraph" w:styleId="Header">
    <w:name w:val="header"/>
    <w:basedOn w:val="Normal"/>
    <w:link w:val="HeaderChar"/>
    <w:uiPriority w:val="99"/>
    <w:unhideWhenUsed/>
    <w:rsid w:val="00E41D76"/>
    <w:pPr>
      <w:tabs>
        <w:tab w:val="center" w:pos="4680"/>
        <w:tab w:val="right" w:pos="9360"/>
      </w:tabs>
    </w:pPr>
  </w:style>
  <w:style w:type="character" w:customStyle="1" w:styleId="HeaderChar">
    <w:name w:val="Header Char"/>
    <w:basedOn w:val="DefaultParagraphFont"/>
    <w:link w:val="Header"/>
    <w:uiPriority w:val="99"/>
    <w:rsid w:val="00E41D76"/>
    <w:rPr>
      <w:rFonts w:asciiTheme="minorHAnsi" w:eastAsia="Calibri" w:hAnsiTheme="minorHAnsi" w:cs="Calibri"/>
      <w:sz w:val="20"/>
      <w:szCs w:val="20"/>
      <w:lang w:val="en-GB" w:eastAsia="ar-SA"/>
    </w:rPr>
  </w:style>
  <w:style w:type="paragraph" w:styleId="Footer">
    <w:name w:val="footer"/>
    <w:basedOn w:val="Normal"/>
    <w:link w:val="FooterChar"/>
    <w:uiPriority w:val="99"/>
    <w:unhideWhenUsed/>
    <w:rsid w:val="00E41D76"/>
    <w:pPr>
      <w:tabs>
        <w:tab w:val="center" w:pos="4680"/>
        <w:tab w:val="right" w:pos="9360"/>
      </w:tabs>
    </w:pPr>
  </w:style>
  <w:style w:type="character" w:customStyle="1" w:styleId="FooterChar">
    <w:name w:val="Footer Char"/>
    <w:basedOn w:val="DefaultParagraphFont"/>
    <w:link w:val="Footer"/>
    <w:uiPriority w:val="99"/>
    <w:rsid w:val="00E41D76"/>
    <w:rPr>
      <w:rFonts w:asciiTheme="minorHAnsi" w:eastAsia="Calibri" w:hAnsiTheme="minorHAnsi" w:cs="Calibri"/>
      <w:sz w:val="20"/>
      <w:szCs w:val="20"/>
      <w:lang w:val="en-GB" w:eastAsia="ar-SA"/>
    </w:rPr>
  </w:style>
  <w:style w:type="character" w:styleId="Hyperlink">
    <w:name w:val="Hyperlink"/>
    <w:basedOn w:val="DefaultParagraphFont"/>
    <w:uiPriority w:val="99"/>
    <w:unhideWhenUsed/>
    <w:rsid w:val="00833CDC"/>
    <w:rPr>
      <w:color w:val="00ABC0" w:themeColor="hyperlink"/>
      <w:u w:val="single"/>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833CDC"/>
    <w:pPr>
      <w:suppressAutoHyphens w:val="0"/>
      <w:spacing w:after="160" w:line="240" w:lineRule="exact"/>
      <w:jc w:val="left"/>
    </w:pPr>
    <w:rPr>
      <w:rFonts w:ascii="Calibri" w:eastAsiaTheme="minorHAnsi" w:hAnsi="Calibri" w:cstheme="minorBidi"/>
      <w:sz w:val="22"/>
      <w:szCs w:val="22"/>
      <w:vertAlign w:val="superscript"/>
      <w:lang w:val="en-US" w:eastAsia="en-US"/>
    </w:rPr>
  </w:style>
  <w:style w:type="character" w:customStyle="1" w:styleId="slitbdy">
    <w:name w:val="s_lit_bdy"/>
    <w:basedOn w:val="DefaultParagraphFont"/>
    <w:rsid w:val="00833CDC"/>
  </w:style>
  <w:style w:type="character" w:styleId="CommentReference">
    <w:name w:val="annotation reference"/>
    <w:basedOn w:val="DefaultParagraphFont"/>
    <w:uiPriority w:val="99"/>
    <w:semiHidden/>
    <w:unhideWhenUsed/>
    <w:rsid w:val="00F72031"/>
    <w:rPr>
      <w:sz w:val="16"/>
      <w:szCs w:val="16"/>
    </w:rPr>
  </w:style>
  <w:style w:type="paragraph" w:styleId="CommentText">
    <w:name w:val="annotation text"/>
    <w:basedOn w:val="Normal"/>
    <w:link w:val="CommentTextChar"/>
    <w:uiPriority w:val="99"/>
    <w:unhideWhenUsed/>
    <w:rsid w:val="00F72031"/>
  </w:style>
  <w:style w:type="character" w:customStyle="1" w:styleId="CommentTextChar">
    <w:name w:val="Comment Text Char"/>
    <w:basedOn w:val="DefaultParagraphFont"/>
    <w:link w:val="CommentText"/>
    <w:uiPriority w:val="99"/>
    <w:rsid w:val="00F72031"/>
    <w:rPr>
      <w:rFonts w:asciiTheme="minorHAnsi" w:eastAsia="Calibri" w:hAnsiTheme="minorHAnsi"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F72031"/>
    <w:rPr>
      <w:b/>
      <w:bCs/>
    </w:rPr>
  </w:style>
  <w:style w:type="character" w:customStyle="1" w:styleId="CommentSubjectChar">
    <w:name w:val="Comment Subject Char"/>
    <w:basedOn w:val="CommentTextChar"/>
    <w:link w:val="CommentSubject"/>
    <w:uiPriority w:val="99"/>
    <w:semiHidden/>
    <w:rsid w:val="00F72031"/>
    <w:rPr>
      <w:rFonts w:asciiTheme="minorHAnsi" w:eastAsia="Calibri" w:hAnsiTheme="minorHAnsi" w:cs="Calibri"/>
      <w:b/>
      <w:bCs/>
      <w:sz w:val="20"/>
      <w:szCs w:val="20"/>
      <w:lang w:val="en-GB" w:eastAsia="ar-SA"/>
    </w:rPr>
  </w:style>
  <w:style w:type="paragraph" w:styleId="BalloonText">
    <w:name w:val="Balloon Text"/>
    <w:basedOn w:val="Normal"/>
    <w:link w:val="BalloonTextChar"/>
    <w:uiPriority w:val="99"/>
    <w:semiHidden/>
    <w:unhideWhenUsed/>
    <w:rsid w:val="00F72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31"/>
    <w:rPr>
      <w:rFonts w:ascii="Segoe UI" w:eastAsia="Calibri" w:hAnsi="Segoe UI" w:cs="Segoe UI"/>
      <w:sz w:val="18"/>
      <w:szCs w:val="18"/>
      <w:lang w:val="en-GB" w:eastAsia="ar-SA"/>
    </w:rPr>
  </w:style>
  <w:style w:type="paragraph" w:styleId="Revision">
    <w:name w:val="Revision"/>
    <w:hidden/>
    <w:uiPriority w:val="99"/>
    <w:semiHidden/>
    <w:rsid w:val="0014391D"/>
    <w:rPr>
      <w:rFonts w:asciiTheme="minorHAnsi" w:eastAsia="Calibri" w:hAnsiTheme="minorHAnsi" w:cs="Calibri"/>
      <w:sz w:val="20"/>
      <w:szCs w:val="20"/>
      <w:lang w:val="en-GB" w:eastAsia="ar-SA"/>
    </w:rPr>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rsid w:val="009F390B"/>
    <w:pPr>
      <w:suppressAutoHyphens w:val="0"/>
      <w:spacing w:after="160" w:line="240" w:lineRule="exact"/>
      <w:jc w:val="left"/>
    </w:pPr>
    <w:rPr>
      <w:rFonts w:eastAsia="SimSun" w:cs="Cambria"/>
      <w:sz w:val="22"/>
      <w:szCs w:val="22"/>
      <w:vertAlign w:val="superscript"/>
      <w:lang w:val="ro-RO" w:eastAsia="en-US"/>
    </w:rPr>
  </w:style>
  <w:style w:type="paragraph" w:customStyle="1" w:styleId="REBulletsimple">
    <w:name w:val="RE Bullet simple"/>
    <w:basedOn w:val="ListParagraph"/>
    <w:autoRedefine/>
    <w:qFormat/>
    <w:rsid w:val="00A75380"/>
    <w:pPr>
      <w:numPr>
        <w:numId w:val="5"/>
      </w:numPr>
      <w:tabs>
        <w:tab w:val="left" w:pos="360"/>
      </w:tabs>
      <w:suppressAutoHyphens w:val="0"/>
      <w:autoSpaceDE w:val="0"/>
      <w:autoSpaceDN w:val="0"/>
      <w:adjustRightInd w:val="0"/>
      <w:spacing w:after="60"/>
      <w:contextualSpacing w:val="0"/>
    </w:pPr>
    <w:rPr>
      <w:rFonts w:asciiTheme="majorHAnsi" w:eastAsiaTheme="minorHAnsi" w:hAnsiTheme="majorHAnsi" w:cstheme="majorHAnsi"/>
      <w:noProof/>
      <w:lang w:val="ro-RO" w:eastAsia="en-US"/>
    </w:rPr>
  </w:style>
  <w:style w:type="table" w:styleId="GridTable4">
    <w:name w:val="Grid Table 4"/>
    <w:basedOn w:val="TableNormal"/>
    <w:uiPriority w:val="49"/>
    <w:rsid w:val="00094E71"/>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D0E58-88F2-4445-9380-6D462CCC0804}">
  <ds:schemaRefs>
    <ds:schemaRef ds:uri="http://schemas.microsoft.com/sharepoint/v3/contenttype/forms"/>
  </ds:schemaRefs>
</ds:datastoreItem>
</file>

<file path=customXml/itemProps2.xml><?xml version="1.0" encoding="utf-8"?>
<ds:datastoreItem xmlns:ds="http://schemas.openxmlformats.org/officeDocument/2006/customXml" ds:itemID="{48E0DBD6-56E8-49D0-BE2B-7789FACA7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921CA-A7FA-4A3C-B5D5-62A7F02B967B}">
  <ds:schemaRefs>
    <ds:schemaRef ds:uri="http://schemas.openxmlformats.org/officeDocument/2006/bibliography"/>
  </ds:schemaRefs>
</ds:datastoreItem>
</file>

<file path=customXml/itemProps4.xml><?xml version="1.0" encoding="utf-8"?>
<ds:datastoreItem xmlns:ds="http://schemas.openxmlformats.org/officeDocument/2006/customXml" ds:itemID="{5C0F4233-F19D-4C8A-8229-8B4C6F206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Eugen Perianu</cp:lastModifiedBy>
  <cp:revision>8</cp:revision>
  <dcterms:created xsi:type="dcterms:W3CDTF">2021-12-13T08:11:00Z</dcterms:created>
  <dcterms:modified xsi:type="dcterms:W3CDTF">2022-02-16T10:49:00Z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