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A88C3" w14:textId="32D08C87" w:rsidR="00DC0D21" w:rsidRPr="009C0B42" w:rsidRDefault="00DC0D21" w:rsidP="00DC0D21">
      <w:pPr>
        <w:pStyle w:val="Title"/>
        <w:jc w:val="center"/>
        <w:rPr>
          <w:rFonts w:ascii="Calibri" w:hAnsi="Calibri" w:cs="Calibri"/>
          <w:b/>
          <w:color w:val="5F5F5F" w:themeColor="accent1" w:themeShade="BF"/>
          <w:sz w:val="28"/>
          <w:lang w:val="ro-RO"/>
        </w:rPr>
      </w:pPr>
    </w:p>
    <w:p w14:paraId="05ABDF0E" w14:textId="2D98BE8E" w:rsidR="00DC0D21" w:rsidRDefault="00DC0D21" w:rsidP="00DC0D21">
      <w:pPr>
        <w:rPr>
          <w:rFonts w:ascii="Calibri" w:hAnsi="Calibri" w:cs="Calibri"/>
          <w:lang w:val="ro-RO" w:eastAsia="en-GB"/>
        </w:rPr>
      </w:pPr>
    </w:p>
    <w:p w14:paraId="0F3789FB" w14:textId="77777777" w:rsidR="00DF380E" w:rsidRDefault="00DF380E" w:rsidP="00DC0D21">
      <w:pPr>
        <w:rPr>
          <w:rFonts w:ascii="Calibri" w:hAnsi="Calibri" w:cs="Calibri"/>
          <w:lang w:val="ro-RO" w:eastAsia="en-GB"/>
        </w:rPr>
      </w:pPr>
    </w:p>
    <w:p w14:paraId="211D82C3" w14:textId="77777777" w:rsidR="00DF380E" w:rsidRDefault="00DF380E" w:rsidP="00DC0D21">
      <w:pPr>
        <w:rPr>
          <w:rFonts w:ascii="Calibri" w:hAnsi="Calibri" w:cs="Calibri"/>
          <w:lang w:val="ro-RO" w:eastAsia="en-GB"/>
        </w:rPr>
      </w:pPr>
    </w:p>
    <w:p w14:paraId="7D4F3741" w14:textId="77777777" w:rsidR="00DF380E" w:rsidRPr="009C0B42" w:rsidRDefault="00DF380E" w:rsidP="00DC0D21">
      <w:pPr>
        <w:rPr>
          <w:rFonts w:ascii="Calibri" w:hAnsi="Calibri" w:cs="Calibri"/>
          <w:lang w:val="ro-RO" w:eastAsia="en-GB"/>
        </w:rPr>
      </w:pPr>
    </w:p>
    <w:p w14:paraId="57D31657" w14:textId="77777777" w:rsidR="00DC0D21" w:rsidRPr="009C0B42" w:rsidRDefault="00DC0D21" w:rsidP="00DC0D21">
      <w:pPr>
        <w:rPr>
          <w:rFonts w:ascii="Calibri" w:hAnsi="Calibri" w:cs="Calibri"/>
          <w:lang w:val="ro-RO" w:eastAsia="en-GB"/>
        </w:rPr>
      </w:pPr>
    </w:p>
    <w:p w14:paraId="393D8578" w14:textId="77777777" w:rsidR="00DC0D21" w:rsidRPr="009C0B42" w:rsidRDefault="00DC0D21" w:rsidP="00DC0D21">
      <w:pPr>
        <w:pStyle w:val="Title"/>
        <w:jc w:val="center"/>
        <w:rPr>
          <w:rFonts w:ascii="Calibri" w:hAnsi="Calibri" w:cs="Calibri"/>
          <w:b/>
          <w:color w:val="5F5F5F" w:themeColor="accent1" w:themeShade="BF"/>
          <w:sz w:val="28"/>
          <w:lang w:val="ro-RO"/>
        </w:rPr>
      </w:pPr>
    </w:p>
    <w:p w14:paraId="08362457" w14:textId="77777777" w:rsidR="00DC0D21" w:rsidRPr="009C0B42" w:rsidRDefault="00DC0D21" w:rsidP="00DC0D21">
      <w:pPr>
        <w:pStyle w:val="Title"/>
        <w:jc w:val="center"/>
        <w:rPr>
          <w:rFonts w:ascii="Calibri" w:hAnsi="Calibri" w:cs="Calibri"/>
          <w:b/>
          <w:color w:val="5F5F5F" w:themeColor="accent1" w:themeShade="BF"/>
          <w:sz w:val="28"/>
          <w:lang w:val="ro-RO"/>
        </w:rPr>
      </w:pPr>
    </w:p>
    <w:p w14:paraId="6BF475E4" w14:textId="765886FA" w:rsidR="00DC0D21" w:rsidRPr="001D7709" w:rsidRDefault="00DC0D21" w:rsidP="009119FC">
      <w:pPr>
        <w:spacing w:after="200" w:line="264" w:lineRule="auto"/>
        <w:jc w:val="center"/>
        <w:rPr>
          <w:rFonts w:ascii="Calibri" w:eastAsia="Times New Roman" w:hAnsi="Calibri" w:cs="Calibri"/>
          <w:b/>
          <w:bCs/>
          <w:color w:val="1E505E" w:themeColor="accent3" w:themeShade="80"/>
          <w:sz w:val="32"/>
          <w:szCs w:val="32"/>
          <w:lang w:val="ro-RO"/>
        </w:rPr>
      </w:pPr>
      <w:r w:rsidRPr="001D7709">
        <w:rPr>
          <w:rFonts w:ascii="Calibri" w:eastAsia="Times New Roman" w:hAnsi="Calibri" w:cs="Calibri"/>
          <w:b/>
          <w:bCs/>
          <w:color w:val="1E505E" w:themeColor="accent3" w:themeShade="80"/>
          <w:sz w:val="32"/>
          <w:szCs w:val="32"/>
          <w:lang w:val="ro-RO"/>
        </w:rPr>
        <w:t xml:space="preserve">Evaluarea intervențiilor </w:t>
      </w:r>
      <w:r w:rsidR="004E694C" w:rsidRPr="001D7709">
        <w:rPr>
          <w:rFonts w:ascii="Calibri" w:eastAsia="Times New Roman" w:hAnsi="Calibri" w:cs="Calibri"/>
          <w:b/>
          <w:bCs/>
          <w:color w:val="1E505E" w:themeColor="accent3" w:themeShade="80"/>
          <w:sz w:val="32"/>
          <w:szCs w:val="32"/>
          <w:lang w:val="ro-RO"/>
        </w:rPr>
        <w:t>PO</w:t>
      </w:r>
      <w:r w:rsidR="0023143C" w:rsidRPr="001D7709">
        <w:rPr>
          <w:rFonts w:ascii="Calibri" w:eastAsia="Times New Roman" w:hAnsi="Calibri" w:cs="Calibri"/>
          <w:b/>
          <w:bCs/>
          <w:color w:val="1E505E" w:themeColor="accent3" w:themeShade="80"/>
          <w:sz w:val="32"/>
          <w:szCs w:val="32"/>
          <w:lang w:val="ro-RO"/>
        </w:rPr>
        <w:t>CU</w:t>
      </w:r>
      <w:r w:rsidRPr="001D7709">
        <w:rPr>
          <w:rFonts w:ascii="Calibri" w:eastAsia="Times New Roman" w:hAnsi="Calibri" w:cs="Calibri"/>
          <w:b/>
          <w:bCs/>
          <w:color w:val="1E505E" w:themeColor="accent3" w:themeShade="80"/>
          <w:sz w:val="32"/>
          <w:szCs w:val="32"/>
          <w:lang w:val="ro-RO"/>
        </w:rPr>
        <w:t xml:space="preserve"> în domeniul incluziunii sociale</w:t>
      </w:r>
    </w:p>
    <w:p w14:paraId="14D344A1" w14:textId="77777777" w:rsidR="00DC0D21" w:rsidRPr="009C0B42" w:rsidRDefault="00DC0D21" w:rsidP="00DC0D21">
      <w:pPr>
        <w:spacing w:after="0"/>
        <w:jc w:val="center"/>
        <w:rPr>
          <w:rFonts w:ascii="Calibri" w:eastAsiaTheme="majorEastAsia" w:hAnsi="Calibri" w:cs="Calibri"/>
          <w:i/>
          <w:spacing w:val="-10"/>
          <w:kern w:val="28"/>
          <w:sz w:val="32"/>
          <w:szCs w:val="56"/>
          <w:lang w:val="ro-RO"/>
        </w:rPr>
      </w:pPr>
    </w:p>
    <w:p w14:paraId="030AB4A0" w14:textId="4F5EECBC" w:rsidR="00DB739F" w:rsidRPr="001D7709" w:rsidRDefault="0067707A" w:rsidP="00FA22CF">
      <w:pPr>
        <w:pBdr>
          <w:top w:val="single" w:sz="4" w:space="11" w:color="4F81BD"/>
          <w:bottom w:val="single" w:sz="4" w:space="10" w:color="4F81BD"/>
        </w:pBdr>
        <w:spacing w:after="200" w:line="264" w:lineRule="auto"/>
        <w:ind w:left="864" w:right="864" w:hanging="297"/>
        <w:jc w:val="center"/>
        <w:rPr>
          <w:rFonts w:ascii="Calibri" w:eastAsia="Calibri" w:hAnsi="Calibri" w:cs="Calibri"/>
          <w:b/>
          <w:bCs/>
          <w:color w:val="2D788C" w:themeColor="accent3" w:themeShade="BF"/>
          <w:sz w:val="28"/>
          <w:szCs w:val="28"/>
          <w:lang w:val="ro-RO" w:eastAsia="ar-SA"/>
        </w:rPr>
      </w:pPr>
      <w:r>
        <w:rPr>
          <w:rFonts w:ascii="Calibri" w:eastAsia="Calibri" w:hAnsi="Calibri" w:cs="Calibri"/>
          <w:b/>
          <w:bCs/>
          <w:color w:val="2D788C" w:themeColor="accent3" w:themeShade="BF"/>
          <w:sz w:val="28"/>
          <w:szCs w:val="28"/>
          <w:lang w:val="ro-RO" w:eastAsia="ar-SA"/>
        </w:rPr>
        <w:t>(TE7)</w:t>
      </w:r>
      <w:r w:rsidR="001D7709">
        <w:rPr>
          <w:rFonts w:ascii="Calibri" w:eastAsia="Calibri" w:hAnsi="Calibri" w:cs="Calibri"/>
          <w:b/>
          <w:bCs/>
          <w:color w:val="2D788C" w:themeColor="accent3" w:themeShade="BF"/>
          <w:sz w:val="28"/>
          <w:szCs w:val="28"/>
          <w:lang w:val="ro-RO" w:eastAsia="ar-SA"/>
        </w:rPr>
        <w:t>.</w:t>
      </w:r>
      <w:r w:rsidR="00BB7835">
        <w:rPr>
          <w:rFonts w:ascii="Calibri" w:eastAsia="Calibri" w:hAnsi="Calibri" w:cs="Calibri"/>
          <w:b/>
          <w:bCs/>
          <w:color w:val="2D788C" w:themeColor="accent3" w:themeShade="BF"/>
          <w:sz w:val="28"/>
          <w:szCs w:val="28"/>
          <w:lang w:val="ro-RO" w:eastAsia="ar-SA"/>
        </w:rPr>
        <w:t>ANEXA 4</w:t>
      </w:r>
      <w:r>
        <w:rPr>
          <w:rFonts w:ascii="Calibri" w:eastAsia="Calibri" w:hAnsi="Calibri" w:cs="Calibri"/>
          <w:b/>
          <w:bCs/>
          <w:color w:val="2D788C" w:themeColor="accent3" w:themeShade="BF"/>
          <w:sz w:val="28"/>
          <w:szCs w:val="28"/>
          <w:lang w:val="ro-RO" w:eastAsia="ar-SA"/>
        </w:rPr>
        <w:t>.</w:t>
      </w:r>
      <w:r w:rsidR="001D7709">
        <w:rPr>
          <w:rFonts w:ascii="Calibri" w:eastAsia="Calibri" w:hAnsi="Calibri" w:cs="Calibri"/>
          <w:b/>
          <w:bCs/>
          <w:color w:val="2D788C" w:themeColor="accent3" w:themeShade="BF"/>
          <w:sz w:val="28"/>
          <w:szCs w:val="28"/>
          <w:lang w:val="ro-RO" w:eastAsia="ar-SA"/>
        </w:rPr>
        <w:t xml:space="preserve"> </w:t>
      </w:r>
      <w:r w:rsidR="00FA22CF" w:rsidRPr="001D7709">
        <w:rPr>
          <w:rFonts w:ascii="Calibri" w:eastAsia="Calibri" w:hAnsi="Calibri" w:cs="Calibri"/>
          <w:b/>
          <w:bCs/>
          <w:color w:val="2D788C" w:themeColor="accent3" w:themeShade="BF"/>
          <w:sz w:val="28"/>
          <w:szCs w:val="28"/>
          <w:lang w:val="ro-RO" w:eastAsia="ar-SA"/>
        </w:rPr>
        <w:t>T</w:t>
      </w:r>
      <w:r w:rsidR="00FB08BA">
        <w:rPr>
          <w:rFonts w:ascii="Calibri" w:eastAsia="Calibri" w:hAnsi="Calibri" w:cs="Calibri"/>
          <w:b/>
          <w:bCs/>
          <w:color w:val="2D788C" w:themeColor="accent3" w:themeShade="BF"/>
          <w:sz w:val="28"/>
          <w:szCs w:val="28"/>
          <w:lang w:val="ro-RO" w:eastAsia="ar-SA"/>
        </w:rPr>
        <w:t>abel corelare constatări-concluzii-recomandări</w:t>
      </w:r>
    </w:p>
    <w:p w14:paraId="4B204E15" w14:textId="6725DFFD" w:rsidR="001A3676" w:rsidRPr="0067707A" w:rsidRDefault="001A3676" w:rsidP="0067707A">
      <w:pPr>
        <w:spacing w:after="0"/>
        <w:jc w:val="left"/>
        <w:rPr>
          <w:rFonts w:ascii="Calibri" w:eastAsia="Calibri" w:hAnsi="Calibri" w:cs="Calibri"/>
          <w:b/>
          <w:bCs/>
          <w:i/>
          <w:iCs/>
          <w:color w:val="000000"/>
          <w:sz w:val="32"/>
          <w:szCs w:val="32"/>
        </w:rPr>
        <w:sectPr w:rsidR="001A3676" w:rsidRPr="0067707A" w:rsidSect="009B6AD2">
          <w:headerReference w:type="default" r:id="rId11"/>
          <w:footerReference w:type="default" r:id="rId12"/>
          <w:headerReference w:type="first" r:id="rId13"/>
          <w:pgSz w:w="11907" w:h="16839" w:code="9"/>
          <w:pgMar w:top="1440" w:right="1440" w:bottom="1440" w:left="1440" w:header="706" w:footer="737" w:gutter="0"/>
          <w:cols w:space="708"/>
          <w:titlePg/>
          <w:docGrid w:linePitch="360"/>
        </w:sectPr>
      </w:pPr>
    </w:p>
    <w:p w14:paraId="3E42C90B" w14:textId="77777777" w:rsidR="00FB08BA" w:rsidRDefault="00FB08BA" w:rsidP="00FB08BA">
      <w:pPr>
        <w:pStyle w:val="Heading1"/>
        <w:numPr>
          <w:ilvl w:val="0"/>
          <w:numId w:val="0"/>
        </w:numPr>
        <w:spacing w:after="120"/>
        <w:rPr>
          <w:szCs w:val="24"/>
          <w:lang w:val="ro-RO" w:bidi="ne-NP"/>
        </w:rPr>
      </w:pPr>
      <w:bookmarkStart w:id="1" w:name="_Toc73011121"/>
      <w:bookmarkStart w:id="2" w:name="_GoBack"/>
      <w:bookmarkEnd w:id="2"/>
    </w:p>
    <w:p w14:paraId="3B84C2F1" w14:textId="4A0F30CF" w:rsidR="00FB08BA" w:rsidRPr="00FB08BA" w:rsidRDefault="001A3676" w:rsidP="00FB08BA">
      <w:pPr>
        <w:pStyle w:val="Heading1"/>
        <w:numPr>
          <w:ilvl w:val="0"/>
          <w:numId w:val="0"/>
        </w:numPr>
        <w:spacing w:after="120"/>
        <w:ind w:left="426"/>
        <w:rPr>
          <w:szCs w:val="24"/>
          <w:lang w:val="ro-RO" w:bidi="ne-NP"/>
        </w:rPr>
      </w:pPr>
      <w:r w:rsidRPr="0062767D">
        <w:rPr>
          <w:szCs w:val="24"/>
          <w:lang w:val="ro-RO" w:bidi="ne-NP"/>
        </w:rPr>
        <w:t>T</w:t>
      </w:r>
      <w:bookmarkEnd w:id="1"/>
      <w:r w:rsidR="00FB08BA">
        <w:rPr>
          <w:szCs w:val="24"/>
          <w:lang w:val="ro-RO" w:bidi="ne-NP"/>
        </w:rPr>
        <w:t xml:space="preserve">ABEL CORELARE CONSTATĂRI-CONCLUZII-RECOMANADĂRI </w:t>
      </w:r>
    </w:p>
    <w:p w14:paraId="58307060" w14:textId="77777777" w:rsidR="00FB08BA" w:rsidRPr="005F74E2" w:rsidRDefault="00FB08BA" w:rsidP="00FB08BA">
      <w:pPr>
        <w:rPr>
          <w:rFonts w:ascii="Calibri" w:hAnsi="Calibri"/>
          <w:b/>
          <w:lang w:val="ro-RO"/>
        </w:rPr>
      </w:pPr>
    </w:p>
    <w:tbl>
      <w:tblPr>
        <w:tblStyle w:val="TableGrid"/>
        <w:tblW w:w="1448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665"/>
        <w:gridCol w:w="3969"/>
        <w:gridCol w:w="4855"/>
      </w:tblGrid>
      <w:tr w:rsidR="00EC1E68" w:rsidRPr="00686D74" w14:paraId="6E9820E6" w14:textId="77777777" w:rsidTr="00D825CF">
        <w:tc>
          <w:tcPr>
            <w:tcW w:w="5665" w:type="dxa"/>
            <w:shd w:val="clear" w:color="auto" w:fill="D9D9D9" w:themeFill="background1" w:themeFillShade="D9"/>
          </w:tcPr>
          <w:p w14:paraId="0E575EA6" w14:textId="77777777" w:rsidR="00EC1E68" w:rsidRPr="00686D74" w:rsidRDefault="00EC1E68" w:rsidP="00D825CF">
            <w:pPr>
              <w:jc w:val="left"/>
              <w:rPr>
                <w:rFonts w:cstheme="minorHAnsi"/>
                <w:b/>
                <w:lang w:val="ro-RO"/>
              </w:rPr>
            </w:pPr>
            <w:r w:rsidRPr="00686D74">
              <w:rPr>
                <w:rFonts w:cstheme="minorHAnsi"/>
                <w:b/>
                <w:lang w:val="ro-RO"/>
              </w:rPr>
              <w:t>Constatări</w:t>
            </w:r>
          </w:p>
        </w:tc>
        <w:tc>
          <w:tcPr>
            <w:tcW w:w="3969" w:type="dxa"/>
            <w:shd w:val="clear" w:color="auto" w:fill="D9D9D9" w:themeFill="background1" w:themeFillShade="D9"/>
          </w:tcPr>
          <w:p w14:paraId="48D6B030" w14:textId="77777777" w:rsidR="00EC1E68" w:rsidRPr="00686D74" w:rsidRDefault="00EC1E68" w:rsidP="00D825CF">
            <w:pPr>
              <w:jc w:val="left"/>
              <w:rPr>
                <w:rFonts w:cstheme="minorHAnsi"/>
                <w:b/>
                <w:lang w:val="ro-RO"/>
              </w:rPr>
            </w:pPr>
            <w:r w:rsidRPr="00686D74">
              <w:rPr>
                <w:rFonts w:cstheme="minorHAnsi"/>
                <w:b/>
                <w:lang w:val="ro-RO"/>
              </w:rPr>
              <w:t>Concluzii</w:t>
            </w:r>
          </w:p>
        </w:tc>
        <w:tc>
          <w:tcPr>
            <w:tcW w:w="4855" w:type="dxa"/>
            <w:shd w:val="clear" w:color="auto" w:fill="D9D9D9" w:themeFill="background1" w:themeFillShade="D9"/>
          </w:tcPr>
          <w:p w14:paraId="6F320FE1" w14:textId="77777777" w:rsidR="00EC1E68" w:rsidRPr="00686D74" w:rsidRDefault="00EC1E68" w:rsidP="00D825CF">
            <w:pPr>
              <w:jc w:val="left"/>
              <w:rPr>
                <w:rFonts w:cstheme="minorHAnsi"/>
                <w:b/>
                <w:lang w:val="ro-RO"/>
              </w:rPr>
            </w:pPr>
            <w:r w:rsidRPr="00686D74">
              <w:rPr>
                <w:rFonts w:cstheme="minorHAnsi"/>
                <w:b/>
                <w:lang w:val="ro-RO"/>
              </w:rPr>
              <w:t>Recomandări</w:t>
            </w:r>
          </w:p>
        </w:tc>
      </w:tr>
      <w:tr w:rsidR="00EC1E68" w:rsidRPr="00686D74" w14:paraId="08F8A3B2" w14:textId="77777777" w:rsidTr="00D825CF">
        <w:tc>
          <w:tcPr>
            <w:tcW w:w="14489" w:type="dxa"/>
            <w:gridSpan w:val="3"/>
            <w:shd w:val="clear" w:color="auto" w:fill="E5E5E5" w:themeFill="accent1" w:themeFillTint="33"/>
          </w:tcPr>
          <w:p w14:paraId="5D3302A0" w14:textId="77777777" w:rsidR="00EC1E68" w:rsidRPr="00686D74" w:rsidRDefault="00EC1E68" w:rsidP="00D825CF">
            <w:pPr>
              <w:tabs>
                <w:tab w:val="left" w:pos="360"/>
              </w:tabs>
              <w:jc w:val="left"/>
              <w:rPr>
                <w:rFonts w:ascii="Calibri" w:hAnsi="Calibri" w:cs="Times New Roman"/>
                <w:b/>
                <w:kern w:val="12"/>
                <w:lang w:val="ro-RO"/>
              </w:rPr>
            </w:pPr>
            <w:r w:rsidRPr="00686D74">
              <w:rPr>
                <w:rFonts w:cstheme="minorHAnsi"/>
                <w:b/>
                <w:kern w:val="12"/>
                <w:lang w:val="ro-RO"/>
              </w:rPr>
              <w:t>La nivel strategic și al cadrului de reglementare</w:t>
            </w:r>
          </w:p>
        </w:tc>
      </w:tr>
      <w:tr w:rsidR="00EC1E68" w:rsidRPr="00686D74" w14:paraId="58F28F5C" w14:textId="77777777" w:rsidTr="00D825CF">
        <w:tc>
          <w:tcPr>
            <w:tcW w:w="5665" w:type="dxa"/>
          </w:tcPr>
          <w:p w14:paraId="45ACA8E6"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Procesul de dezinstituționalizare a adulților și copiilor s-a accelerat, mai ales după 2018, fiind susținut de o serie de intervenții legislative în domeniu (ex: OM/ HG prin care se stabilesc listele centrelor eligibile POR/ POCU în vederea închiderii).</w:t>
            </w:r>
          </w:p>
        </w:tc>
        <w:tc>
          <w:tcPr>
            <w:tcW w:w="3969" w:type="dxa"/>
          </w:tcPr>
          <w:p w14:paraId="0BD8531A"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Susținerea legislativă pentru stabilirea cadrului de intervenție a constituit un factor major de facilitare a obținerii rezultatelor.</w:t>
            </w:r>
          </w:p>
        </w:tc>
        <w:tc>
          <w:tcPr>
            <w:tcW w:w="4855" w:type="dxa"/>
          </w:tcPr>
          <w:p w14:paraId="04F8D43B"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Stabilirea anticipată, încă din faza de proiectare a nevoilor de reglementare care condiționează intervenția și derularea de demersuri care să accelereze procesul decizional.</w:t>
            </w:r>
          </w:p>
        </w:tc>
      </w:tr>
      <w:tr w:rsidR="00EC1E68" w:rsidRPr="00686D74" w14:paraId="2742A602" w14:textId="77777777" w:rsidTr="00D825CF">
        <w:tc>
          <w:tcPr>
            <w:tcW w:w="5665" w:type="dxa"/>
          </w:tcPr>
          <w:p w14:paraId="6C72918A"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Sistemul de protecție specială înregistrează disparități semnificative la nivel național pentru majoritatea indicatorilor care îl caracterizează.</w:t>
            </w:r>
          </w:p>
        </w:tc>
        <w:tc>
          <w:tcPr>
            <w:tcW w:w="3969" w:type="dxa"/>
            <w:vMerge w:val="restart"/>
          </w:tcPr>
          <w:p w14:paraId="0246422A"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O parte semnificativă din zonele problematice atât în ceea ce privește dezinstituționalizarea, cât, mai ales prevenirea riscului de abandon și nevoia de sprijin prin programul ”Prima cameră” nu au fost vizate de nici un proiect.</w:t>
            </w:r>
          </w:p>
        </w:tc>
        <w:tc>
          <w:tcPr>
            <w:tcW w:w="4855" w:type="dxa"/>
            <w:vMerge w:val="restart"/>
          </w:tcPr>
          <w:p w14:paraId="5C64EF71"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Implicarea instituțiilor centrale în procesul de alocare necompetitivă a fondurilor pentru proiecte care vizează  politici publice sectoriale (cum este dezinstituționalizarea) și susținerea constantă de către ministerul de resort (Ministerul Muncii) de sesiuni de pregătire a personalului din DGASPC-uri pentru creșterea și consolidarea competențelor în atragerea de fonduri europene.</w:t>
            </w:r>
          </w:p>
        </w:tc>
      </w:tr>
      <w:tr w:rsidR="00EC1E68" w:rsidRPr="00686D74" w14:paraId="3C4410E7" w14:textId="77777777" w:rsidTr="00D825CF">
        <w:tc>
          <w:tcPr>
            <w:tcW w:w="5665" w:type="dxa"/>
          </w:tcPr>
          <w:p w14:paraId="42E7710B"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Capacitatea instituțională și interesul pentru atragerea de finanțări în sistem competitiv nu se suprapune în toate cazurile peste nevoia generată de realitățile sistemului de protecție specială.</w:t>
            </w:r>
          </w:p>
        </w:tc>
        <w:tc>
          <w:tcPr>
            <w:tcW w:w="3969" w:type="dxa"/>
            <w:vMerge/>
          </w:tcPr>
          <w:p w14:paraId="43E8966D"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4CDFAEDC" w14:textId="77777777" w:rsidR="00EC1E68" w:rsidRPr="00686D74" w:rsidRDefault="00EC1E68" w:rsidP="00D825CF">
            <w:pPr>
              <w:tabs>
                <w:tab w:val="left" w:pos="360"/>
              </w:tabs>
              <w:jc w:val="left"/>
              <w:rPr>
                <w:rFonts w:ascii="Calibri" w:hAnsi="Calibri" w:cs="Times New Roman"/>
                <w:kern w:val="12"/>
                <w:lang w:val="ro-RO"/>
              </w:rPr>
            </w:pPr>
          </w:p>
        </w:tc>
      </w:tr>
      <w:tr w:rsidR="00EC1E68" w:rsidRPr="00686D74" w14:paraId="7D84BCE9" w14:textId="77777777" w:rsidTr="00D825CF">
        <w:tc>
          <w:tcPr>
            <w:tcW w:w="5665" w:type="dxa"/>
          </w:tcPr>
          <w:p w14:paraId="1A4945BD" w14:textId="77777777" w:rsidR="00EC1E68" w:rsidRPr="00686D74" w:rsidRDefault="00EC1E68" w:rsidP="00D825CF">
            <w:pPr>
              <w:tabs>
                <w:tab w:val="left" w:pos="284"/>
              </w:tabs>
              <w:rPr>
                <w:lang w:val="fr-FR"/>
              </w:rPr>
            </w:pPr>
            <w:proofErr w:type="spellStart"/>
            <w:r w:rsidRPr="00686D74">
              <w:rPr>
                <w:lang w:val="fr-FR"/>
              </w:rPr>
              <w:t>Dezinstituționalizarea</w:t>
            </w:r>
            <w:proofErr w:type="spellEnd"/>
            <w:r w:rsidRPr="00686D74">
              <w:rPr>
                <w:lang w:val="fr-FR"/>
              </w:rPr>
              <w:t xml:space="preserve"> </w:t>
            </w:r>
            <w:proofErr w:type="spellStart"/>
            <w:r w:rsidRPr="00686D74">
              <w:rPr>
                <w:lang w:val="fr-FR"/>
              </w:rPr>
              <w:t>este</w:t>
            </w:r>
            <w:proofErr w:type="spellEnd"/>
            <w:r w:rsidRPr="00686D74">
              <w:rPr>
                <w:lang w:val="fr-FR"/>
              </w:rPr>
              <w:t xml:space="preserve"> un </w:t>
            </w:r>
            <w:proofErr w:type="spellStart"/>
            <w:r w:rsidRPr="00686D74">
              <w:rPr>
                <w:lang w:val="fr-FR"/>
              </w:rPr>
              <w:t>proces</w:t>
            </w:r>
            <w:proofErr w:type="spellEnd"/>
            <w:r w:rsidRPr="00686D74">
              <w:rPr>
                <w:lang w:val="fr-FR"/>
              </w:rPr>
              <w:t xml:space="preserve"> care se </w:t>
            </w:r>
            <w:proofErr w:type="spellStart"/>
            <w:r w:rsidRPr="00686D74">
              <w:rPr>
                <w:lang w:val="fr-FR"/>
              </w:rPr>
              <w:t>realizează</w:t>
            </w:r>
            <w:proofErr w:type="spellEnd"/>
            <w:r w:rsidRPr="00686D74">
              <w:rPr>
                <w:lang w:val="fr-FR"/>
              </w:rPr>
              <w:t xml:space="preserve"> </w:t>
            </w:r>
            <w:proofErr w:type="spellStart"/>
            <w:r w:rsidRPr="00686D74">
              <w:rPr>
                <w:lang w:val="fr-FR"/>
              </w:rPr>
              <w:t>într</w:t>
            </w:r>
            <w:proofErr w:type="spellEnd"/>
            <w:r w:rsidRPr="00686D74">
              <w:rPr>
                <w:lang w:val="fr-FR"/>
              </w:rPr>
              <w:t xml:space="preserve">-un </w:t>
            </w:r>
            <w:proofErr w:type="spellStart"/>
            <w:r w:rsidRPr="00686D74">
              <w:rPr>
                <w:lang w:val="fr-FR"/>
              </w:rPr>
              <w:t>contex</w:t>
            </w:r>
            <w:proofErr w:type="spellEnd"/>
            <w:r w:rsidRPr="00686D74">
              <w:rPr>
                <w:lang w:val="fr-FR"/>
              </w:rPr>
              <w:t xml:space="preserve"> de </w:t>
            </w:r>
            <w:proofErr w:type="spellStart"/>
            <w:r w:rsidRPr="00686D74">
              <w:rPr>
                <w:lang w:val="fr-FR"/>
              </w:rPr>
              <w:t>presiune</w:t>
            </w:r>
            <w:proofErr w:type="spellEnd"/>
            <w:r w:rsidRPr="00686D74">
              <w:rPr>
                <w:lang w:val="fr-FR"/>
              </w:rPr>
              <w:t xml:space="preserve"> </w:t>
            </w:r>
            <w:proofErr w:type="spellStart"/>
            <w:r w:rsidRPr="00686D74">
              <w:rPr>
                <w:lang w:val="fr-FR"/>
              </w:rPr>
              <w:t>socială</w:t>
            </w:r>
            <w:proofErr w:type="spellEnd"/>
            <w:r w:rsidRPr="00686D74">
              <w:rPr>
                <w:lang w:val="fr-FR"/>
              </w:rPr>
              <w:t xml:space="preserve"> </w:t>
            </w:r>
            <w:proofErr w:type="spellStart"/>
            <w:r w:rsidRPr="00686D74">
              <w:rPr>
                <w:lang w:val="fr-FR"/>
              </w:rPr>
              <w:t>cauzată</w:t>
            </w:r>
            <w:proofErr w:type="spellEnd"/>
            <w:r w:rsidRPr="00686D74">
              <w:rPr>
                <w:lang w:val="fr-FR"/>
              </w:rPr>
              <w:t xml:space="preserve"> de </w:t>
            </w:r>
            <w:proofErr w:type="spellStart"/>
            <w:r w:rsidRPr="00686D74">
              <w:rPr>
                <w:lang w:val="fr-FR"/>
              </w:rPr>
              <w:t>creșterea</w:t>
            </w:r>
            <w:proofErr w:type="spellEnd"/>
            <w:r w:rsidRPr="00686D74">
              <w:rPr>
                <w:lang w:val="fr-FR"/>
              </w:rPr>
              <w:t xml:space="preserve"> </w:t>
            </w:r>
            <w:proofErr w:type="spellStart"/>
            <w:r w:rsidRPr="00686D74">
              <w:rPr>
                <w:lang w:val="fr-FR"/>
              </w:rPr>
              <w:t>numărului</w:t>
            </w:r>
            <w:proofErr w:type="spellEnd"/>
            <w:r w:rsidRPr="00686D74">
              <w:rPr>
                <w:lang w:val="fr-FR"/>
              </w:rPr>
              <w:t xml:space="preserve"> de </w:t>
            </w:r>
            <w:proofErr w:type="spellStart"/>
            <w:r w:rsidRPr="00686D74">
              <w:rPr>
                <w:lang w:val="fr-FR"/>
              </w:rPr>
              <w:t>copii</w:t>
            </w:r>
            <w:proofErr w:type="spellEnd"/>
            <w:r w:rsidRPr="00686D74">
              <w:rPr>
                <w:lang w:val="fr-FR"/>
              </w:rPr>
              <w:t xml:space="preserve"> </w:t>
            </w:r>
            <w:proofErr w:type="spellStart"/>
            <w:r w:rsidRPr="00686D74">
              <w:rPr>
                <w:lang w:val="fr-FR"/>
              </w:rPr>
              <w:t>cu</w:t>
            </w:r>
            <w:proofErr w:type="spellEnd"/>
            <w:r w:rsidRPr="00686D74">
              <w:rPr>
                <w:lang w:val="fr-FR"/>
              </w:rPr>
              <w:t xml:space="preserve"> </w:t>
            </w:r>
            <w:proofErr w:type="spellStart"/>
            <w:r w:rsidRPr="00686D74">
              <w:rPr>
                <w:lang w:val="fr-FR"/>
              </w:rPr>
              <w:t>risc</w:t>
            </w:r>
            <w:proofErr w:type="spellEnd"/>
            <w:r w:rsidRPr="00686D74">
              <w:rPr>
                <w:lang w:val="fr-FR"/>
              </w:rPr>
              <w:t xml:space="preserve"> de abandon, </w:t>
            </w:r>
            <w:proofErr w:type="spellStart"/>
            <w:r w:rsidRPr="00686D74">
              <w:rPr>
                <w:lang w:val="fr-FR"/>
              </w:rPr>
              <w:t>creșterea</w:t>
            </w:r>
            <w:proofErr w:type="spellEnd"/>
            <w:r w:rsidRPr="00686D74">
              <w:rPr>
                <w:lang w:val="fr-FR"/>
              </w:rPr>
              <w:t xml:space="preserve"> </w:t>
            </w:r>
            <w:proofErr w:type="spellStart"/>
            <w:r w:rsidRPr="00686D74">
              <w:rPr>
                <w:lang w:val="fr-FR"/>
              </w:rPr>
              <w:t>cheltuielilor</w:t>
            </w:r>
            <w:proofErr w:type="spellEnd"/>
            <w:r w:rsidRPr="00686D74">
              <w:rPr>
                <w:lang w:val="fr-FR"/>
              </w:rPr>
              <w:t xml:space="preserve"> </w:t>
            </w:r>
            <w:proofErr w:type="spellStart"/>
            <w:r w:rsidRPr="00686D74">
              <w:rPr>
                <w:lang w:val="fr-FR"/>
              </w:rPr>
              <w:t>în</w:t>
            </w:r>
            <w:proofErr w:type="spellEnd"/>
            <w:r w:rsidRPr="00686D74">
              <w:rPr>
                <w:lang w:val="fr-FR"/>
              </w:rPr>
              <w:t xml:space="preserve"> </w:t>
            </w:r>
            <w:proofErr w:type="spellStart"/>
            <w:r w:rsidRPr="00686D74">
              <w:rPr>
                <w:lang w:val="fr-FR"/>
              </w:rPr>
              <w:t>sistem</w:t>
            </w:r>
            <w:proofErr w:type="spellEnd"/>
            <w:r w:rsidRPr="00686D74">
              <w:rPr>
                <w:lang w:val="fr-FR"/>
              </w:rPr>
              <w:t xml:space="preserve"> </w:t>
            </w:r>
            <w:proofErr w:type="spellStart"/>
            <w:r w:rsidRPr="00686D74">
              <w:rPr>
                <w:lang w:val="fr-FR"/>
              </w:rPr>
              <w:t>rezidențial</w:t>
            </w:r>
            <w:proofErr w:type="spellEnd"/>
            <w:r w:rsidRPr="00686D74">
              <w:rPr>
                <w:lang w:val="fr-FR"/>
              </w:rPr>
              <w:t xml:space="preserve"> </w:t>
            </w:r>
            <w:proofErr w:type="spellStart"/>
            <w:r w:rsidRPr="00686D74">
              <w:rPr>
                <w:lang w:val="fr-FR"/>
              </w:rPr>
              <w:t>și</w:t>
            </w:r>
            <w:proofErr w:type="spellEnd"/>
            <w:r w:rsidRPr="00686D74">
              <w:rPr>
                <w:lang w:val="fr-FR"/>
              </w:rPr>
              <w:t xml:space="preserve"> </w:t>
            </w:r>
            <w:proofErr w:type="spellStart"/>
            <w:r w:rsidRPr="00686D74">
              <w:rPr>
                <w:lang w:val="fr-FR"/>
              </w:rPr>
              <w:t>nerezidențial</w:t>
            </w:r>
            <w:proofErr w:type="spellEnd"/>
            <w:r w:rsidRPr="00686D74">
              <w:rPr>
                <w:lang w:val="fr-FR"/>
              </w:rPr>
              <w:t xml:space="preserve"> </w:t>
            </w:r>
            <w:proofErr w:type="spellStart"/>
            <w:r w:rsidRPr="00686D74">
              <w:rPr>
                <w:lang w:val="fr-FR"/>
              </w:rPr>
              <w:t>atât</w:t>
            </w:r>
            <w:proofErr w:type="spellEnd"/>
            <w:r w:rsidRPr="00686D74">
              <w:rPr>
                <w:lang w:val="fr-FR"/>
              </w:rPr>
              <w:t xml:space="preserve"> </w:t>
            </w:r>
            <w:proofErr w:type="spellStart"/>
            <w:r w:rsidRPr="00686D74">
              <w:rPr>
                <w:lang w:val="fr-FR"/>
              </w:rPr>
              <w:t>pentru</w:t>
            </w:r>
            <w:proofErr w:type="spellEnd"/>
            <w:r w:rsidRPr="00686D74">
              <w:rPr>
                <w:lang w:val="fr-FR"/>
              </w:rPr>
              <w:t xml:space="preserve"> </w:t>
            </w:r>
            <w:proofErr w:type="spellStart"/>
            <w:r w:rsidRPr="00686D74">
              <w:rPr>
                <w:lang w:val="fr-FR"/>
              </w:rPr>
              <w:t>copii</w:t>
            </w:r>
            <w:proofErr w:type="spellEnd"/>
            <w:r w:rsidRPr="00686D74">
              <w:rPr>
                <w:lang w:val="fr-FR"/>
              </w:rPr>
              <w:t xml:space="preserve"> </w:t>
            </w:r>
            <w:proofErr w:type="spellStart"/>
            <w:r w:rsidRPr="00686D74">
              <w:rPr>
                <w:lang w:val="fr-FR"/>
              </w:rPr>
              <w:t>cât</w:t>
            </w:r>
            <w:proofErr w:type="spellEnd"/>
            <w:r w:rsidRPr="00686D74">
              <w:rPr>
                <w:lang w:val="fr-FR"/>
              </w:rPr>
              <w:t xml:space="preserve"> </w:t>
            </w:r>
            <w:proofErr w:type="spellStart"/>
            <w:r w:rsidRPr="00686D74">
              <w:rPr>
                <w:lang w:val="fr-FR"/>
              </w:rPr>
              <w:t>și</w:t>
            </w:r>
            <w:proofErr w:type="spellEnd"/>
            <w:r w:rsidRPr="00686D74">
              <w:rPr>
                <w:lang w:val="fr-FR"/>
              </w:rPr>
              <w:t xml:space="preserve"> </w:t>
            </w:r>
            <w:proofErr w:type="spellStart"/>
            <w:r w:rsidRPr="00686D74">
              <w:rPr>
                <w:lang w:val="fr-FR"/>
              </w:rPr>
              <w:t>pentru</w:t>
            </w:r>
            <w:proofErr w:type="spellEnd"/>
            <w:r w:rsidRPr="00686D74">
              <w:rPr>
                <w:lang w:val="fr-FR"/>
              </w:rPr>
              <w:t xml:space="preserve"> </w:t>
            </w:r>
            <w:proofErr w:type="spellStart"/>
            <w:r w:rsidRPr="00686D74">
              <w:rPr>
                <w:lang w:val="fr-FR"/>
              </w:rPr>
              <w:t>adulți</w:t>
            </w:r>
            <w:proofErr w:type="spellEnd"/>
            <w:r w:rsidRPr="00686D74">
              <w:rPr>
                <w:lang w:val="fr-FR"/>
              </w:rPr>
              <w:t xml:space="preserve"> </w:t>
            </w:r>
            <w:proofErr w:type="spellStart"/>
            <w:r w:rsidRPr="00686D74">
              <w:rPr>
                <w:lang w:val="fr-FR"/>
              </w:rPr>
              <w:t>și</w:t>
            </w:r>
            <w:proofErr w:type="spellEnd"/>
            <w:r w:rsidRPr="00686D74">
              <w:rPr>
                <w:lang w:val="fr-FR"/>
              </w:rPr>
              <w:t xml:space="preserve"> </w:t>
            </w:r>
            <w:proofErr w:type="spellStart"/>
            <w:r w:rsidRPr="00686D74">
              <w:rPr>
                <w:lang w:val="fr-FR"/>
              </w:rPr>
              <w:t>creșterea</w:t>
            </w:r>
            <w:proofErr w:type="spellEnd"/>
            <w:r w:rsidRPr="00686D74">
              <w:rPr>
                <w:lang w:val="fr-FR"/>
              </w:rPr>
              <w:t xml:space="preserve"> </w:t>
            </w:r>
            <w:proofErr w:type="spellStart"/>
            <w:r w:rsidRPr="00686D74">
              <w:rPr>
                <w:lang w:val="fr-FR"/>
              </w:rPr>
              <w:t>numărului</w:t>
            </w:r>
            <w:proofErr w:type="spellEnd"/>
            <w:r w:rsidRPr="00686D74">
              <w:rPr>
                <w:lang w:val="fr-FR"/>
              </w:rPr>
              <w:t xml:space="preserve"> de </w:t>
            </w:r>
            <w:proofErr w:type="spellStart"/>
            <w:r w:rsidRPr="00686D74">
              <w:rPr>
                <w:lang w:val="fr-FR"/>
              </w:rPr>
              <w:t>persoane</w:t>
            </w:r>
            <w:proofErr w:type="spellEnd"/>
            <w:r w:rsidRPr="00686D74">
              <w:rPr>
                <w:lang w:val="fr-FR"/>
              </w:rPr>
              <w:t xml:space="preserve"> </w:t>
            </w:r>
            <w:proofErr w:type="spellStart"/>
            <w:r w:rsidRPr="00686D74">
              <w:rPr>
                <w:lang w:val="fr-FR"/>
              </w:rPr>
              <w:t>cu</w:t>
            </w:r>
            <w:proofErr w:type="spellEnd"/>
            <w:r w:rsidRPr="00686D74">
              <w:rPr>
                <w:lang w:val="fr-FR"/>
              </w:rPr>
              <w:t xml:space="preserve"> handicap la </w:t>
            </w:r>
            <w:proofErr w:type="spellStart"/>
            <w:r w:rsidRPr="00686D74">
              <w:rPr>
                <w:lang w:val="fr-FR"/>
              </w:rPr>
              <w:t>nivel</w:t>
            </w:r>
            <w:proofErr w:type="spellEnd"/>
            <w:r w:rsidRPr="00686D74">
              <w:rPr>
                <w:lang w:val="fr-FR"/>
              </w:rPr>
              <w:t xml:space="preserve"> </w:t>
            </w:r>
            <w:proofErr w:type="spellStart"/>
            <w:r w:rsidRPr="00686D74">
              <w:rPr>
                <w:lang w:val="fr-FR"/>
              </w:rPr>
              <w:t>național</w:t>
            </w:r>
            <w:proofErr w:type="spellEnd"/>
            <w:r w:rsidRPr="00686D74">
              <w:rPr>
                <w:lang w:val="fr-FR"/>
              </w:rPr>
              <w:t>.</w:t>
            </w:r>
          </w:p>
        </w:tc>
        <w:tc>
          <w:tcPr>
            <w:tcW w:w="3969" w:type="dxa"/>
          </w:tcPr>
          <w:p w14:paraId="080512A5"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Implicarea comunității locale (APL, ONG, societate civilă) reprezintă un factor major de susținere a dezinstituționalizării și prevenție a abandonului.</w:t>
            </w:r>
          </w:p>
        </w:tc>
        <w:tc>
          <w:tcPr>
            <w:tcW w:w="4855" w:type="dxa"/>
          </w:tcPr>
          <w:p w14:paraId="45A8F325"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Finanțarea, în următoarea perioadă de programare, a campaniilor publice de conștientizare și implicare socială a publicului larg și a instituțiilor societății civile în procesul de incluziune socială a copiilor (inclusiv adopții).</w:t>
            </w:r>
          </w:p>
        </w:tc>
      </w:tr>
      <w:tr w:rsidR="00EC1E68" w:rsidRPr="00686D74" w14:paraId="68F8CD21" w14:textId="77777777" w:rsidTr="00D825CF">
        <w:trPr>
          <w:trHeight w:val="70"/>
        </w:trPr>
        <w:tc>
          <w:tcPr>
            <w:tcW w:w="14489" w:type="dxa"/>
            <w:gridSpan w:val="3"/>
            <w:shd w:val="clear" w:color="auto" w:fill="E5E5E5" w:themeFill="accent1" w:themeFillTint="33"/>
          </w:tcPr>
          <w:p w14:paraId="68503B1E" w14:textId="77777777" w:rsidR="00EC1E68" w:rsidRPr="00686D74" w:rsidRDefault="00EC1E68" w:rsidP="00D825CF">
            <w:pPr>
              <w:tabs>
                <w:tab w:val="left" w:pos="360"/>
              </w:tabs>
              <w:jc w:val="left"/>
              <w:rPr>
                <w:rFonts w:ascii="Calibri" w:hAnsi="Calibri" w:cs="Times New Roman"/>
                <w:b/>
                <w:kern w:val="12"/>
                <w:lang w:val="ro-RO"/>
              </w:rPr>
            </w:pPr>
            <w:r w:rsidRPr="00686D74">
              <w:rPr>
                <w:rFonts w:ascii="Calibri" w:hAnsi="Calibri" w:cs="Times New Roman"/>
                <w:b/>
                <w:kern w:val="12"/>
                <w:lang w:val="ro-RO"/>
              </w:rPr>
              <w:t>La nivelul programului și sistemului de implementare</w:t>
            </w:r>
          </w:p>
        </w:tc>
      </w:tr>
      <w:tr w:rsidR="00EC1E68" w:rsidRPr="00686D74" w14:paraId="5728FD91" w14:textId="77777777" w:rsidTr="00D825CF">
        <w:trPr>
          <w:trHeight w:val="227"/>
        </w:trPr>
        <w:tc>
          <w:tcPr>
            <w:tcW w:w="5665" w:type="dxa"/>
          </w:tcPr>
          <w:p w14:paraId="2BE26606"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Gradul de implementare a Programului este scăzut (sub 1%), în special din cauza debutului târziu al intervențiilor (2020) și pandemiei COVID19.</w:t>
            </w:r>
          </w:p>
        </w:tc>
        <w:tc>
          <w:tcPr>
            <w:tcW w:w="3969" w:type="dxa"/>
          </w:tcPr>
          <w:p w14:paraId="2770B166"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Risc de nerealizare a indicatorilor de rezultat până la sfârșitul perioadei de programare.</w:t>
            </w:r>
          </w:p>
        </w:tc>
        <w:tc>
          <w:tcPr>
            <w:tcW w:w="4855" w:type="dxa"/>
          </w:tcPr>
          <w:p w14:paraId="295258E4"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Luarea în considerare  în urătoarea perioadă de programare a depunerilor ”ongoing” pentru intervențiile care vizează incluziunea copiilor aflați în situații speciale.</w:t>
            </w:r>
          </w:p>
        </w:tc>
      </w:tr>
      <w:tr w:rsidR="00EC1E68" w:rsidRPr="00686D74" w14:paraId="08DD7BBC" w14:textId="77777777" w:rsidTr="00D825CF">
        <w:trPr>
          <w:trHeight w:val="227"/>
        </w:trPr>
        <w:tc>
          <w:tcPr>
            <w:tcW w:w="5665" w:type="dxa"/>
          </w:tcPr>
          <w:p w14:paraId="5A947C3D"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Atât din punct de vedere al numărului de beneficiari (adulți și copii), cât și din punct de vedere al alocării financiare  POCU reprezintă un pilon major de susținere a procesului de dezinstituționalizare.</w:t>
            </w:r>
          </w:p>
        </w:tc>
        <w:tc>
          <w:tcPr>
            <w:tcW w:w="3969" w:type="dxa"/>
            <w:vMerge w:val="restart"/>
          </w:tcPr>
          <w:p w14:paraId="0D6F24D4"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Intervențiile POCU/ POR în domeniul dezinstituționalizării au constituit un pilon principal al implementării politicii publice în acest domeniu și, implicit, a strategiilor naționale:</w:t>
            </w:r>
            <w:r w:rsidRPr="00686D74">
              <w:rPr>
                <w:lang w:val="ro-RO"/>
              </w:rPr>
              <w:t xml:space="preserve"> </w:t>
            </w:r>
            <w:r w:rsidRPr="00686D74">
              <w:rPr>
                <w:rFonts w:ascii="Calibri" w:hAnsi="Calibri" w:cs="Times New Roman"/>
                <w:kern w:val="12"/>
                <w:lang w:val="ro-RO"/>
              </w:rPr>
              <w:t>„O societate fără bariere pentru persoanele cu dizabilități” și a ”Strategiei naționale pentru protecția și promovarea Drepturilor copilului”. Însă, caracterul competitiv al apelurilor și eterogenitatea beneficiarilor nu asigură la nivel național, în toate cazurile echitatea intervențiilor.</w:t>
            </w:r>
          </w:p>
        </w:tc>
        <w:tc>
          <w:tcPr>
            <w:tcW w:w="4855" w:type="dxa"/>
            <w:vMerge w:val="restart"/>
          </w:tcPr>
          <w:p w14:paraId="7BE4855F"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Mai bună definire de către MIPE a rolului pe care intervențiile din fonduri europene îl ocupă în implementarea cadrului strategic la nivel național și asigurarea coerenței instrumentale a acestui rol. De exemplu, în cazul în care intervenția se dorește a fi pilon principal, ca în cazul de față, recomandarea vizează apeluri necompetitive, instrumente de orientare către zonele intens problematice, instrumente de inventariere anticipativă a nevoilor și resurselor.  In cazul în care intervenția se dorește a avea rol de ”plasă” de siguranță, recomandarea vizează apeluri competitive, ongoing, destinate unei categorii omogene de beneficiari (public/privat).</w:t>
            </w:r>
          </w:p>
        </w:tc>
      </w:tr>
      <w:tr w:rsidR="00EC1E68" w:rsidRPr="00686D74" w14:paraId="081C09BF" w14:textId="77777777" w:rsidTr="00D825CF">
        <w:trPr>
          <w:trHeight w:val="227"/>
        </w:trPr>
        <w:tc>
          <w:tcPr>
            <w:tcW w:w="5665" w:type="dxa"/>
          </w:tcPr>
          <w:p w14:paraId="33E09644"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Intervențiile finanțate prin POCU pentru dezinstituționalizarea copiilor au fost mai consistente decât cele destinate adulților cu handicap.</w:t>
            </w:r>
          </w:p>
        </w:tc>
        <w:tc>
          <w:tcPr>
            <w:tcW w:w="3969" w:type="dxa"/>
            <w:vMerge/>
          </w:tcPr>
          <w:p w14:paraId="49F186AB"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51C83166" w14:textId="77777777" w:rsidR="00EC1E68" w:rsidRPr="00686D74" w:rsidRDefault="00EC1E68" w:rsidP="00D825CF">
            <w:pPr>
              <w:tabs>
                <w:tab w:val="left" w:pos="360"/>
              </w:tabs>
              <w:jc w:val="left"/>
              <w:rPr>
                <w:rFonts w:ascii="Calibri" w:hAnsi="Calibri" w:cs="Times New Roman"/>
                <w:kern w:val="12"/>
                <w:lang w:val="ro-RO"/>
              </w:rPr>
            </w:pPr>
          </w:p>
        </w:tc>
      </w:tr>
      <w:tr w:rsidR="00EC1E68" w:rsidRPr="00686D74" w14:paraId="528A89F5" w14:textId="77777777" w:rsidTr="00D825CF">
        <w:trPr>
          <w:trHeight w:val="227"/>
        </w:trPr>
        <w:tc>
          <w:tcPr>
            <w:tcW w:w="5665" w:type="dxa"/>
          </w:tcPr>
          <w:p w14:paraId="36AEA93F"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Colaborarea cu POR, deși s-a stabilit relativ târziu (2018) printr-o serie de instrumente comune (liste de centre care urmează a fi închise) este apreciată la nivel central și local ca fiind de foarte bună calitate.</w:t>
            </w:r>
          </w:p>
        </w:tc>
        <w:tc>
          <w:tcPr>
            <w:tcW w:w="3969" w:type="dxa"/>
            <w:vMerge/>
          </w:tcPr>
          <w:p w14:paraId="659FACF4"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39BAE907" w14:textId="77777777" w:rsidR="00EC1E68" w:rsidRPr="00686D74" w:rsidRDefault="00EC1E68" w:rsidP="00D825CF">
            <w:pPr>
              <w:tabs>
                <w:tab w:val="left" w:pos="360"/>
              </w:tabs>
              <w:jc w:val="left"/>
              <w:rPr>
                <w:rFonts w:ascii="Calibri" w:hAnsi="Calibri" w:cs="Times New Roman"/>
                <w:kern w:val="12"/>
                <w:lang w:val="ro-RO"/>
              </w:rPr>
            </w:pPr>
          </w:p>
        </w:tc>
      </w:tr>
      <w:tr w:rsidR="00EC1E68" w:rsidRPr="00686D74" w14:paraId="10D48BB3" w14:textId="77777777" w:rsidTr="00D825CF">
        <w:trPr>
          <w:trHeight w:val="227"/>
        </w:trPr>
        <w:tc>
          <w:tcPr>
            <w:tcW w:w="5665" w:type="dxa"/>
          </w:tcPr>
          <w:p w14:paraId="27DB62BB"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Utilizarea apelurilor competitive cu beneficiari atât instituții publice (DGASPC-uri) cât și alte instituții creează punctual tensiuni din cauza diferențelor de acces la resursele informaționale necesare (de exemplu liste de copii).</w:t>
            </w:r>
          </w:p>
        </w:tc>
        <w:tc>
          <w:tcPr>
            <w:tcW w:w="3969" w:type="dxa"/>
            <w:vMerge/>
          </w:tcPr>
          <w:p w14:paraId="26677AE6"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6AE290A9" w14:textId="77777777" w:rsidR="00EC1E68" w:rsidRPr="00686D74" w:rsidRDefault="00EC1E68" w:rsidP="00D825CF">
            <w:pPr>
              <w:tabs>
                <w:tab w:val="left" w:pos="360"/>
              </w:tabs>
              <w:jc w:val="left"/>
              <w:rPr>
                <w:rFonts w:ascii="Calibri" w:hAnsi="Calibri" w:cs="Times New Roman"/>
                <w:kern w:val="12"/>
                <w:lang w:val="ro-RO"/>
              </w:rPr>
            </w:pPr>
          </w:p>
        </w:tc>
      </w:tr>
      <w:tr w:rsidR="00EC1E68" w:rsidRPr="00686D74" w14:paraId="40F40EE6" w14:textId="77777777" w:rsidTr="00D825CF">
        <w:trPr>
          <w:trHeight w:val="227"/>
        </w:trPr>
        <w:tc>
          <w:tcPr>
            <w:tcW w:w="5665" w:type="dxa"/>
          </w:tcPr>
          <w:p w14:paraId="44FFFF82"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Principalele beneficii economice generate de intervenție provin, pe termen scurt, din intervențiile de prevenire a abandonului, iar pe termen mediu din programul ”Prima cameră”, prin sprijinul acordat integrării pe piața forței de muncă a tinerilor.</w:t>
            </w:r>
          </w:p>
        </w:tc>
        <w:tc>
          <w:tcPr>
            <w:tcW w:w="3969" w:type="dxa"/>
          </w:tcPr>
          <w:p w14:paraId="2BFA01E2"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Intervențiile în domeniul prevenirii abandonului și programul ”Prima cameră” sunt intervenții cu o probabilitate mare de a aduce beneficii economice consistente la nivel public, pe termen scurt și mediu.</w:t>
            </w:r>
          </w:p>
        </w:tc>
        <w:tc>
          <w:tcPr>
            <w:tcW w:w="4855" w:type="dxa"/>
          </w:tcPr>
          <w:p w14:paraId="312704E8"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Luarea în considerare de către Ministerul Muncii a unor programe de încurajare a investițiilor private (în parteneriat public/ privat) pentru susținerea acestor tipuri de intervenții în următoarea perioadă prin facilități fiscale proporționale beneficiului economic estimat.</w:t>
            </w:r>
          </w:p>
        </w:tc>
      </w:tr>
      <w:tr w:rsidR="00EC1E68" w:rsidRPr="00686D74" w14:paraId="794325E1" w14:textId="77777777" w:rsidTr="00D825CF">
        <w:trPr>
          <w:trHeight w:val="227"/>
        </w:trPr>
        <w:tc>
          <w:tcPr>
            <w:tcW w:w="5665" w:type="dxa"/>
          </w:tcPr>
          <w:p w14:paraId="6DEC667E"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 xml:space="preserve">Majoritatea beneficiarilor au apreciat calitatea bună a relației cu OIR POCU și îmbunătățirea semnificativă a colaborării și parteneriatului cu aceste instituții. </w:t>
            </w:r>
          </w:p>
        </w:tc>
        <w:tc>
          <w:tcPr>
            <w:tcW w:w="3969" w:type="dxa"/>
            <w:vMerge w:val="restart"/>
          </w:tcPr>
          <w:p w14:paraId="2124E0EB"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Deși se înregistrează un progres semnificativ în raport cu POSDRU, intervențiile POCU rămân tarate de un nivel ridicat de birocratizare și exces justificativ și de raportare.</w:t>
            </w:r>
          </w:p>
        </w:tc>
        <w:tc>
          <w:tcPr>
            <w:tcW w:w="4855" w:type="dxa"/>
            <w:vMerge w:val="restart"/>
          </w:tcPr>
          <w:p w14:paraId="1ED555A4"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Debirocratizare și simplificare (mai ales în componenta de gestionare a resurselor umane implicate –experți, specialiști, manageri).</w:t>
            </w:r>
          </w:p>
        </w:tc>
      </w:tr>
      <w:tr w:rsidR="00EC1E68" w:rsidRPr="00686D74" w14:paraId="2C13A852" w14:textId="77777777" w:rsidTr="00D825CF">
        <w:trPr>
          <w:trHeight w:val="227"/>
        </w:trPr>
        <w:tc>
          <w:tcPr>
            <w:tcW w:w="5665" w:type="dxa"/>
          </w:tcPr>
          <w:p w14:paraId="20111683"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Beneficiarii consideră că birocrația din cadrul proiectelor este excesivă (mai ales în componenta de gestionare a resurselor umane implicate –experți, specialiști, manageri de proiect, manageri de caz).</w:t>
            </w:r>
          </w:p>
        </w:tc>
        <w:tc>
          <w:tcPr>
            <w:tcW w:w="3969" w:type="dxa"/>
            <w:vMerge/>
          </w:tcPr>
          <w:p w14:paraId="4A99571D"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77AFBDDC" w14:textId="77777777" w:rsidR="00EC1E68" w:rsidRPr="00686D74" w:rsidRDefault="00EC1E68" w:rsidP="00D825CF">
            <w:pPr>
              <w:tabs>
                <w:tab w:val="left" w:pos="360"/>
              </w:tabs>
              <w:jc w:val="left"/>
              <w:rPr>
                <w:rFonts w:ascii="Calibri" w:hAnsi="Calibri" w:cs="Times New Roman"/>
                <w:kern w:val="12"/>
                <w:lang w:val="ro-RO"/>
              </w:rPr>
            </w:pPr>
          </w:p>
        </w:tc>
      </w:tr>
      <w:tr w:rsidR="00EC1E68" w:rsidRPr="00686D74" w14:paraId="207D4460" w14:textId="77777777" w:rsidTr="00D825CF">
        <w:tc>
          <w:tcPr>
            <w:tcW w:w="14489" w:type="dxa"/>
            <w:gridSpan w:val="3"/>
            <w:shd w:val="clear" w:color="auto" w:fill="E5E5E5" w:themeFill="accent1" w:themeFillTint="33"/>
          </w:tcPr>
          <w:p w14:paraId="092D0DF6" w14:textId="77777777" w:rsidR="00EC1E68" w:rsidRPr="00686D74" w:rsidRDefault="00EC1E68" w:rsidP="00D825CF">
            <w:pPr>
              <w:tabs>
                <w:tab w:val="left" w:pos="360"/>
              </w:tabs>
              <w:jc w:val="left"/>
              <w:rPr>
                <w:rFonts w:ascii="Calibri" w:hAnsi="Calibri"/>
                <w:b/>
                <w:kern w:val="12"/>
                <w:lang w:val="ro-RO"/>
              </w:rPr>
            </w:pPr>
            <w:r w:rsidRPr="00686D74">
              <w:rPr>
                <w:rFonts w:ascii="Calibri" w:hAnsi="Calibri" w:cs="Times New Roman"/>
                <w:b/>
                <w:kern w:val="12"/>
                <w:lang w:val="ro-RO"/>
              </w:rPr>
              <w:t>La nivelul logicii de intervenție</w:t>
            </w:r>
          </w:p>
        </w:tc>
      </w:tr>
      <w:tr w:rsidR="00EC1E68" w:rsidRPr="00686D74" w14:paraId="12762192" w14:textId="77777777" w:rsidTr="00D825CF">
        <w:trPr>
          <w:trHeight w:val="449"/>
        </w:trPr>
        <w:tc>
          <w:tcPr>
            <w:tcW w:w="5665" w:type="dxa"/>
          </w:tcPr>
          <w:p w14:paraId="00B4DE96"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Programul ”Prima cameră” a scos în evidență utilitatea majoră a intervenției și nevoia de integrare a acesteia cu alte tipuri de activități, de exemplu: pregătirea anticipativă pentru o viață independentă, pregătirea de instrumente de gestionare a resurselor pentru tinerii care părăsesc sistemul rezidențial, pregătirea de instrumente de evaluare a competențelor acestora, integrarea intervenției cu asistență socială, psihologică, psihiatrică, educațională, maternală etc.</w:t>
            </w:r>
          </w:p>
        </w:tc>
        <w:tc>
          <w:tcPr>
            <w:tcW w:w="3969" w:type="dxa"/>
          </w:tcPr>
          <w:p w14:paraId="35CBCD73"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Programul ”Prima cameră”</w:t>
            </w:r>
            <w:r w:rsidRPr="00686D74">
              <w:rPr>
                <w:lang w:val="ro-RO"/>
              </w:rPr>
              <w:t xml:space="preserve"> </w:t>
            </w:r>
            <w:r w:rsidRPr="00686D74">
              <w:rPr>
                <w:rFonts w:ascii="Calibri" w:hAnsi="Calibri" w:cs="Times New Roman"/>
                <w:kern w:val="12"/>
                <w:lang w:val="ro-RO"/>
              </w:rPr>
              <w:t>este una dintre cele mai de succes intervenții in domeniul incluziunii sociale a copiilor instituționalizați, având caracter inovativ și evidențiind mecanisme care pot fi valorificate în proiectarea intervențiilor din următoarea perioadă de finanțare.</w:t>
            </w:r>
          </w:p>
        </w:tc>
        <w:tc>
          <w:tcPr>
            <w:tcW w:w="4855" w:type="dxa"/>
          </w:tcPr>
          <w:p w14:paraId="66958E04"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Continuarea programului ”Prima Camera” în următoarea perioadă de programare/intervenție prin valorificarea experiențelor acumulate în acest exercițiu de programare.</w:t>
            </w:r>
          </w:p>
        </w:tc>
      </w:tr>
      <w:tr w:rsidR="00EC1E68" w:rsidRPr="00686D74" w14:paraId="39B8F561" w14:textId="77777777" w:rsidTr="00D825CF">
        <w:trPr>
          <w:trHeight w:val="449"/>
        </w:trPr>
        <w:tc>
          <w:tcPr>
            <w:tcW w:w="5665" w:type="dxa"/>
          </w:tcPr>
          <w:p w14:paraId="58F2AA04"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Durata relativ scăzută a intervențiilor (real 1,5 ani) este percepută de către beneficiari ca insuficientă de cele mai multe ori pentru depășirea riscurilor de abandon în cazul copiilor.</w:t>
            </w:r>
          </w:p>
        </w:tc>
        <w:tc>
          <w:tcPr>
            <w:tcW w:w="3969" w:type="dxa"/>
            <w:vMerge w:val="restart"/>
          </w:tcPr>
          <w:p w14:paraId="70713C55"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Logica de intervenție poate fi îmbunătățită printr-o serie de măsuri care să vizeze:</w:t>
            </w:r>
          </w:p>
          <w:p w14:paraId="432483C3" w14:textId="77777777" w:rsidR="00EC1E68" w:rsidRPr="00686D74" w:rsidRDefault="00EC1E68" w:rsidP="00EC1E68">
            <w:pPr>
              <w:pStyle w:val="ListParagraph"/>
              <w:numPr>
                <w:ilvl w:val="0"/>
                <w:numId w:val="19"/>
              </w:numPr>
              <w:tabs>
                <w:tab w:val="left" w:pos="360"/>
              </w:tabs>
              <w:suppressAutoHyphens/>
              <w:contextualSpacing/>
              <w:jc w:val="left"/>
              <w:rPr>
                <w:rFonts w:ascii="Calibri" w:hAnsi="Calibri" w:cs="Times New Roman"/>
                <w:kern w:val="12"/>
                <w:lang w:val="ro-RO"/>
              </w:rPr>
            </w:pPr>
            <w:r w:rsidRPr="00686D74">
              <w:rPr>
                <w:rFonts w:ascii="Calibri" w:hAnsi="Calibri" w:cs="Times New Roman"/>
                <w:kern w:val="12"/>
                <w:lang w:val="ro-RO"/>
              </w:rPr>
              <w:t>Creșterea duratei intervențiilor pentru copii la minim un ciclu educațional (5 ani);</w:t>
            </w:r>
          </w:p>
          <w:p w14:paraId="6ADFA57B" w14:textId="77777777" w:rsidR="00EC1E68" w:rsidRPr="00686D74" w:rsidRDefault="00EC1E68" w:rsidP="00EC1E68">
            <w:pPr>
              <w:pStyle w:val="ListParagraph"/>
              <w:numPr>
                <w:ilvl w:val="0"/>
                <w:numId w:val="19"/>
              </w:numPr>
              <w:tabs>
                <w:tab w:val="left" w:pos="360"/>
              </w:tabs>
              <w:suppressAutoHyphens/>
              <w:contextualSpacing/>
              <w:jc w:val="left"/>
              <w:rPr>
                <w:rFonts w:ascii="Calibri" w:hAnsi="Calibri" w:cs="Times New Roman"/>
                <w:kern w:val="12"/>
                <w:lang w:val="ro-RO"/>
              </w:rPr>
            </w:pPr>
            <w:r w:rsidRPr="00686D74">
              <w:rPr>
                <w:rFonts w:ascii="Calibri" w:hAnsi="Calibri" w:cs="Times New Roman"/>
                <w:kern w:val="12"/>
                <w:lang w:val="ro-RO"/>
              </w:rPr>
              <w:t>Integrarea intervențiilor care vizează dezinstituționalizarea cu măsuri de reconversie profesională acolo unde este cazul;</w:t>
            </w:r>
          </w:p>
          <w:p w14:paraId="20DC5121" w14:textId="77777777" w:rsidR="00EC1E68" w:rsidRPr="00686D74" w:rsidRDefault="00EC1E68" w:rsidP="00EC1E68">
            <w:pPr>
              <w:pStyle w:val="ListParagraph"/>
              <w:numPr>
                <w:ilvl w:val="0"/>
                <w:numId w:val="19"/>
              </w:numPr>
              <w:tabs>
                <w:tab w:val="left" w:pos="360"/>
              </w:tabs>
              <w:suppressAutoHyphens/>
              <w:contextualSpacing/>
              <w:jc w:val="left"/>
              <w:rPr>
                <w:rFonts w:ascii="Calibri" w:hAnsi="Calibri" w:cs="Times New Roman"/>
                <w:kern w:val="12"/>
                <w:lang w:val="ro-RO"/>
              </w:rPr>
            </w:pPr>
            <w:r w:rsidRPr="00686D74">
              <w:rPr>
                <w:rFonts w:ascii="Calibri" w:hAnsi="Calibri" w:cs="Times New Roman"/>
                <w:kern w:val="12"/>
                <w:lang w:val="ro-RO"/>
              </w:rPr>
              <w:t>Utilizarea hărților de nevoi și resurse necesare pentru adresarea nevoilor (mai ales resurse umane), în instrumentarul de proiectare a intervenției;</w:t>
            </w:r>
          </w:p>
          <w:p w14:paraId="3F2112C4" w14:textId="77777777" w:rsidR="00EC1E68" w:rsidRPr="00686D74" w:rsidRDefault="00EC1E68" w:rsidP="00EC1E68">
            <w:pPr>
              <w:pStyle w:val="ListParagraph"/>
              <w:numPr>
                <w:ilvl w:val="0"/>
                <w:numId w:val="19"/>
              </w:numPr>
              <w:tabs>
                <w:tab w:val="left" w:pos="360"/>
              </w:tabs>
              <w:suppressAutoHyphens/>
              <w:contextualSpacing/>
              <w:jc w:val="left"/>
              <w:rPr>
                <w:rFonts w:ascii="Calibri" w:hAnsi="Calibri" w:cs="Times New Roman"/>
                <w:kern w:val="12"/>
                <w:lang w:val="ro-RO"/>
              </w:rPr>
            </w:pPr>
            <w:r w:rsidRPr="00686D74">
              <w:rPr>
                <w:rFonts w:ascii="Calibri" w:hAnsi="Calibri" w:cs="Times New Roman"/>
                <w:kern w:val="12"/>
                <w:lang w:val="ro-RO"/>
              </w:rPr>
              <w:t>Utilizarea de instrumente informatice (de exemplu Revisal/ReGES) pentru măsurarea durabilității intervențiilor (în acest caz ”Prima cameră”);</w:t>
            </w:r>
          </w:p>
          <w:p w14:paraId="72D9B062" w14:textId="77777777" w:rsidR="00EC1E68" w:rsidRPr="00686D74" w:rsidRDefault="00EC1E68" w:rsidP="00EC1E68">
            <w:pPr>
              <w:pStyle w:val="ListParagraph"/>
              <w:numPr>
                <w:ilvl w:val="0"/>
                <w:numId w:val="19"/>
              </w:numPr>
              <w:tabs>
                <w:tab w:val="left" w:pos="360"/>
              </w:tabs>
              <w:suppressAutoHyphens/>
              <w:contextualSpacing/>
              <w:jc w:val="left"/>
              <w:rPr>
                <w:rFonts w:ascii="Calibri" w:hAnsi="Calibri" w:cs="Times New Roman"/>
                <w:kern w:val="12"/>
                <w:lang w:val="ro-RO"/>
              </w:rPr>
            </w:pPr>
            <w:r w:rsidRPr="00686D74">
              <w:rPr>
                <w:rFonts w:ascii="Calibri" w:hAnsi="Calibri" w:cs="Times New Roman"/>
                <w:kern w:val="12"/>
                <w:lang w:val="ro-RO"/>
              </w:rPr>
              <w:t>Prioritizarea intervențiilor (prin coeficienți) în raport cu intensitatea problematică;</w:t>
            </w:r>
          </w:p>
          <w:p w14:paraId="24508EDF" w14:textId="77777777" w:rsidR="00EC1E68" w:rsidRPr="00686D74" w:rsidRDefault="00EC1E68" w:rsidP="00EC1E68">
            <w:pPr>
              <w:pStyle w:val="ListParagraph"/>
              <w:numPr>
                <w:ilvl w:val="0"/>
                <w:numId w:val="19"/>
              </w:numPr>
              <w:tabs>
                <w:tab w:val="left" w:pos="360"/>
              </w:tabs>
              <w:suppressAutoHyphens/>
              <w:contextualSpacing/>
              <w:jc w:val="left"/>
              <w:rPr>
                <w:rFonts w:ascii="Calibri" w:hAnsi="Calibri" w:cs="Times New Roman"/>
                <w:kern w:val="12"/>
                <w:lang w:val="ro-RO"/>
              </w:rPr>
            </w:pPr>
            <w:r w:rsidRPr="00686D74">
              <w:rPr>
                <w:rFonts w:ascii="Calibri" w:hAnsi="Calibri" w:cs="Times New Roman"/>
                <w:kern w:val="12"/>
                <w:lang w:val="ro-RO"/>
              </w:rPr>
              <w:t>Încurajarea parteneriatelor trans-naționale;</w:t>
            </w:r>
          </w:p>
          <w:p w14:paraId="4185D0D0" w14:textId="77777777" w:rsidR="00EC1E68" w:rsidRPr="00686D74" w:rsidRDefault="00EC1E68" w:rsidP="00EC1E68">
            <w:pPr>
              <w:pStyle w:val="ListParagraph"/>
              <w:numPr>
                <w:ilvl w:val="0"/>
                <w:numId w:val="19"/>
              </w:numPr>
              <w:tabs>
                <w:tab w:val="left" w:pos="360"/>
              </w:tabs>
              <w:suppressAutoHyphens/>
              <w:contextualSpacing/>
              <w:jc w:val="left"/>
              <w:rPr>
                <w:rFonts w:ascii="Calibri" w:hAnsi="Calibri" w:cs="Times New Roman"/>
                <w:kern w:val="12"/>
                <w:lang w:val="ro-RO"/>
              </w:rPr>
            </w:pPr>
            <w:r w:rsidRPr="00686D74">
              <w:rPr>
                <w:rFonts w:ascii="Calibri" w:hAnsi="Calibri" w:cs="Times New Roman"/>
                <w:kern w:val="12"/>
                <w:lang w:val="ro-RO"/>
              </w:rPr>
              <w:t>Utilizarea de instrumente de măsurare a calității intervențiilor din perspectiva grupului țintă;</w:t>
            </w:r>
          </w:p>
          <w:p w14:paraId="45A88032" w14:textId="77777777" w:rsidR="00EC1E68" w:rsidRPr="00686D74" w:rsidRDefault="00EC1E68" w:rsidP="00EC1E68">
            <w:pPr>
              <w:pStyle w:val="ListParagraph"/>
              <w:numPr>
                <w:ilvl w:val="0"/>
                <w:numId w:val="19"/>
              </w:numPr>
              <w:tabs>
                <w:tab w:val="left" w:pos="360"/>
              </w:tabs>
              <w:suppressAutoHyphens/>
              <w:contextualSpacing/>
              <w:jc w:val="left"/>
              <w:rPr>
                <w:rFonts w:ascii="Calibri" w:hAnsi="Calibri" w:cs="Times New Roman"/>
                <w:kern w:val="12"/>
                <w:lang w:val="ro-RO"/>
              </w:rPr>
            </w:pPr>
            <w:r w:rsidRPr="00686D74">
              <w:rPr>
                <w:rFonts w:ascii="Calibri" w:hAnsi="Calibri" w:cs="Times New Roman"/>
                <w:kern w:val="12"/>
                <w:lang w:val="ro-RO"/>
              </w:rPr>
              <w:t>Utilizarea costurilor standard în fiecare situație în care acest lucru este posibil.</w:t>
            </w:r>
          </w:p>
          <w:p w14:paraId="6C4AE6B0"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val="restart"/>
          </w:tcPr>
          <w:p w14:paraId="1080D6B1"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Proiectarea intervențiilor pentru perioade următoare de programare prin valorificare lecțiilor învățate din POCU și în parteneriat cu beneficiari intervențiilor în domeniul dezinstituționalizării și printru echilibru între calitativ și cantitativ în măsurarea rezultatelor și a impactului în toate proiectele finanțate.</w:t>
            </w:r>
          </w:p>
        </w:tc>
      </w:tr>
      <w:tr w:rsidR="00EC1E68" w:rsidRPr="00686D74" w14:paraId="5C4CBD5A" w14:textId="77777777" w:rsidTr="00D825CF">
        <w:trPr>
          <w:trHeight w:val="449"/>
        </w:trPr>
        <w:tc>
          <w:tcPr>
            <w:tcW w:w="5665" w:type="dxa"/>
          </w:tcPr>
          <w:p w14:paraId="07AA631B"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Închiderea unor centre generează punctual reacții negative din partea angajaților acestor instituții.</w:t>
            </w:r>
          </w:p>
        </w:tc>
        <w:tc>
          <w:tcPr>
            <w:tcW w:w="3969" w:type="dxa"/>
            <w:vMerge/>
          </w:tcPr>
          <w:p w14:paraId="2EA8C69F"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1BD88400" w14:textId="77777777" w:rsidR="00EC1E68" w:rsidRPr="00686D74" w:rsidRDefault="00EC1E68" w:rsidP="00D825CF">
            <w:pPr>
              <w:tabs>
                <w:tab w:val="left" w:pos="360"/>
              </w:tabs>
              <w:jc w:val="left"/>
              <w:rPr>
                <w:rFonts w:ascii="Calibri" w:hAnsi="Calibri" w:cs="Times New Roman"/>
                <w:kern w:val="12"/>
                <w:lang w:val="ro-RO"/>
              </w:rPr>
            </w:pPr>
          </w:p>
        </w:tc>
      </w:tr>
      <w:tr w:rsidR="00EC1E68" w:rsidRPr="00686D74" w14:paraId="7E00C70B" w14:textId="77777777" w:rsidTr="00D825CF">
        <w:trPr>
          <w:trHeight w:val="449"/>
        </w:trPr>
        <w:tc>
          <w:tcPr>
            <w:tcW w:w="5665" w:type="dxa"/>
          </w:tcPr>
          <w:p w14:paraId="07091F3C"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Punctual au fost identificate dificultăți în identificarea de asistenți personali pentru adulții cu handicap, în menținerea grupurilor țintă, în identificarea de specialiști (psihologi, psihiatri, asistenți sociali, asistenți personali).</w:t>
            </w:r>
          </w:p>
        </w:tc>
        <w:tc>
          <w:tcPr>
            <w:tcW w:w="3969" w:type="dxa"/>
            <w:vMerge/>
          </w:tcPr>
          <w:p w14:paraId="03FFE5BE"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0B1D4C32" w14:textId="77777777" w:rsidR="00EC1E68" w:rsidRPr="00686D74" w:rsidRDefault="00EC1E68" w:rsidP="00D825CF">
            <w:pPr>
              <w:tabs>
                <w:tab w:val="left" w:pos="360"/>
              </w:tabs>
              <w:jc w:val="left"/>
              <w:rPr>
                <w:rFonts w:ascii="Calibri" w:hAnsi="Calibri" w:cs="Times New Roman"/>
                <w:kern w:val="12"/>
                <w:lang w:val="ro-RO"/>
              </w:rPr>
            </w:pPr>
          </w:p>
        </w:tc>
      </w:tr>
      <w:tr w:rsidR="00EC1E68" w:rsidRPr="00686D74" w14:paraId="4D7ED8C5" w14:textId="77777777" w:rsidTr="00D825CF">
        <w:trPr>
          <w:trHeight w:val="449"/>
        </w:trPr>
        <w:tc>
          <w:tcPr>
            <w:tcW w:w="5665" w:type="dxa"/>
          </w:tcPr>
          <w:p w14:paraId="7EE0E9A1"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Instrumentele de monitorizare și indicatorii utilizați nu vizează durabilitatea intervențiilor după închiderea finanțării.</w:t>
            </w:r>
          </w:p>
        </w:tc>
        <w:tc>
          <w:tcPr>
            <w:tcW w:w="3969" w:type="dxa"/>
            <w:vMerge/>
          </w:tcPr>
          <w:p w14:paraId="156FB06A"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78CF8DC6" w14:textId="77777777" w:rsidR="00EC1E68" w:rsidRPr="00686D74" w:rsidRDefault="00EC1E68" w:rsidP="00D825CF">
            <w:pPr>
              <w:tabs>
                <w:tab w:val="left" w:pos="360"/>
              </w:tabs>
              <w:jc w:val="left"/>
              <w:rPr>
                <w:rFonts w:ascii="Calibri" w:hAnsi="Calibri" w:cs="Times New Roman"/>
                <w:kern w:val="12"/>
                <w:lang w:val="ro-RO"/>
              </w:rPr>
            </w:pPr>
          </w:p>
        </w:tc>
      </w:tr>
      <w:tr w:rsidR="00EC1E68" w:rsidRPr="00686D74" w14:paraId="194BDDFB" w14:textId="77777777" w:rsidTr="00D825CF">
        <w:trPr>
          <w:trHeight w:val="449"/>
        </w:trPr>
        <w:tc>
          <w:tcPr>
            <w:tcW w:w="5665" w:type="dxa"/>
          </w:tcPr>
          <w:p w14:paraId="164ED084"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Nu există mecanisme prin care intervențiile să fie direcționate către zonele de nevoie acută sau aflate într-un grad ridicat de dificultate.</w:t>
            </w:r>
          </w:p>
        </w:tc>
        <w:tc>
          <w:tcPr>
            <w:tcW w:w="3969" w:type="dxa"/>
            <w:vMerge/>
          </w:tcPr>
          <w:p w14:paraId="68A20E59"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2C0D6797" w14:textId="77777777" w:rsidR="00EC1E68" w:rsidRPr="00686D74" w:rsidRDefault="00EC1E68" w:rsidP="00D825CF">
            <w:pPr>
              <w:tabs>
                <w:tab w:val="left" w:pos="360"/>
              </w:tabs>
              <w:jc w:val="left"/>
              <w:rPr>
                <w:rFonts w:ascii="Calibri" w:hAnsi="Calibri" w:cs="Times New Roman"/>
                <w:kern w:val="12"/>
                <w:lang w:val="ro-RO"/>
              </w:rPr>
            </w:pPr>
          </w:p>
        </w:tc>
      </w:tr>
      <w:tr w:rsidR="00EC1E68" w:rsidRPr="00686D74" w14:paraId="653ECC02" w14:textId="77777777" w:rsidTr="00D825CF">
        <w:trPr>
          <w:trHeight w:val="449"/>
        </w:trPr>
        <w:tc>
          <w:tcPr>
            <w:tcW w:w="5665" w:type="dxa"/>
          </w:tcPr>
          <w:p w14:paraId="0E8F9CA9"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Nu sunt identificate mecanisme de încurajare a parteneriatelor trans-naționale.</w:t>
            </w:r>
          </w:p>
        </w:tc>
        <w:tc>
          <w:tcPr>
            <w:tcW w:w="3969" w:type="dxa"/>
            <w:vMerge/>
          </w:tcPr>
          <w:p w14:paraId="3679B4E5"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761D8330" w14:textId="77777777" w:rsidR="00EC1E68" w:rsidRPr="00686D74" w:rsidRDefault="00EC1E68" w:rsidP="00D825CF">
            <w:pPr>
              <w:tabs>
                <w:tab w:val="left" w:pos="360"/>
              </w:tabs>
              <w:jc w:val="left"/>
              <w:rPr>
                <w:rFonts w:ascii="Calibri" w:hAnsi="Calibri" w:cs="Times New Roman"/>
                <w:kern w:val="12"/>
                <w:lang w:val="ro-RO"/>
              </w:rPr>
            </w:pPr>
          </w:p>
        </w:tc>
      </w:tr>
      <w:tr w:rsidR="00EC1E68" w:rsidRPr="00686D74" w14:paraId="7C15F444" w14:textId="77777777" w:rsidTr="00D825CF">
        <w:trPr>
          <w:trHeight w:val="449"/>
        </w:trPr>
        <w:tc>
          <w:tcPr>
            <w:tcW w:w="5665" w:type="dxa"/>
          </w:tcPr>
          <w:p w14:paraId="3525676E"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Nu sunt utilizate mecanisme standard de măsurare a calității intervențiilor din prisma grupului țintă sau a comunității.</w:t>
            </w:r>
          </w:p>
        </w:tc>
        <w:tc>
          <w:tcPr>
            <w:tcW w:w="3969" w:type="dxa"/>
            <w:vMerge/>
          </w:tcPr>
          <w:p w14:paraId="76FDC6B7" w14:textId="77777777" w:rsidR="00EC1E68" w:rsidRPr="00686D74" w:rsidRDefault="00EC1E68" w:rsidP="00D825CF">
            <w:pPr>
              <w:tabs>
                <w:tab w:val="left" w:pos="360"/>
              </w:tabs>
              <w:jc w:val="left"/>
              <w:rPr>
                <w:rFonts w:ascii="Calibri" w:hAnsi="Calibri" w:cs="Times New Roman"/>
                <w:kern w:val="12"/>
                <w:lang w:val="ro-RO"/>
              </w:rPr>
            </w:pPr>
          </w:p>
        </w:tc>
        <w:tc>
          <w:tcPr>
            <w:tcW w:w="4855" w:type="dxa"/>
            <w:vMerge/>
          </w:tcPr>
          <w:p w14:paraId="00BD5FEF" w14:textId="77777777" w:rsidR="00EC1E68" w:rsidRPr="00686D74" w:rsidRDefault="00EC1E68" w:rsidP="00D825CF">
            <w:pPr>
              <w:tabs>
                <w:tab w:val="left" w:pos="360"/>
              </w:tabs>
              <w:jc w:val="left"/>
              <w:rPr>
                <w:rFonts w:ascii="Calibri" w:hAnsi="Calibri" w:cs="Times New Roman"/>
                <w:kern w:val="12"/>
                <w:lang w:val="ro-RO"/>
              </w:rPr>
            </w:pPr>
          </w:p>
        </w:tc>
      </w:tr>
      <w:tr w:rsidR="00EC1E68" w:rsidRPr="008D52A6" w14:paraId="562922DE" w14:textId="77777777" w:rsidTr="00D825CF">
        <w:trPr>
          <w:trHeight w:val="449"/>
        </w:trPr>
        <w:tc>
          <w:tcPr>
            <w:tcW w:w="5665" w:type="dxa"/>
          </w:tcPr>
          <w:p w14:paraId="7148C77E" w14:textId="77777777" w:rsidR="00EC1E68" w:rsidRPr="00686D74" w:rsidRDefault="00EC1E68" w:rsidP="00D825CF">
            <w:pPr>
              <w:tabs>
                <w:tab w:val="left" w:pos="360"/>
              </w:tabs>
              <w:jc w:val="left"/>
              <w:rPr>
                <w:rFonts w:ascii="Calibri" w:hAnsi="Calibri" w:cs="Times New Roman"/>
                <w:kern w:val="12"/>
                <w:lang w:val="ro-RO"/>
              </w:rPr>
            </w:pPr>
            <w:r w:rsidRPr="00686D74">
              <w:rPr>
                <w:rFonts w:ascii="Calibri" w:hAnsi="Calibri" w:cs="Times New Roman"/>
                <w:kern w:val="12"/>
                <w:lang w:val="ro-RO"/>
              </w:rPr>
              <w:t>Raportarea cheltuielilor indirecte doar ca procent din cheltuiala salarială este percepută de către o parte dintre beneficiari ca fiind  inadecvată (de ex. managerul de grup țintă nu poate fi plătit dacă nu sunt cheltuieli salariale cu alți membri ai echipei, în condițiile în care activitatea acestuia este relativ independentă în raport cu restul echipei)</w:t>
            </w:r>
          </w:p>
        </w:tc>
        <w:tc>
          <w:tcPr>
            <w:tcW w:w="3969" w:type="dxa"/>
            <w:vMerge/>
          </w:tcPr>
          <w:p w14:paraId="101A1CA5" w14:textId="77777777" w:rsidR="00EC1E68" w:rsidRPr="005F74E2" w:rsidRDefault="00EC1E68" w:rsidP="00D825CF">
            <w:pPr>
              <w:tabs>
                <w:tab w:val="left" w:pos="360"/>
              </w:tabs>
              <w:jc w:val="left"/>
              <w:rPr>
                <w:rFonts w:ascii="Calibri" w:hAnsi="Calibri" w:cs="Times New Roman"/>
                <w:kern w:val="12"/>
                <w:lang w:val="ro-RO"/>
              </w:rPr>
            </w:pPr>
          </w:p>
        </w:tc>
        <w:tc>
          <w:tcPr>
            <w:tcW w:w="4855" w:type="dxa"/>
            <w:vMerge/>
          </w:tcPr>
          <w:p w14:paraId="54C9A0C2" w14:textId="77777777" w:rsidR="00EC1E68" w:rsidRPr="005F74E2" w:rsidRDefault="00EC1E68" w:rsidP="00D825CF">
            <w:pPr>
              <w:tabs>
                <w:tab w:val="left" w:pos="360"/>
              </w:tabs>
              <w:jc w:val="left"/>
              <w:rPr>
                <w:rFonts w:ascii="Calibri" w:hAnsi="Calibri" w:cs="Times New Roman"/>
                <w:kern w:val="12"/>
                <w:lang w:val="ro-RO"/>
              </w:rPr>
            </w:pPr>
          </w:p>
        </w:tc>
      </w:tr>
    </w:tbl>
    <w:p w14:paraId="15D09C9F" w14:textId="77777777" w:rsidR="00FB08BA" w:rsidRPr="005F74E2" w:rsidRDefault="00FB08BA" w:rsidP="00FB08BA">
      <w:pPr>
        <w:jc w:val="left"/>
        <w:rPr>
          <w:rFonts w:ascii="Calibri" w:hAnsi="Calibri"/>
          <w:b/>
          <w:lang w:val="ro-RO"/>
        </w:rPr>
      </w:pPr>
    </w:p>
    <w:p w14:paraId="7DE81B4B" w14:textId="41F9FFAD" w:rsidR="0062767D" w:rsidRPr="009C0B42" w:rsidRDefault="0062767D" w:rsidP="0018048C">
      <w:pPr>
        <w:rPr>
          <w:rFonts w:ascii="Calibri" w:hAnsi="Calibri" w:cs="Calibri"/>
          <w:noProof/>
          <w:lang w:val="ro-RO" w:bidi="ne-NP"/>
        </w:rPr>
      </w:pPr>
    </w:p>
    <w:sectPr w:rsidR="0062767D" w:rsidRPr="009C0B42" w:rsidSect="0018048C">
      <w:pgSz w:w="16839" w:h="11907" w:orient="landscape" w:code="9"/>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E2ABE" w14:textId="77777777" w:rsidR="002457C2" w:rsidRDefault="002457C2" w:rsidP="00534500">
      <w:r>
        <w:separator/>
      </w:r>
    </w:p>
    <w:p w14:paraId="6E6A7A43" w14:textId="77777777" w:rsidR="002457C2" w:rsidRDefault="002457C2" w:rsidP="00534500"/>
    <w:p w14:paraId="05E141DF" w14:textId="77777777" w:rsidR="002457C2" w:rsidRDefault="002457C2" w:rsidP="00534500"/>
    <w:p w14:paraId="2DA8C049" w14:textId="77777777" w:rsidR="002457C2" w:rsidRDefault="002457C2" w:rsidP="00534500"/>
    <w:p w14:paraId="3DE573CE" w14:textId="77777777" w:rsidR="002457C2" w:rsidRDefault="002457C2" w:rsidP="00534500"/>
  </w:endnote>
  <w:endnote w:type="continuationSeparator" w:id="0">
    <w:p w14:paraId="440D9A05" w14:textId="77777777" w:rsidR="002457C2" w:rsidRDefault="002457C2" w:rsidP="00534500">
      <w:r>
        <w:continuationSeparator/>
      </w:r>
    </w:p>
    <w:p w14:paraId="58DA825D" w14:textId="77777777" w:rsidR="002457C2" w:rsidRDefault="002457C2" w:rsidP="00534500"/>
    <w:p w14:paraId="51C80DBD" w14:textId="77777777" w:rsidR="002457C2" w:rsidRDefault="002457C2" w:rsidP="00534500"/>
    <w:p w14:paraId="02C3F158" w14:textId="77777777" w:rsidR="002457C2" w:rsidRDefault="002457C2" w:rsidP="00534500"/>
    <w:p w14:paraId="320E5CBD" w14:textId="77777777" w:rsidR="002457C2" w:rsidRDefault="002457C2" w:rsidP="00534500"/>
  </w:endnote>
  <w:endnote w:type="continuationNotice" w:id="1">
    <w:p w14:paraId="20E64E24" w14:textId="77777777" w:rsidR="002457C2" w:rsidRDefault="002457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venir Next Demi Bold">
    <w:altName w:val="Trebuchet MS"/>
    <w:charset w:val="00"/>
    <w:family w:val="swiss"/>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8F0C" w14:textId="77777777" w:rsidR="0062767D" w:rsidRPr="001A2B9A" w:rsidRDefault="0062767D" w:rsidP="0062767D">
    <w:pPr>
      <w:pBdr>
        <w:top w:val="single" w:sz="4" w:space="1" w:color="auto"/>
      </w:pBdr>
      <w:ind w:right="-180"/>
      <w:rPr>
        <w:rFonts w:ascii="Calibri" w:hAnsi="Calibri" w:cs="Calibri"/>
        <w:b/>
        <w:bCs/>
        <w:i/>
        <w:color w:val="007F8F"/>
        <w:sz w:val="16"/>
        <w:szCs w:val="16"/>
        <w:lang w:eastAsia="ja-JP"/>
      </w:rPr>
    </w:pPr>
    <w:r w:rsidRPr="001A2B9A">
      <w:rPr>
        <w:rFonts w:ascii="Calibri" w:hAnsi="Calibri" w:cs="Calibri"/>
        <w:b/>
        <w:i/>
        <w:color w:val="007F8F"/>
        <w:sz w:val="16"/>
        <w:szCs w:val="16"/>
        <w:lang w:eastAsia="ja-JP"/>
      </w:rPr>
      <w:t>„Implementarea Planului de Evaluare a Programului Operațional Capital Uman 2014-2020 - Primul exercițiu de evaluare a Programului Operațional Capital Uman 2014-2020 ”, Contract nr. 36273 / 05.05.2020</w:t>
    </w:r>
    <w:r w:rsidRPr="001A2B9A">
      <w:rPr>
        <w:rFonts w:ascii="Calibri" w:hAnsi="Calibri" w:cs="Calibri"/>
        <w:b/>
        <w:bCs/>
        <w:i/>
        <w:color w:val="007F8F"/>
        <w:sz w:val="16"/>
        <w:szCs w:val="16"/>
        <w:lang w:eastAsia="ja-JP"/>
      </w:rPr>
      <w:tab/>
    </w:r>
  </w:p>
  <w:p w14:paraId="4ED5917B" w14:textId="430CB3A9" w:rsidR="009B6AD2" w:rsidRPr="0062767D" w:rsidRDefault="0062767D" w:rsidP="0062767D">
    <w:pPr>
      <w:pBdr>
        <w:top w:val="single" w:sz="4" w:space="1" w:color="auto"/>
      </w:pBdr>
      <w:ind w:right="-180"/>
      <w:jc w:val="right"/>
      <w:rPr>
        <w:rFonts w:ascii="Calibri" w:hAnsi="Calibri"/>
        <w:color w:val="007F8F"/>
        <w:sz w:val="16"/>
        <w:szCs w:val="16"/>
      </w:rPr>
    </w:pPr>
    <w:r w:rsidRPr="001A2B9A">
      <w:rPr>
        <w:rFonts w:ascii="Calibri" w:hAnsi="Calibri" w:cs="Calibri"/>
        <w:b/>
        <w:bCs/>
        <w:i/>
        <w:color w:val="007F8F"/>
        <w:sz w:val="16"/>
        <w:szCs w:val="16"/>
        <w:lang w:eastAsia="ja-JP"/>
      </w:rPr>
      <w:tab/>
    </w:r>
    <w:r w:rsidRPr="001A2B9A">
      <w:rPr>
        <w:rFonts w:ascii="Calibri" w:hAnsi="Calibri" w:cs="Calibri"/>
        <w:b/>
        <w:bCs/>
        <w:i/>
        <w:color w:val="007F8F"/>
        <w:sz w:val="16"/>
        <w:szCs w:val="16"/>
        <w:lang w:eastAsia="ja-JP"/>
      </w:rPr>
      <w:tab/>
    </w:r>
    <w:r w:rsidRPr="001A2B9A">
      <w:rPr>
        <w:rFonts w:ascii="Calibri" w:hAnsi="Calibri" w:cs="Calibri"/>
        <w:b/>
        <w:bCs/>
        <w:i/>
        <w:color w:val="007F8F"/>
        <w:sz w:val="16"/>
        <w:szCs w:val="16"/>
        <w:lang w:eastAsia="ja-JP"/>
      </w:rPr>
      <w:tab/>
    </w:r>
    <w:r w:rsidRPr="001A2B9A">
      <w:rPr>
        <w:rFonts w:ascii="Calibri" w:hAnsi="Calibri" w:cs="Calibri"/>
        <w:b/>
        <w:bCs/>
        <w:i/>
        <w:color w:val="007F8F"/>
        <w:sz w:val="16"/>
        <w:szCs w:val="16"/>
        <w:lang w:eastAsia="ja-JP"/>
      </w:rPr>
      <w:tab/>
    </w:r>
    <w:r w:rsidRPr="001A2B9A">
      <w:rPr>
        <w:rFonts w:ascii="Calibri" w:hAnsi="Calibri" w:cs="Calibri"/>
        <w:b/>
        <w:bCs/>
        <w:i/>
        <w:color w:val="007F8F"/>
        <w:sz w:val="16"/>
        <w:szCs w:val="16"/>
        <w:lang w:eastAsia="ja-JP"/>
      </w:rPr>
      <w:tab/>
    </w:r>
    <w:r w:rsidRPr="001A2B9A">
      <w:rPr>
        <w:rFonts w:ascii="Calibri" w:hAnsi="Calibri" w:cs="Calibri"/>
        <w:b/>
        <w:bCs/>
        <w:i/>
        <w:color w:val="007F8F"/>
        <w:sz w:val="16"/>
        <w:szCs w:val="16"/>
        <w:lang w:eastAsia="ja-JP"/>
      </w:rPr>
      <w:tab/>
    </w:r>
    <w:r w:rsidRPr="001A2B9A">
      <w:rPr>
        <w:rFonts w:ascii="Calibri" w:hAnsi="Calibri" w:cs="Calibri"/>
        <w:b/>
        <w:bCs/>
        <w:i/>
        <w:color w:val="007F8F"/>
        <w:sz w:val="16"/>
        <w:szCs w:val="16"/>
        <w:lang w:eastAsia="ja-JP"/>
      </w:rPr>
      <w:tab/>
    </w:r>
    <w:r w:rsidRPr="001A2B9A">
      <w:rPr>
        <w:rFonts w:ascii="Calibri" w:hAnsi="Calibri" w:cs="Calibri"/>
        <w:b/>
        <w:bCs/>
        <w:i/>
        <w:color w:val="007F8F"/>
        <w:sz w:val="16"/>
        <w:szCs w:val="16"/>
        <w:lang w:eastAsia="ja-JP"/>
      </w:rPr>
      <w:tab/>
    </w:r>
    <w:r w:rsidRPr="001A2B9A">
      <w:rPr>
        <w:rFonts w:ascii="Calibri" w:hAnsi="Calibri" w:cs="Calibri"/>
        <w:b/>
        <w:bCs/>
        <w:i/>
        <w:color w:val="007F8F"/>
        <w:sz w:val="16"/>
        <w:szCs w:val="16"/>
        <w:lang w:eastAsia="ja-JP"/>
      </w:rPr>
      <w:tab/>
    </w:r>
    <w:r w:rsidRPr="001A2B9A">
      <w:rPr>
        <w:rFonts w:ascii="Calibri" w:hAnsi="Calibri" w:cs="Calibri"/>
        <w:b/>
        <w:bCs/>
        <w:i/>
        <w:color w:val="007F8F"/>
        <w:sz w:val="16"/>
        <w:szCs w:val="16"/>
        <w:lang w:eastAsia="ja-JP"/>
      </w:rPr>
      <w:tab/>
    </w:r>
    <w:r w:rsidRPr="001A2B9A">
      <w:rPr>
        <w:rFonts w:ascii="Calibri" w:hAnsi="Calibri"/>
        <w:bCs/>
        <w:color w:val="007F8F"/>
        <w:sz w:val="16"/>
        <w:szCs w:val="16"/>
        <w:lang w:eastAsia="ja-JP"/>
      </w:rPr>
      <w:fldChar w:fldCharType="begin"/>
    </w:r>
    <w:r w:rsidRPr="001A2B9A">
      <w:rPr>
        <w:rFonts w:ascii="Calibri" w:hAnsi="Calibri"/>
        <w:bCs/>
        <w:color w:val="007F8F"/>
        <w:sz w:val="16"/>
        <w:szCs w:val="16"/>
        <w:lang w:eastAsia="ja-JP"/>
      </w:rPr>
      <w:instrText xml:space="preserve"> PAGE   \* MERGEFORMAT </w:instrText>
    </w:r>
    <w:r w:rsidRPr="001A2B9A">
      <w:rPr>
        <w:rFonts w:ascii="Calibri" w:hAnsi="Calibri"/>
        <w:bCs/>
        <w:color w:val="007F8F"/>
        <w:sz w:val="16"/>
        <w:szCs w:val="16"/>
        <w:lang w:eastAsia="ja-JP"/>
      </w:rPr>
      <w:fldChar w:fldCharType="separate"/>
    </w:r>
    <w:r w:rsidR="00EC1E68">
      <w:rPr>
        <w:rFonts w:ascii="Calibri" w:hAnsi="Calibri"/>
        <w:bCs/>
        <w:noProof/>
        <w:color w:val="007F8F"/>
        <w:sz w:val="16"/>
        <w:szCs w:val="16"/>
        <w:lang w:eastAsia="ja-JP"/>
      </w:rPr>
      <w:t>4</w:t>
    </w:r>
    <w:r w:rsidRPr="001A2B9A">
      <w:rPr>
        <w:rFonts w:ascii="Calibri" w:hAnsi="Calibri"/>
        <w:bCs/>
        <w:color w:val="007F8F"/>
        <w:sz w:val="16"/>
        <w:szCs w:val="16"/>
        <w:lang w:eastAsia="ja-JP"/>
      </w:rPr>
      <w:fldChar w:fldCharType="end"/>
    </w:r>
    <w:r w:rsidRPr="009F750F">
      <w:rPr>
        <w:rStyle w:val="Strong"/>
        <w:rFonts w:cs="Calibri"/>
        <w:i/>
        <w:color w:val="4F81BD"/>
        <w:sz w:val="16"/>
      </w:rPr>
      <w:tab/>
    </w:r>
    <w:r w:rsidR="009B6AD2" w:rsidRPr="009F750F">
      <w:rPr>
        <w:rStyle w:val="Strong"/>
        <w:rFonts w:cs="Calibri"/>
        <w:i/>
        <w:color w:val="4F81BD"/>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DAF27" w14:textId="77777777" w:rsidR="002457C2" w:rsidRDefault="002457C2" w:rsidP="00534500">
      <w:bookmarkStart w:id="0" w:name="_Hlk72317997"/>
      <w:bookmarkEnd w:id="0"/>
      <w:r>
        <w:separator/>
      </w:r>
    </w:p>
  </w:footnote>
  <w:footnote w:type="continuationSeparator" w:id="0">
    <w:p w14:paraId="68C617AD" w14:textId="77777777" w:rsidR="002457C2" w:rsidRDefault="002457C2" w:rsidP="00534500">
      <w:r>
        <w:continuationSeparator/>
      </w:r>
    </w:p>
    <w:p w14:paraId="12873146" w14:textId="77777777" w:rsidR="002457C2" w:rsidRDefault="002457C2" w:rsidP="00534500"/>
    <w:p w14:paraId="677A13B5" w14:textId="77777777" w:rsidR="002457C2" w:rsidRDefault="002457C2" w:rsidP="00534500"/>
    <w:p w14:paraId="5152F952" w14:textId="77777777" w:rsidR="002457C2" w:rsidRDefault="002457C2" w:rsidP="00534500"/>
    <w:p w14:paraId="77338E36" w14:textId="77777777" w:rsidR="002457C2" w:rsidRDefault="002457C2" w:rsidP="00534500"/>
  </w:footnote>
  <w:footnote w:type="continuationNotice" w:id="1">
    <w:p w14:paraId="29E9C18F" w14:textId="77777777" w:rsidR="002457C2" w:rsidRDefault="002457C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21BE" w14:textId="218A31ED" w:rsidR="009B6AD2" w:rsidRPr="006923CA" w:rsidRDefault="007D698D" w:rsidP="009B6AD2">
    <w:pPr>
      <w:pStyle w:val="Header"/>
      <w:rPr>
        <w:lang w:val="en-GB"/>
      </w:rPr>
    </w:pPr>
    <w:r>
      <w:rPr>
        <w:noProof/>
        <w:lang w:val="ro-RO" w:eastAsia="ro-RO"/>
      </w:rPr>
      <w:drawing>
        <wp:anchor distT="0" distB="0" distL="114300" distR="114300" simplePos="0" relativeHeight="251660294" behindDoc="0" locked="0" layoutInCell="1" allowOverlap="1" wp14:anchorId="501C223D" wp14:editId="05EC7635">
          <wp:simplePos x="0" y="0"/>
          <wp:positionH relativeFrom="column">
            <wp:posOffset>-129540</wp:posOffset>
          </wp:positionH>
          <wp:positionV relativeFrom="paragraph">
            <wp:posOffset>-204470</wp:posOffset>
          </wp:positionV>
          <wp:extent cx="800100" cy="6705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noProof/>
        <w:lang w:val="ro-RO" w:eastAsia="ro-RO"/>
      </w:rPr>
      <w:drawing>
        <wp:anchor distT="0" distB="0" distL="114300" distR="114300" simplePos="0" relativeHeight="251658245" behindDoc="0" locked="0" layoutInCell="1" allowOverlap="1" wp14:anchorId="59DC52B5" wp14:editId="625AE54A">
          <wp:simplePos x="0" y="0"/>
          <wp:positionH relativeFrom="margin">
            <wp:align>center</wp:align>
          </wp:positionH>
          <wp:positionV relativeFrom="paragraph">
            <wp:posOffset>-227330</wp:posOffset>
          </wp:positionV>
          <wp:extent cx="571500" cy="545465"/>
          <wp:effectExtent l="0" t="0" r="0" b="698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571500" cy="545465"/>
                  </a:xfrm>
                  <a:prstGeom prst="rect">
                    <a:avLst/>
                  </a:prstGeom>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58246" behindDoc="0" locked="0" layoutInCell="1" allowOverlap="1" wp14:anchorId="556C3AE6" wp14:editId="0F6DA4DE">
          <wp:simplePos x="0" y="0"/>
          <wp:positionH relativeFrom="column">
            <wp:posOffset>4945380</wp:posOffset>
          </wp:positionH>
          <wp:positionV relativeFrom="paragraph">
            <wp:posOffset>-248285</wp:posOffset>
          </wp:positionV>
          <wp:extent cx="693420" cy="693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sidR="009B6AD2">
      <w:rPr>
        <w:lang w:val="en-GB"/>
      </w:rPr>
      <w:tab/>
    </w:r>
    <w:r w:rsidR="009B6AD2">
      <w:rPr>
        <w:lang w:val="en-GB"/>
      </w:rPr>
      <w:tab/>
    </w:r>
  </w:p>
  <w:p w14:paraId="482005AA" w14:textId="77777777" w:rsidR="009B6AD2" w:rsidRDefault="009B6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08D4" w14:textId="257EC71F" w:rsidR="005B74B0" w:rsidRPr="006923CA" w:rsidRDefault="0094316E" w:rsidP="005B74B0">
    <w:pPr>
      <w:pStyle w:val="Header"/>
      <w:rPr>
        <w:lang w:val="en-GB"/>
      </w:rPr>
    </w:pPr>
    <w:r>
      <w:rPr>
        <w:noProof/>
        <w:lang w:val="ro-RO" w:eastAsia="ro-RO"/>
      </w:rPr>
      <w:drawing>
        <wp:anchor distT="0" distB="0" distL="114300" distR="114300" simplePos="0" relativeHeight="251658242" behindDoc="0" locked="0" layoutInCell="1" allowOverlap="1" wp14:anchorId="3A7FCFDF" wp14:editId="27C17BC8">
          <wp:simplePos x="0" y="0"/>
          <wp:positionH relativeFrom="margin">
            <wp:align>center</wp:align>
          </wp:positionH>
          <wp:positionV relativeFrom="paragraph">
            <wp:posOffset>-181610</wp:posOffset>
          </wp:positionV>
          <wp:extent cx="670560" cy="640080"/>
          <wp:effectExtent l="0" t="0" r="0" b="762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val="ro-RO" w:eastAsia="ro-RO"/>
      </w:rPr>
      <w:drawing>
        <wp:anchor distT="0" distB="0" distL="114300" distR="114300" simplePos="0" relativeHeight="251658243" behindDoc="0" locked="0" layoutInCell="1" allowOverlap="1" wp14:anchorId="6B32C671" wp14:editId="4C713AAC">
          <wp:simplePos x="0" y="0"/>
          <wp:positionH relativeFrom="margin">
            <wp:align>right</wp:align>
          </wp:positionH>
          <wp:positionV relativeFrom="paragraph">
            <wp:posOffset>-225425</wp:posOffset>
          </wp:positionV>
          <wp:extent cx="693420" cy="693420"/>
          <wp:effectExtent l="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sidR="005B74B0">
      <w:rPr>
        <w:noProof/>
        <w:lang w:val="ro-RO" w:eastAsia="ro-RO"/>
      </w:rPr>
      <w:drawing>
        <wp:anchor distT="0" distB="0" distL="114300" distR="114300" simplePos="0" relativeHeight="251658241" behindDoc="0" locked="0" layoutInCell="1" allowOverlap="1" wp14:anchorId="5DAA8415" wp14:editId="2CC176BC">
          <wp:simplePos x="0" y="0"/>
          <wp:positionH relativeFrom="column">
            <wp:posOffset>-320040</wp:posOffset>
          </wp:positionH>
          <wp:positionV relativeFrom="paragraph">
            <wp:posOffset>-189230</wp:posOffset>
          </wp:positionV>
          <wp:extent cx="800100" cy="670560"/>
          <wp:effectExtent l="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sidR="005B74B0">
      <w:rPr>
        <w:lang w:val="en-GB"/>
      </w:rPr>
      <w:tab/>
    </w:r>
    <w:r w:rsidR="005B74B0">
      <w:rPr>
        <w:lang w:val="en-GB"/>
      </w:rPr>
      <w:tab/>
    </w:r>
  </w:p>
  <w:p w14:paraId="749031AA" w14:textId="1E7B3E7A" w:rsidR="00F82F51" w:rsidRDefault="00F82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7ED7"/>
    <w:multiLevelType w:val="hybridMultilevel"/>
    <w:tmpl w:val="9FF40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91EDC"/>
    <w:multiLevelType w:val="hybridMultilevel"/>
    <w:tmpl w:val="9B00CB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C48A5"/>
    <w:multiLevelType w:val="hybridMultilevel"/>
    <w:tmpl w:val="3F4A6FAC"/>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nsid w:val="1B680FE0"/>
    <w:multiLevelType w:val="hybridMultilevel"/>
    <w:tmpl w:val="77600BFE"/>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CE09DA"/>
    <w:multiLevelType w:val="hybridMultilevel"/>
    <w:tmpl w:val="2A50C85E"/>
    <w:lvl w:ilvl="0" w:tplc="04090005">
      <w:start w:val="1"/>
      <w:numFmt w:val="bullet"/>
      <w:pStyle w:val="Tex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nsid w:val="299C795E"/>
    <w:multiLevelType w:val="hybridMultilevel"/>
    <w:tmpl w:val="9B00CB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CF10F7"/>
    <w:multiLevelType w:val="hybridMultilevel"/>
    <w:tmpl w:val="9B00CB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D66716"/>
    <w:multiLevelType w:val="hybridMultilevel"/>
    <w:tmpl w:val="09183EE2"/>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9">
    <w:nsid w:val="334F1F18"/>
    <w:multiLevelType w:val="hybridMultilevel"/>
    <w:tmpl w:val="201A0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DD3622"/>
    <w:multiLevelType w:val="hybridMultilevel"/>
    <w:tmpl w:val="239C984C"/>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1">
    <w:nsid w:val="53D71798"/>
    <w:multiLevelType w:val="hybridMultilevel"/>
    <w:tmpl w:val="C02E2C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9335127"/>
    <w:multiLevelType w:val="multilevel"/>
    <w:tmpl w:val="C3B0CCC2"/>
    <w:styleLink w:val="Style1"/>
    <w:lvl w:ilvl="0">
      <w:start w:val="1"/>
      <w:numFmt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DE56E72"/>
    <w:multiLevelType w:val="hybridMultilevel"/>
    <w:tmpl w:val="C462960E"/>
    <w:lvl w:ilvl="0" w:tplc="124E97FC">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11A7DAF"/>
    <w:multiLevelType w:val="hybridMultilevel"/>
    <w:tmpl w:val="05C2284E"/>
    <w:lvl w:ilvl="0" w:tplc="384C1E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847F47"/>
    <w:multiLevelType w:val="hybridMultilevel"/>
    <w:tmpl w:val="9B00CB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D15786"/>
    <w:multiLevelType w:val="multilevel"/>
    <w:tmpl w:val="C3B0CCC2"/>
    <w:lvl w:ilvl="0">
      <w:start w:val="1"/>
      <w:numFmt w:val="bullet"/>
      <w:pStyle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
      <w:lvlJc w:val="left"/>
      <w:pPr>
        <w:ind w:left="3856" w:hanging="616"/>
      </w:pPr>
      <w:rPr>
        <w:rFonts w:ascii="Times New Roman" w:hAnsi="Times New Roman" w:cs="Times New Roman" w:hint="default"/>
        <w:color w:val="134753"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6363857"/>
    <w:multiLevelType w:val="hybridMultilevel"/>
    <w:tmpl w:val="BC7EA3B6"/>
    <w:lvl w:ilvl="0" w:tplc="1BB67D6C">
      <w:start w:val="1"/>
      <w:numFmt w:val="bullet"/>
      <w:lvlText w:val=""/>
      <w:lvlJc w:val="left"/>
      <w:pPr>
        <w:ind w:left="450" w:hanging="360"/>
      </w:pPr>
      <w:rPr>
        <w:rFonts w:ascii="Wingdings" w:hAnsi="Wingdings" w:hint="default"/>
        <w:color w:val="auto"/>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8">
    <w:nsid w:val="7CA81B6D"/>
    <w:multiLevelType w:val="hybridMultilevel"/>
    <w:tmpl w:val="9B00CB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5"/>
  </w:num>
  <w:num w:numId="5">
    <w:abstractNumId w:val="9"/>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13"/>
  </w:num>
  <w:num w:numId="11">
    <w:abstractNumId w:val="8"/>
  </w:num>
  <w:num w:numId="12">
    <w:abstractNumId w:val="18"/>
  </w:num>
  <w:num w:numId="13">
    <w:abstractNumId w:val="0"/>
  </w:num>
  <w:num w:numId="14">
    <w:abstractNumId w:val="1"/>
  </w:num>
  <w:num w:numId="15">
    <w:abstractNumId w:val="14"/>
  </w:num>
  <w:num w:numId="16">
    <w:abstractNumId w:val="7"/>
  </w:num>
  <w:num w:numId="17">
    <w:abstractNumId w:val="6"/>
  </w:num>
  <w:num w:numId="18">
    <w:abstractNumId w:val="15"/>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doNotHyphenateCaps/>
  <w:defaultTableStyle w:val="bodytext"/>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DA"/>
    <w:rsid w:val="000007C9"/>
    <w:rsid w:val="00001106"/>
    <w:rsid w:val="00003049"/>
    <w:rsid w:val="000033CB"/>
    <w:rsid w:val="00003629"/>
    <w:rsid w:val="000100BC"/>
    <w:rsid w:val="000116CE"/>
    <w:rsid w:val="000139C0"/>
    <w:rsid w:val="00015B98"/>
    <w:rsid w:val="00016CC3"/>
    <w:rsid w:val="00023842"/>
    <w:rsid w:val="00024C22"/>
    <w:rsid w:val="00025F4C"/>
    <w:rsid w:val="00027C0F"/>
    <w:rsid w:val="00030358"/>
    <w:rsid w:val="00032459"/>
    <w:rsid w:val="00032E1C"/>
    <w:rsid w:val="0003590C"/>
    <w:rsid w:val="00037F12"/>
    <w:rsid w:val="00042B1F"/>
    <w:rsid w:val="00045B5C"/>
    <w:rsid w:val="000525D6"/>
    <w:rsid w:val="00057C9B"/>
    <w:rsid w:val="00063F8E"/>
    <w:rsid w:val="00067FF5"/>
    <w:rsid w:val="0007404E"/>
    <w:rsid w:val="00075DA7"/>
    <w:rsid w:val="00076771"/>
    <w:rsid w:val="00076D9B"/>
    <w:rsid w:val="00081DE2"/>
    <w:rsid w:val="000835ED"/>
    <w:rsid w:val="00087380"/>
    <w:rsid w:val="00090280"/>
    <w:rsid w:val="0009392F"/>
    <w:rsid w:val="00095F85"/>
    <w:rsid w:val="0009751D"/>
    <w:rsid w:val="000A2299"/>
    <w:rsid w:val="000A3464"/>
    <w:rsid w:val="000A4EFE"/>
    <w:rsid w:val="000A51D0"/>
    <w:rsid w:val="000A7DA9"/>
    <w:rsid w:val="000B20A2"/>
    <w:rsid w:val="000B6AB9"/>
    <w:rsid w:val="000B6C6E"/>
    <w:rsid w:val="000C0CDB"/>
    <w:rsid w:val="000C27C6"/>
    <w:rsid w:val="000C59B5"/>
    <w:rsid w:val="000C5C00"/>
    <w:rsid w:val="000C66F7"/>
    <w:rsid w:val="000C6812"/>
    <w:rsid w:val="000C7C3E"/>
    <w:rsid w:val="000D27BE"/>
    <w:rsid w:val="000D2C25"/>
    <w:rsid w:val="000D2E0C"/>
    <w:rsid w:val="000D47F3"/>
    <w:rsid w:val="000D718F"/>
    <w:rsid w:val="000E13B6"/>
    <w:rsid w:val="000E3D9B"/>
    <w:rsid w:val="000E61A0"/>
    <w:rsid w:val="000F6745"/>
    <w:rsid w:val="001002FC"/>
    <w:rsid w:val="00101104"/>
    <w:rsid w:val="0010754F"/>
    <w:rsid w:val="0011063B"/>
    <w:rsid w:val="00126412"/>
    <w:rsid w:val="00130CC2"/>
    <w:rsid w:val="00131E0E"/>
    <w:rsid w:val="001337D6"/>
    <w:rsid w:val="00137C19"/>
    <w:rsid w:val="00140F2F"/>
    <w:rsid w:val="0014120C"/>
    <w:rsid w:val="001415B4"/>
    <w:rsid w:val="00142783"/>
    <w:rsid w:val="00144E1F"/>
    <w:rsid w:val="00146830"/>
    <w:rsid w:val="00150754"/>
    <w:rsid w:val="00151F01"/>
    <w:rsid w:val="00151F0B"/>
    <w:rsid w:val="001520A2"/>
    <w:rsid w:val="001528C3"/>
    <w:rsid w:val="001542F7"/>
    <w:rsid w:val="00156BBB"/>
    <w:rsid w:val="0016044A"/>
    <w:rsid w:val="00161192"/>
    <w:rsid w:val="00161BF9"/>
    <w:rsid w:val="00164784"/>
    <w:rsid w:val="00165213"/>
    <w:rsid w:val="001709F6"/>
    <w:rsid w:val="00172A14"/>
    <w:rsid w:val="00173134"/>
    <w:rsid w:val="00174908"/>
    <w:rsid w:val="001775FC"/>
    <w:rsid w:val="0018048C"/>
    <w:rsid w:val="00180B38"/>
    <w:rsid w:val="0018150C"/>
    <w:rsid w:val="00183B11"/>
    <w:rsid w:val="0018495D"/>
    <w:rsid w:val="00192711"/>
    <w:rsid w:val="00192DD9"/>
    <w:rsid w:val="0019454F"/>
    <w:rsid w:val="001949BF"/>
    <w:rsid w:val="001970B5"/>
    <w:rsid w:val="00197BC2"/>
    <w:rsid w:val="001A1368"/>
    <w:rsid w:val="001A2695"/>
    <w:rsid w:val="001A3676"/>
    <w:rsid w:val="001A496E"/>
    <w:rsid w:val="001A68F3"/>
    <w:rsid w:val="001A75CA"/>
    <w:rsid w:val="001B1104"/>
    <w:rsid w:val="001B2ACD"/>
    <w:rsid w:val="001B496A"/>
    <w:rsid w:val="001B662A"/>
    <w:rsid w:val="001D2AC1"/>
    <w:rsid w:val="001D3095"/>
    <w:rsid w:val="001D53C2"/>
    <w:rsid w:val="001D7366"/>
    <w:rsid w:val="001D7709"/>
    <w:rsid w:val="001D77BE"/>
    <w:rsid w:val="001F1524"/>
    <w:rsid w:val="001F252F"/>
    <w:rsid w:val="001F4627"/>
    <w:rsid w:val="001F4E00"/>
    <w:rsid w:val="001F5C65"/>
    <w:rsid w:val="001F63AB"/>
    <w:rsid w:val="001F755E"/>
    <w:rsid w:val="00200F5C"/>
    <w:rsid w:val="00204E6D"/>
    <w:rsid w:val="002058DA"/>
    <w:rsid w:val="002110AB"/>
    <w:rsid w:val="00211522"/>
    <w:rsid w:val="0021600E"/>
    <w:rsid w:val="00217095"/>
    <w:rsid w:val="00222379"/>
    <w:rsid w:val="00222A0C"/>
    <w:rsid w:val="00222A67"/>
    <w:rsid w:val="00222EA0"/>
    <w:rsid w:val="002236C5"/>
    <w:rsid w:val="002245FA"/>
    <w:rsid w:val="002310E7"/>
    <w:rsid w:val="0023143C"/>
    <w:rsid w:val="00231A91"/>
    <w:rsid w:val="0023259E"/>
    <w:rsid w:val="002329E2"/>
    <w:rsid w:val="00234C2A"/>
    <w:rsid w:val="002457C2"/>
    <w:rsid w:val="002467BB"/>
    <w:rsid w:val="00246DF5"/>
    <w:rsid w:val="00247BB5"/>
    <w:rsid w:val="002502EC"/>
    <w:rsid w:val="00252821"/>
    <w:rsid w:val="00257924"/>
    <w:rsid w:val="00262D1F"/>
    <w:rsid w:val="00263C2A"/>
    <w:rsid w:val="00264946"/>
    <w:rsid w:val="00266DA8"/>
    <w:rsid w:val="00270A35"/>
    <w:rsid w:val="00270E58"/>
    <w:rsid w:val="002727AC"/>
    <w:rsid w:val="00275718"/>
    <w:rsid w:val="00275CD1"/>
    <w:rsid w:val="00284353"/>
    <w:rsid w:val="00284D9C"/>
    <w:rsid w:val="00295A1B"/>
    <w:rsid w:val="00295D39"/>
    <w:rsid w:val="00297559"/>
    <w:rsid w:val="002A03C5"/>
    <w:rsid w:val="002A066A"/>
    <w:rsid w:val="002A4956"/>
    <w:rsid w:val="002B1093"/>
    <w:rsid w:val="002B6E4E"/>
    <w:rsid w:val="002B7664"/>
    <w:rsid w:val="002B7712"/>
    <w:rsid w:val="002B7E54"/>
    <w:rsid w:val="002C0707"/>
    <w:rsid w:val="002C332D"/>
    <w:rsid w:val="002C47F7"/>
    <w:rsid w:val="002C4940"/>
    <w:rsid w:val="002C5FDF"/>
    <w:rsid w:val="002D062B"/>
    <w:rsid w:val="002D4335"/>
    <w:rsid w:val="002D4E1D"/>
    <w:rsid w:val="002D5581"/>
    <w:rsid w:val="002E0CA1"/>
    <w:rsid w:val="002E2821"/>
    <w:rsid w:val="002E2ECF"/>
    <w:rsid w:val="002E345E"/>
    <w:rsid w:val="002E4FA2"/>
    <w:rsid w:val="002E655B"/>
    <w:rsid w:val="002E684B"/>
    <w:rsid w:val="002E76CB"/>
    <w:rsid w:val="002F12BD"/>
    <w:rsid w:val="002F2404"/>
    <w:rsid w:val="002F680F"/>
    <w:rsid w:val="002F7446"/>
    <w:rsid w:val="003045C9"/>
    <w:rsid w:val="00312284"/>
    <w:rsid w:val="0031418A"/>
    <w:rsid w:val="003164F7"/>
    <w:rsid w:val="00320CD9"/>
    <w:rsid w:val="00321139"/>
    <w:rsid w:val="003243C5"/>
    <w:rsid w:val="00325446"/>
    <w:rsid w:val="0033067E"/>
    <w:rsid w:val="00333FEF"/>
    <w:rsid w:val="00337785"/>
    <w:rsid w:val="00340995"/>
    <w:rsid w:val="00340FAE"/>
    <w:rsid w:val="00341582"/>
    <w:rsid w:val="00345161"/>
    <w:rsid w:val="003509DA"/>
    <w:rsid w:val="00352313"/>
    <w:rsid w:val="0035661B"/>
    <w:rsid w:val="0036128D"/>
    <w:rsid w:val="0036279F"/>
    <w:rsid w:val="00365B8F"/>
    <w:rsid w:val="00365BFC"/>
    <w:rsid w:val="00366CB9"/>
    <w:rsid w:val="00371CE9"/>
    <w:rsid w:val="003725AD"/>
    <w:rsid w:val="00374D14"/>
    <w:rsid w:val="00376629"/>
    <w:rsid w:val="0037726C"/>
    <w:rsid w:val="00380869"/>
    <w:rsid w:val="0038230D"/>
    <w:rsid w:val="00384E18"/>
    <w:rsid w:val="00385715"/>
    <w:rsid w:val="0038793E"/>
    <w:rsid w:val="003925EE"/>
    <w:rsid w:val="003937F5"/>
    <w:rsid w:val="00394E80"/>
    <w:rsid w:val="003964C0"/>
    <w:rsid w:val="00396762"/>
    <w:rsid w:val="003A0383"/>
    <w:rsid w:val="003A06EA"/>
    <w:rsid w:val="003A0718"/>
    <w:rsid w:val="003A0862"/>
    <w:rsid w:val="003A4E2A"/>
    <w:rsid w:val="003A755B"/>
    <w:rsid w:val="003B0D50"/>
    <w:rsid w:val="003B3422"/>
    <w:rsid w:val="003B3F69"/>
    <w:rsid w:val="003B607E"/>
    <w:rsid w:val="003B6311"/>
    <w:rsid w:val="003C2288"/>
    <w:rsid w:val="003C2594"/>
    <w:rsid w:val="003C3803"/>
    <w:rsid w:val="003C3BE0"/>
    <w:rsid w:val="003C42F1"/>
    <w:rsid w:val="003C47AE"/>
    <w:rsid w:val="003C7F88"/>
    <w:rsid w:val="003D09E9"/>
    <w:rsid w:val="003D210F"/>
    <w:rsid w:val="003D3F8F"/>
    <w:rsid w:val="003D4238"/>
    <w:rsid w:val="003D64D4"/>
    <w:rsid w:val="003D702A"/>
    <w:rsid w:val="003E1417"/>
    <w:rsid w:val="003E18E9"/>
    <w:rsid w:val="003E1FD7"/>
    <w:rsid w:val="003E42CD"/>
    <w:rsid w:val="003E5A6F"/>
    <w:rsid w:val="003E68B1"/>
    <w:rsid w:val="003E6F65"/>
    <w:rsid w:val="003E785A"/>
    <w:rsid w:val="00400311"/>
    <w:rsid w:val="00402819"/>
    <w:rsid w:val="004101E8"/>
    <w:rsid w:val="00413C1A"/>
    <w:rsid w:val="00415F38"/>
    <w:rsid w:val="00416B58"/>
    <w:rsid w:val="00416D0D"/>
    <w:rsid w:val="00416FCE"/>
    <w:rsid w:val="004233CE"/>
    <w:rsid w:val="0042728E"/>
    <w:rsid w:val="0043001A"/>
    <w:rsid w:val="0043675B"/>
    <w:rsid w:val="004367CC"/>
    <w:rsid w:val="0043682E"/>
    <w:rsid w:val="00441EDA"/>
    <w:rsid w:val="004507EB"/>
    <w:rsid w:val="0045489F"/>
    <w:rsid w:val="0045594A"/>
    <w:rsid w:val="00456512"/>
    <w:rsid w:val="00456CC2"/>
    <w:rsid w:val="00461A7C"/>
    <w:rsid w:val="00462136"/>
    <w:rsid w:val="0046316D"/>
    <w:rsid w:val="00465934"/>
    <w:rsid w:val="004708BF"/>
    <w:rsid w:val="0047230D"/>
    <w:rsid w:val="0047352B"/>
    <w:rsid w:val="00473AE7"/>
    <w:rsid w:val="00474271"/>
    <w:rsid w:val="004767E8"/>
    <w:rsid w:val="00477427"/>
    <w:rsid w:val="00481EAE"/>
    <w:rsid w:val="0048603F"/>
    <w:rsid w:val="00486785"/>
    <w:rsid w:val="0048705B"/>
    <w:rsid w:val="00487A58"/>
    <w:rsid w:val="00490255"/>
    <w:rsid w:val="00494FAF"/>
    <w:rsid w:val="004961A5"/>
    <w:rsid w:val="00496710"/>
    <w:rsid w:val="004A72ED"/>
    <w:rsid w:val="004B0350"/>
    <w:rsid w:val="004B0DA0"/>
    <w:rsid w:val="004B28D8"/>
    <w:rsid w:val="004B39FC"/>
    <w:rsid w:val="004B5636"/>
    <w:rsid w:val="004B693C"/>
    <w:rsid w:val="004B6D86"/>
    <w:rsid w:val="004B7AC4"/>
    <w:rsid w:val="004C3242"/>
    <w:rsid w:val="004C3265"/>
    <w:rsid w:val="004C4239"/>
    <w:rsid w:val="004C5181"/>
    <w:rsid w:val="004C6C72"/>
    <w:rsid w:val="004D1375"/>
    <w:rsid w:val="004D2C2E"/>
    <w:rsid w:val="004D3F1A"/>
    <w:rsid w:val="004D415D"/>
    <w:rsid w:val="004D5B60"/>
    <w:rsid w:val="004D5D58"/>
    <w:rsid w:val="004D67E5"/>
    <w:rsid w:val="004E135E"/>
    <w:rsid w:val="004E1823"/>
    <w:rsid w:val="004E1D3A"/>
    <w:rsid w:val="004E3576"/>
    <w:rsid w:val="004E425E"/>
    <w:rsid w:val="004E4D96"/>
    <w:rsid w:val="004E694C"/>
    <w:rsid w:val="004E70B0"/>
    <w:rsid w:val="004F336A"/>
    <w:rsid w:val="004F3456"/>
    <w:rsid w:val="004F3EFB"/>
    <w:rsid w:val="004F40C0"/>
    <w:rsid w:val="004F6186"/>
    <w:rsid w:val="00501FFB"/>
    <w:rsid w:val="00502F50"/>
    <w:rsid w:val="005041C9"/>
    <w:rsid w:val="00506D1D"/>
    <w:rsid w:val="00507B8F"/>
    <w:rsid w:val="005109AC"/>
    <w:rsid w:val="00511360"/>
    <w:rsid w:val="005211F4"/>
    <w:rsid w:val="00524B85"/>
    <w:rsid w:val="00530B16"/>
    <w:rsid w:val="00534500"/>
    <w:rsid w:val="00535154"/>
    <w:rsid w:val="005433BC"/>
    <w:rsid w:val="00543A79"/>
    <w:rsid w:val="00544DBF"/>
    <w:rsid w:val="00547278"/>
    <w:rsid w:val="00547F57"/>
    <w:rsid w:val="005519A5"/>
    <w:rsid w:val="0055242E"/>
    <w:rsid w:val="00552850"/>
    <w:rsid w:val="00552BF0"/>
    <w:rsid w:val="00554E6F"/>
    <w:rsid w:val="00556BA6"/>
    <w:rsid w:val="0056129C"/>
    <w:rsid w:val="005656BD"/>
    <w:rsid w:val="00570651"/>
    <w:rsid w:val="00571A16"/>
    <w:rsid w:val="00572156"/>
    <w:rsid w:val="00572295"/>
    <w:rsid w:val="00573217"/>
    <w:rsid w:val="0057391B"/>
    <w:rsid w:val="00573D3B"/>
    <w:rsid w:val="00574D29"/>
    <w:rsid w:val="00576A11"/>
    <w:rsid w:val="00576A23"/>
    <w:rsid w:val="005826DB"/>
    <w:rsid w:val="005831AA"/>
    <w:rsid w:val="005832D3"/>
    <w:rsid w:val="00584F7F"/>
    <w:rsid w:val="0058719C"/>
    <w:rsid w:val="005873AC"/>
    <w:rsid w:val="005879AF"/>
    <w:rsid w:val="005905E4"/>
    <w:rsid w:val="00596AF3"/>
    <w:rsid w:val="005A0258"/>
    <w:rsid w:val="005A1FE4"/>
    <w:rsid w:val="005A2694"/>
    <w:rsid w:val="005A2D43"/>
    <w:rsid w:val="005A453F"/>
    <w:rsid w:val="005A6C3F"/>
    <w:rsid w:val="005A794C"/>
    <w:rsid w:val="005B0C13"/>
    <w:rsid w:val="005B1DC8"/>
    <w:rsid w:val="005B5D9A"/>
    <w:rsid w:val="005B74B0"/>
    <w:rsid w:val="005C1189"/>
    <w:rsid w:val="005C3282"/>
    <w:rsid w:val="005C61EA"/>
    <w:rsid w:val="005C762C"/>
    <w:rsid w:val="005D0A81"/>
    <w:rsid w:val="005D1051"/>
    <w:rsid w:val="005D2AA4"/>
    <w:rsid w:val="005D4F84"/>
    <w:rsid w:val="005D52AA"/>
    <w:rsid w:val="005D728A"/>
    <w:rsid w:val="005E0BAE"/>
    <w:rsid w:val="005E31D4"/>
    <w:rsid w:val="005E3A83"/>
    <w:rsid w:val="005E4F91"/>
    <w:rsid w:val="005E514F"/>
    <w:rsid w:val="005F09FF"/>
    <w:rsid w:val="005F0F9D"/>
    <w:rsid w:val="005F1D89"/>
    <w:rsid w:val="005F20FA"/>
    <w:rsid w:val="005F289E"/>
    <w:rsid w:val="005F2E22"/>
    <w:rsid w:val="005F6A4E"/>
    <w:rsid w:val="00600F1D"/>
    <w:rsid w:val="00604F71"/>
    <w:rsid w:val="00605200"/>
    <w:rsid w:val="00605BF3"/>
    <w:rsid w:val="00607AEC"/>
    <w:rsid w:val="00607EFE"/>
    <w:rsid w:val="006121F2"/>
    <w:rsid w:val="00612F70"/>
    <w:rsid w:val="00614CBD"/>
    <w:rsid w:val="0061675B"/>
    <w:rsid w:val="00625D93"/>
    <w:rsid w:val="0062767D"/>
    <w:rsid w:val="00630C7C"/>
    <w:rsid w:val="0063120C"/>
    <w:rsid w:val="0063728E"/>
    <w:rsid w:val="006406E0"/>
    <w:rsid w:val="006448C9"/>
    <w:rsid w:val="00651B4D"/>
    <w:rsid w:val="00651EE2"/>
    <w:rsid w:val="00653651"/>
    <w:rsid w:val="006560A5"/>
    <w:rsid w:val="0065652C"/>
    <w:rsid w:val="00656AA4"/>
    <w:rsid w:val="00660358"/>
    <w:rsid w:val="006615F0"/>
    <w:rsid w:val="006619C5"/>
    <w:rsid w:val="00663FCC"/>
    <w:rsid w:val="00665085"/>
    <w:rsid w:val="00674FC6"/>
    <w:rsid w:val="0067707A"/>
    <w:rsid w:val="00677CD0"/>
    <w:rsid w:val="00677F7F"/>
    <w:rsid w:val="00681C24"/>
    <w:rsid w:val="00685D60"/>
    <w:rsid w:val="0068730E"/>
    <w:rsid w:val="00690C70"/>
    <w:rsid w:val="0069391D"/>
    <w:rsid w:val="00693D6B"/>
    <w:rsid w:val="00696DB6"/>
    <w:rsid w:val="006A0CAC"/>
    <w:rsid w:val="006A13A3"/>
    <w:rsid w:val="006A3BAA"/>
    <w:rsid w:val="006A490A"/>
    <w:rsid w:val="006B1FE6"/>
    <w:rsid w:val="006B2A10"/>
    <w:rsid w:val="006B36A9"/>
    <w:rsid w:val="006B60EE"/>
    <w:rsid w:val="006B7F78"/>
    <w:rsid w:val="006C0DD0"/>
    <w:rsid w:val="006C1C95"/>
    <w:rsid w:val="006C29EA"/>
    <w:rsid w:val="006C3800"/>
    <w:rsid w:val="006C4915"/>
    <w:rsid w:val="006D01F4"/>
    <w:rsid w:val="006D102C"/>
    <w:rsid w:val="006D2D77"/>
    <w:rsid w:val="006D3C1A"/>
    <w:rsid w:val="006D4C38"/>
    <w:rsid w:val="006D59C7"/>
    <w:rsid w:val="006D5F2C"/>
    <w:rsid w:val="006E0D66"/>
    <w:rsid w:val="006E1A8F"/>
    <w:rsid w:val="006E2655"/>
    <w:rsid w:val="006E5DEB"/>
    <w:rsid w:val="006E5E18"/>
    <w:rsid w:val="006F1F7F"/>
    <w:rsid w:val="006F3256"/>
    <w:rsid w:val="006F7526"/>
    <w:rsid w:val="007030C3"/>
    <w:rsid w:val="007050AA"/>
    <w:rsid w:val="00711240"/>
    <w:rsid w:val="00713F35"/>
    <w:rsid w:val="007150C8"/>
    <w:rsid w:val="007157F0"/>
    <w:rsid w:val="00720623"/>
    <w:rsid w:val="007216A8"/>
    <w:rsid w:val="0072224F"/>
    <w:rsid w:val="00732AD5"/>
    <w:rsid w:val="0073751F"/>
    <w:rsid w:val="007404B2"/>
    <w:rsid w:val="00741276"/>
    <w:rsid w:val="00741E4F"/>
    <w:rsid w:val="00746EA4"/>
    <w:rsid w:val="00747033"/>
    <w:rsid w:val="00747B33"/>
    <w:rsid w:val="007518F3"/>
    <w:rsid w:val="0075254C"/>
    <w:rsid w:val="00755DC2"/>
    <w:rsid w:val="00755FC6"/>
    <w:rsid w:val="0075745A"/>
    <w:rsid w:val="00760DBA"/>
    <w:rsid w:val="007618DF"/>
    <w:rsid w:val="007630A5"/>
    <w:rsid w:val="00767E19"/>
    <w:rsid w:val="00780F66"/>
    <w:rsid w:val="0078126D"/>
    <w:rsid w:val="00781E4A"/>
    <w:rsid w:val="00782F01"/>
    <w:rsid w:val="007851DF"/>
    <w:rsid w:val="007860F1"/>
    <w:rsid w:val="007862FE"/>
    <w:rsid w:val="00792F28"/>
    <w:rsid w:val="0079314F"/>
    <w:rsid w:val="007936AE"/>
    <w:rsid w:val="007936F4"/>
    <w:rsid w:val="00797640"/>
    <w:rsid w:val="007A0339"/>
    <w:rsid w:val="007A1655"/>
    <w:rsid w:val="007A342C"/>
    <w:rsid w:val="007A5B0C"/>
    <w:rsid w:val="007A7C82"/>
    <w:rsid w:val="007B133E"/>
    <w:rsid w:val="007B19B0"/>
    <w:rsid w:val="007B2901"/>
    <w:rsid w:val="007B2A4E"/>
    <w:rsid w:val="007B5D9F"/>
    <w:rsid w:val="007B69CA"/>
    <w:rsid w:val="007B7F31"/>
    <w:rsid w:val="007C07C5"/>
    <w:rsid w:val="007C0D72"/>
    <w:rsid w:val="007C2FE3"/>
    <w:rsid w:val="007C3B5B"/>
    <w:rsid w:val="007C3D8B"/>
    <w:rsid w:val="007C60E4"/>
    <w:rsid w:val="007C6F96"/>
    <w:rsid w:val="007C726D"/>
    <w:rsid w:val="007C7F18"/>
    <w:rsid w:val="007D13D1"/>
    <w:rsid w:val="007D240E"/>
    <w:rsid w:val="007D4174"/>
    <w:rsid w:val="007D52DA"/>
    <w:rsid w:val="007D698D"/>
    <w:rsid w:val="007E34F5"/>
    <w:rsid w:val="007E3776"/>
    <w:rsid w:val="007E54AD"/>
    <w:rsid w:val="007E619A"/>
    <w:rsid w:val="007E6EF0"/>
    <w:rsid w:val="007F21E0"/>
    <w:rsid w:val="007F278B"/>
    <w:rsid w:val="007F408C"/>
    <w:rsid w:val="007F4ACA"/>
    <w:rsid w:val="007F6A1B"/>
    <w:rsid w:val="007F73AB"/>
    <w:rsid w:val="007F76AE"/>
    <w:rsid w:val="007F79DF"/>
    <w:rsid w:val="007F7A8A"/>
    <w:rsid w:val="00801B2B"/>
    <w:rsid w:val="00802B93"/>
    <w:rsid w:val="00807A12"/>
    <w:rsid w:val="0081061C"/>
    <w:rsid w:val="008115F6"/>
    <w:rsid w:val="00811E58"/>
    <w:rsid w:val="008163D0"/>
    <w:rsid w:val="0081746F"/>
    <w:rsid w:val="00821861"/>
    <w:rsid w:val="00821996"/>
    <w:rsid w:val="008249D5"/>
    <w:rsid w:val="00824DF5"/>
    <w:rsid w:val="00825C35"/>
    <w:rsid w:val="00825E19"/>
    <w:rsid w:val="00830A1B"/>
    <w:rsid w:val="00834352"/>
    <w:rsid w:val="00835AC3"/>
    <w:rsid w:val="008406E5"/>
    <w:rsid w:val="00843191"/>
    <w:rsid w:val="00843B45"/>
    <w:rsid w:val="0084420A"/>
    <w:rsid w:val="00846C13"/>
    <w:rsid w:val="008475F0"/>
    <w:rsid w:val="00850224"/>
    <w:rsid w:val="008513BA"/>
    <w:rsid w:val="0085514A"/>
    <w:rsid w:val="00861104"/>
    <w:rsid w:val="008627BC"/>
    <w:rsid w:val="00863179"/>
    <w:rsid w:val="008639AF"/>
    <w:rsid w:val="00866FB9"/>
    <w:rsid w:val="008673DA"/>
    <w:rsid w:val="008727CA"/>
    <w:rsid w:val="00873461"/>
    <w:rsid w:val="008801BE"/>
    <w:rsid w:val="0088385A"/>
    <w:rsid w:val="00883F19"/>
    <w:rsid w:val="00884EC6"/>
    <w:rsid w:val="00885ACB"/>
    <w:rsid w:val="00885CC0"/>
    <w:rsid w:val="0088619B"/>
    <w:rsid w:val="00887130"/>
    <w:rsid w:val="00887785"/>
    <w:rsid w:val="00887A64"/>
    <w:rsid w:val="00890FE0"/>
    <w:rsid w:val="00892CCB"/>
    <w:rsid w:val="00895EB8"/>
    <w:rsid w:val="00896B79"/>
    <w:rsid w:val="008A10B3"/>
    <w:rsid w:val="008A3363"/>
    <w:rsid w:val="008A33C6"/>
    <w:rsid w:val="008A3C5F"/>
    <w:rsid w:val="008A62CA"/>
    <w:rsid w:val="008A75B4"/>
    <w:rsid w:val="008A7816"/>
    <w:rsid w:val="008B06A8"/>
    <w:rsid w:val="008B12B6"/>
    <w:rsid w:val="008B238C"/>
    <w:rsid w:val="008B2D44"/>
    <w:rsid w:val="008B3CCD"/>
    <w:rsid w:val="008B4385"/>
    <w:rsid w:val="008B60C9"/>
    <w:rsid w:val="008B74A8"/>
    <w:rsid w:val="008C58C8"/>
    <w:rsid w:val="008C7842"/>
    <w:rsid w:val="008D2400"/>
    <w:rsid w:val="008D3374"/>
    <w:rsid w:val="008D438B"/>
    <w:rsid w:val="008D5A2E"/>
    <w:rsid w:val="008E47FC"/>
    <w:rsid w:val="008E48A2"/>
    <w:rsid w:val="008E5172"/>
    <w:rsid w:val="008E527F"/>
    <w:rsid w:val="008E549F"/>
    <w:rsid w:val="008E6EFC"/>
    <w:rsid w:val="008F1E07"/>
    <w:rsid w:val="008F226E"/>
    <w:rsid w:val="008F6253"/>
    <w:rsid w:val="00905AE0"/>
    <w:rsid w:val="009064B2"/>
    <w:rsid w:val="009078FF"/>
    <w:rsid w:val="009107CF"/>
    <w:rsid w:val="009119FC"/>
    <w:rsid w:val="0091759B"/>
    <w:rsid w:val="00920CBC"/>
    <w:rsid w:val="00923390"/>
    <w:rsid w:val="00923878"/>
    <w:rsid w:val="00930539"/>
    <w:rsid w:val="00931715"/>
    <w:rsid w:val="00931D83"/>
    <w:rsid w:val="00935C99"/>
    <w:rsid w:val="00936EFF"/>
    <w:rsid w:val="009400C2"/>
    <w:rsid w:val="0094082E"/>
    <w:rsid w:val="00940A6D"/>
    <w:rsid w:val="009423DA"/>
    <w:rsid w:val="0094316E"/>
    <w:rsid w:val="009437F9"/>
    <w:rsid w:val="00947080"/>
    <w:rsid w:val="00950859"/>
    <w:rsid w:val="0095089B"/>
    <w:rsid w:val="00951935"/>
    <w:rsid w:val="00951ACB"/>
    <w:rsid w:val="00954C28"/>
    <w:rsid w:val="0096424B"/>
    <w:rsid w:val="00964A5C"/>
    <w:rsid w:val="00965CA7"/>
    <w:rsid w:val="00972D6E"/>
    <w:rsid w:val="00973114"/>
    <w:rsid w:val="00975C10"/>
    <w:rsid w:val="00975C2E"/>
    <w:rsid w:val="00977FEF"/>
    <w:rsid w:val="009806A6"/>
    <w:rsid w:val="009829AC"/>
    <w:rsid w:val="00983319"/>
    <w:rsid w:val="00987C15"/>
    <w:rsid w:val="00990CF2"/>
    <w:rsid w:val="009962B6"/>
    <w:rsid w:val="009A085C"/>
    <w:rsid w:val="009A0F2B"/>
    <w:rsid w:val="009A1CDB"/>
    <w:rsid w:val="009A6FE2"/>
    <w:rsid w:val="009B2469"/>
    <w:rsid w:val="009B6AD2"/>
    <w:rsid w:val="009B7503"/>
    <w:rsid w:val="009B7865"/>
    <w:rsid w:val="009C0B42"/>
    <w:rsid w:val="009C0F47"/>
    <w:rsid w:val="009C2C61"/>
    <w:rsid w:val="009C4088"/>
    <w:rsid w:val="009C7419"/>
    <w:rsid w:val="009D065B"/>
    <w:rsid w:val="009D701E"/>
    <w:rsid w:val="009D7550"/>
    <w:rsid w:val="009E2536"/>
    <w:rsid w:val="009E4E0A"/>
    <w:rsid w:val="009E6977"/>
    <w:rsid w:val="009E6D2F"/>
    <w:rsid w:val="009F066A"/>
    <w:rsid w:val="009F322C"/>
    <w:rsid w:val="009F61ED"/>
    <w:rsid w:val="009F6DD4"/>
    <w:rsid w:val="00A0018B"/>
    <w:rsid w:val="00A00B21"/>
    <w:rsid w:val="00A015D4"/>
    <w:rsid w:val="00A04916"/>
    <w:rsid w:val="00A06EAE"/>
    <w:rsid w:val="00A07947"/>
    <w:rsid w:val="00A1066A"/>
    <w:rsid w:val="00A1234C"/>
    <w:rsid w:val="00A151C1"/>
    <w:rsid w:val="00A242A2"/>
    <w:rsid w:val="00A24AEE"/>
    <w:rsid w:val="00A24C89"/>
    <w:rsid w:val="00A27D3B"/>
    <w:rsid w:val="00A304A7"/>
    <w:rsid w:val="00A32C08"/>
    <w:rsid w:val="00A373C6"/>
    <w:rsid w:val="00A37D80"/>
    <w:rsid w:val="00A43CB7"/>
    <w:rsid w:val="00A45730"/>
    <w:rsid w:val="00A46EB7"/>
    <w:rsid w:val="00A470D5"/>
    <w:rsid w:val="00A52DF2"/>
    <w:rsid w:val="00A53C94"/>
    <w:rsid w:val="00A53FD5"/>
    <w:rsid w:val="00A54983"/>
    <w:rsid w:val="00A56904"/>
    <w:rsid w:val="00A6017C"/>
    <w:rsid w:val="00A60FB7"/>
    <w:rsid w:val="00A62ACF"/>
    <w:rsid w:val="00A64D91"/>
    <w:rsid w:val="00A655D4"/>
    <w:rsid w:val="00A66D2A"/>
    <w:rsid w:val="00A70B4F"/>
    <w:rsid w:val="00A72366"/>
    <w:rsid w:val="00A72C3C"/>
    <w:rsid w:val="00A73876"/>
    <w:rsid w:val="00A73C71"/>
    <w:rsid w:val="00A741BF"/>
    <w:rsid w:val="00A747AF"/>
    <w:rsid w:val="00A7497B"/>
    <w:rsid w:val="00A817B0"/>
    <w:rsid w:val="00A82C2A"/>
    <w:rsid w:val="00A87594"/>
    <w:rsid w:val="00A91247"/>
    <w:rsid w:val="00A95E83"/>
    <w:rsid w:val="00AA2842"/>
    <w:rsid w:val="00AA582D"/>
    <w:rsid w:val="00AA6259"/>
    <w:rsid w:val="00AA7073"/>
    <w:rsid w:val="00AB2250"/>
    <w:rsid w:val="00AB2754"/>
    <w:rsid w:val="00AB2B5C"/>
    <w:rsid w:val="00AB47B8"/>
    <w:rsid w:val="00AC0A8A"/>
    <w:rsid w:val="00AC0D42"/>
    <w:rsid w:val="00AC2FD0"/>
    <w:rsid w:val="00AC4160"/>
    <w:rsid w:val="00AC4409"/>
    <w:rsid w:val="00AC6B46"/>
    <w:rsid w:val="00AC713E"/>
    <w:rsid w:val="00AD3C45"/>
    <w:rsid w:val="00AD4FEF"/>
    <w:rsid w:val="00AD63C4"/>
    <w:rsid w:val="00AD6A81"/>
    <w:rsid w:val="00AD7E6B"/>
    <w:rsid w:val="00AE1E88"/>
    <w:rsid w:val="00AE3E54"/>
    <w:rsid w:val="00AF7BFD"/>
    <w:rsid w:val="00B016D8"/>
    <w:rsid w:val="00B027A7"/>
    <w:rsid w:val="00B0334A"/>
    <w:rsid w:val="00B03F17"/>
    <w:rsid w:val="00B10A2F"/>
    <w:rsid w:val="00B1180D"/>
    <w:rsid w:val="00B11F02"/>
    <w:rsid w:val="00B12890"/>
    <w:rsid w:val="00B15F11"/>
    <w:rsid w:val="00B1684D"/>
    <w:rsid w:val="00B216BE"/>
    <w:rsid w:val="00B21A97"/>
    <w:rsid w:val="00B21C1F"/>
    <w:rsid w:val="00B23050"/>
    <w:rsid w:val="00B23FB6"/>
    <w:rsid w:val="00B26203"/>
    <w:rsid w:val="00B310A3"/>
    <w:rsid w:val="00B31E04"/>
    <w:rsid w:val="00B32AE6"/>
    <w:rsid w:val="00B336FF"/>
    <w:rsid w:val="00B34A4C"/>
    <w:rsid w:val="00B34C9D"/>
    <w:rsid w:val="00B3624C"/>
    <w:rsid w:val="00B37D97"/>
    <w:rsid w:val="00B468D7"/>
    <w:rsid w:val="00B46EEE"/>
    <w:rsid w:val="00B501ED"/>
    <w:rsid w:val="00B52133"/>
    <w:rsid w:val="00B52930"/>
    <w:rsid w:val="00B54EC2"/>
    <w:rsid w:val="00B645D0"/>
    <w:rsid w:val="00B66EEF"/>
    <w:rsid w:val="00B7262B"/>
    <w:rsid w:val="00B73D54"/>
    <w:rsid w:val="00B75DA1"/>
    <w:rsid w:val="00B75EBC"/>
    <w:rsid w:val="00B80413"/>
    <w:rsid w:val="00B833BB"/>
    <w:rsid w:val="00B87CFD"/>
    <w:rsid w:val="00B90EE5"/>
    <w:rsid w:val="00BA2CBE"/>
    <w:rsid w:val="00BA314F"/>
    <w:rsid w:val="00BA5F54"/>
    <w:rsid w:val="00BB132C"/>
    <w:rsid w:val="00BB3B2F"/>
    <w:rsid w:val="00BB3EA9"/>
    <w:rsid w:val="00BB44F7"/>
    <w:rsid w:val="00BB7835"/>
    <w:rsid w:val="00BC162A"/>
    <w:rsid w:val="00BC3435"/>
    <w:rsid w:val="00BC71BD"/>
    <w:rsid w:val="00BC7C73"/>
    <w:rsid w:val="00BD00D5"/>
    <w:rsid w:val="00BD1E76"/>
    <w:rsid w:val="00BD4EAB"/>
    <w:rsid w:val="00BD62C7"/>
    <w:rsid w:val="00BE4C9B"/>
    <w:rsid w:val="00BF1B98"/>
    <w:rsid w:val="00BF598A"/>
    <w:rsid w:val="00C032D5"/>
    <w:rsid w:val="00C05AE9"/>
    <w:rsid w:val="00C10618"/>
    <w:rsid w:val="00C110E7"/>
    <w:rsid w:val="00C13FA3"/>
    <w:rsid w:val="00C168BC"/>
    <w:rsid w:val="00C17196"/>
    <w:rsid w:val="00C222C3"/>
    <w:rsid w:val="00C23CA0"/>
    <w:rsid w:val="00C23D7A"/>
    <w:rsid w:val="00C27201"/>
    <w:rsid w:val="00C27574"/>
    <w:rsid w:val="00C30CB5"/>
    <w:rsid w:val="00C30EDD"/>
    <w:rsid w:val="00C31472"/>
    <w:rsid w:val="00C3148B"/>
    <w:rsid w:val="00C31659"/>
    <w:rsid w:val="00C3177A"/>
    <w:rsid w:val="00C3691B"/>
    <w:rsid w:val="00C36F20"/>
    <w:rsid w:val="00C40FB4"/>
    <w:rsid w:val="00C41E02"/>
    <w:rsid w:val="00C430F5"/>
    <w:rsid w:val="00C4316E"/>
    <w:rsid w:val="00C45B09"/>
    <w:rsid w:val="00C45CCD"/>
    <w:rsid w:val="00C514A4"/>
    <w:rsid w:val="00C51BBF"/>
    <w:rsid w:val="00C6064C"/>
    <w:rsid w:val="00C614C3"/>
    <w:rsid w:val="00C626EF"/>
    <w:rsid w:val="00C63BCD"/>
    <w:rsid w:val="00C65CCC"/>
    <w:rsid w:val="00C7193A"/>
    <w:rsid w:val="00C72724"/>
    <w:rsid w:val="00C75325"/>
    <w:rsid w:val="00C7628C"/>
    <w:rsid w:val="00C80D87"/>
    <w:rsid w:val="00C8176E"/>
    <w:rsid w:val="00C90F86"/>
    <w:rsid w:val="00C91938"/>
    <w:rsid w:val="00C94BA0"/>
    <w:rsid w:val="00C95BDE"/>
    <w:rsid w:val="00C96028"/>
    <w:rsid w:val="00C965A6"/>
    <w:rsid w:val="00CA30D7"/>
    <w:rsid w:val="00CA7FBC"/>
    <w:rsid w:val="00CB0F39"/>
    <w:rsid w:val="00CB122C"/>
    <w:rsid w:val="00CB2418"/>
    <w:rsid w:val="00CB2DEE"/>
    <w:rsid w:val="00CB4265"/>
    <w:rsid w:val="00CB49B4"/>
    <w:rsid w:val="00CC00FB"/>
    <w:rsid w:val="00CC6182"/>
    <w:rsid w:val="00CC6E39"/>
    <w:rsid w:val="00CD2E2F"/>
    <w:rsid w:val="00CE2319"/>
    <w:rsid w:val="00CE6CEA"/>
    <w:rsid w:val="00CF4AFD"/>
    <w:rsid w:val="00CF571A"/>
    <w:rsid w:val="00CF5BA1"/>
    <w:rsid w:val="00D0108D"/>
    <w:rsid w:val="00D01A70"/>
    <w:rsid w:val="00D02957"/>
    <w:rsid w:val="00D03084"/>
    <w:rsid w:val="00D030DB"/>
    <w:rsid w:val="00D0337E"/>
    <w:rsid w:val="00D0382E"/>
    <w:rsid w:val="00D1045C"/>
    <w:rsid w:val="00D11990"/>
    <w:rsid w:val="00D11F2C"/>
    <w:rsid w:val="00D14C76"/>
    <w:rsid w:val="00D1507C"/>
    <w:rsid w:val="00D17E2B"/>
    <w:rsid w:val="00D201C3"/>
    <w:rsid w:val="00D20874"/>
    <w:rsid w:val="00D21977"/>
    <w:rsid w:val="00D26410"/>
    <w:rsid w:val="00D27233"/>
    <w:rsid w:val="00D35649"/>
    <w:rsid w:val="00D35F42"/>
    <w:rsid w:val="00D40209"/>
    <w:rsid w:val="00D4032C"/>
    <w:rsid w:val="00D437B9"/>
    <w:rsid w:val="00D4534F"/>
    <w:rsid w:val="00D504F5"/>
    <w:rsid w:val="00D525CD"/>
    <w:rsid w:val="00D5354D"/>
    <w:rsid w:val="00D557CA"/>
    <w:rsid w:val="00D57D51"/>
    <w:rsid w:val="00D627B0"/>
    <w:rsid w:val="00D637DE"/>
    <w:rsid w:val="00D64EB7"/>
    <w:rsid w:val="00D654E7"/>
    <w:rsid w:val="00D665F3"/>
    <w:rsid w:val="00D67E6C"/>
    <w:rsid w:val="00D721A0"/>
    <w:rsid w:val="00D7429B"/>
    <w:rsid w:val="00D7662E"/>
    <w:rsid w:val="00D76BEB"/>
    <w:rsid w:val="00D77AE1"/>
    <w:rsid w:val="00D80381"/>
    <w:rsid w:val="00D80AF2"/>
    <w:rsid w:val="00D81F2A"/>
    <w:rsid w:val="00D8500B"/>
    <w:rsid w:val="00D86056"/>
    <w:rsid w:val="00D871B9"/>
    <w:rsid w:val="00D90371"/>
    <w:rsid w:val="00D92038"/>
    <w:rsid w:val="00D9409D"/>
    <w:rsid w:val="00D96AE1"/>
    <w:rsid w:val="00D97A85"/>
    <w:rsid w:val="00DA015F"/>
    <w:rsid w:val="00DA21E9"/>
    <w:rsid w:val="00DA30C7"/>
    <w:rsid w:val="00DA31C7"/>
    <w:rsid w:val="00DA3450"/>
    <w:rsid w:val="00DA5797"/>
    <w:rsid w:val="00DA7E1E"/>
    <w:rsid w:val="00DB0D79"/>
    <w:rsid w:val="00DB3C8E"/>
    <w:rsid w:val="00DB739F"/>
    <w:rsid w:val="00DC0A2B"/>
    <w:rsid w:val="00DC0D21"/>
    <w:rsid w:val="00DC33D3"/>
    <w:rsid w:val="00DC3D7A"/>
    <w:rsid w:val="00DC55EA"/>
    <w:rsid w:val="00DC7A47"/>
    <w:rsid w:val="00DC7B0F"/>
    <w:rsid w:val="00DD2E59"/>
    <w:rsid w:val="00DD4F6A"/>
    <w:rsid w:val="00DD56E8"/>
    <w:rsid w:val="00DE080A"/>
    <w:rsid w:val="00DE1F0D"/>
    <w:rsid w:val="00DE3B31"/>
    <w:rsid w:val="00DE73AF"/>
    <w:rsid w:val="00DF0755"/>
    <w:rsid w:val="00DF0CA4"/>
    <w:rsid w:val="00DF10B4"/>
    <w:rsid w:val="00DF2187"/>
    <w:rsid w:val="00DF380E"/>
    <w:rsid w:val="00E044DE"/>
    <w:rsid w:val="00E05319"/>
    <w:rsid w:val="00E055B4"/>
    <w:rsid w:val="00E077DE"/>
    <w:rsid w:val="00E11772"/>
    <w:rsid w:val="00E1361B"/>
    <w:rsid w:val="00E2310C"/>
    <w:rsid w:val="00E234EA"/>
    <w:rsid w:val="00E24072"/>
    <w:rsid w:val="00E26178"/>
    <w:rsid w:val="00E304B7"/>
    <w:rsid w:val="00E318DC"/>
    <w:rsid w:val="00E31B5F"/>
    <w:rsid w:val="00E31C92"/>
    <w:rsid w:val="00E31E8B"/>
    <w:rsid w:val="00E333F6"/>
    <w:rsid w:val="00E3355E"/>
    <w:rsid w:val="00E35741"/>
    <w:rsid w:val="00E36029"/>
    <w:rsid w:val="00E37E39"/>
    <w:rsid w:val="00E37EBC"/>
    <w:rsid w:val="00E4582F"/>
    <w:rsid w:val="00E4791D"/>
    <w:rsid w:val="00E47E31"/>
    <w:rsid w:val="00E51F8D"/>
    <w:rsid w:val="00E52D75"/>
    <w:rsid w:val="00E530C6"/>
    <w:rsid w:val="00E5492F"/>
    <w:rsid w:val="00E55105"/>
    <w:rsid w:val="00E55D09"/>
    <w:rsid w:val="00E573A1"/>
    <w:rsid w:val="00E62F9A"/>
    <w:rsid w:val="00E738A1"/>
    <w:rsid w:val="00E754F6"/>
    <w:rsid w:val="00E758C3"/>
    <w:rsid w:val="00E77526"/>
    <w:rsid w:val="00E77CD1"/>
    <w:rsid w:val="00E81CE3"/>
    <w:rsid w:val="00E82CE4"/>
    <w:rsid w:val="00E84BA0"/>
    <w:rsid w:val="00E87FC4"/>
    <w:rsid w:val="00E94E0F"/>
    <w:rsid w:val="00EA15FF"/>
    <w:rsid w:val="00EA7E0A"/>
    <w:rsid w:val="00EB085C"/>
    <w:rsid w:val="00EB3CC9"/>
    <w:rsid w:val="00EB42E0"/>
    <w:rsid w:val="00EB72EA"/>
    <w:rsid w:val="00EB7FFE"/>
    <w:rsid w:val="00EC1E68"/>
    <w:rsid w:val="00EC208C"/>
    <w:rsid w:val="00EC4F42"/>
    <w:rsid w:val="00EC5323"/>
    <w:rsid w:val="00EC72B0"/>
    <w:rsid w:val="00ED4358"/>
    <w:rsid w:val="00ED44C9"/>
    <w:rsid w:val="00ED72F5"/>
    <w:rsid w:val="00EE4695"/>
    <w:rsid w:val="00EF316C"/>
    <w:rsid w:val="00EF3D33"/>
    <w:rsid w:val="00EF3EC9"/>
    <w:rsid w:val="00F02A9B"/>
    <w:rsid w:val="00F03861"/>
    <w:rsid w:val="00F03996"/>
    <w:rsid w:val="00F07964"/>
    <w:rsid w:val="00F13EBD"/>
    <w:rsid w:val="00F16C46"/>
    <w:rsid w:val="00F24C79"/>
    <w:rsid w:val="00F24FC4"/>
    <w:rsid w:val="00F26235"/>
    <w:rsid w:val="00F26DD6"/>
    <w:rsid w:val="00F3144E"/>
    <w:rsid w:val="00F32516"/>
    <w:rsid w:val="00F3337F"/>
    <w:rsid w:val="00F337A2"/>
    <w:rsid w:val="00F349F9"/>
    <w:rsid w:val="00F36FC2"/>
    <w:rsid w:val="00F40184"/>
    <w:rsid w:val="00F408BB"/>
    <w:rsid w:val="00F443DC"/>
    <w:rsid w:val="00F451F4"/>
    <w:rsid w:val="00F46C94"/>
    <w:rsid w:val="00F46E0A"/>
    <w:rsid w:val="00F47106"/>
    <w:rsid w:val="00F536B1"/>
    <w:rsid w:val="00F53BBF"/>
    <w:rsid w:val="00F54D42"/>
    <w:rsid w:val="00F55416"/>
    <w:rsid w:val="00F56068"/>
    <w:rsid w:val="00F60B28"/>
    <w:rsid w:val="00F61CA0"/>
    <w:rsid w:val="00F621F0"/>
    <w:rsid w:val="00F6338C"/>
    <w:rsid w:val="00F6513D"/>
    <w:rsid w:val="00F652CF"/>
    <w:rsid w:val="00F66046"/>
    <w:rsid w:val="00F6634A"/>
    <w:rsid w:val="00F67AC9"/>
    <w:rsid w:val="00F67D47"/>
    <w:rsid w:val="00F72FA9"/>
    <w:rsid w:val="00F77F1E"/>
    <w:rsid w:val="00F80980"/>
    <w:rsid w:val="00F82F51"/>
    <w:rsid w:val="00F871F3"/>
    <w:rsid w:val="00F91913"/>
    <w:rsid w:val="00F91976"/>
    <w:rsid w:val="00F949EA"/>
    <w:rsid w:val="00FA22CF"/>
    <w:rsid w:val="00FA56C9"/>
    <w:rsid w:val="00FB08BA"/>
    <w:rsid w:val="00FB0E98"/>
    <w:rsid w:val="00FB2A04"/>
    <w:rsid w:val="00FB6B0F"/>
    <w:rsid w:val="00FB6D69"/>
    <w:rsid w:val="00FC08D5"/>
    <w:rsid w:val="00FC2CC0"/>
    <w:rsid w:val="00FC5E89"/>
    <w:rsid w:val="00FD09AF"/>
    <w:rsid w:val="00FD0E15"/>
    <w:rsid w:val="00FD3364"/>
    <w:rsid w:val="00FD58CF"/>
    <w:rsid w:val="00FD5A0E"/>
    <w:rsid w:val="00FD62FD"/>
    <w:rsid w:val="00FD6F89"/>
    <w:rsid w:val="00FD7D22"/>
    <w:rsid w:val="00FE249D"/>
    <w:rsid w:val="00FE3E1F"/>
    <w:rsid w:val="00FE3E69"/>
    <w:rsid w:val="00FE49E9"/>
    <w:rsid w:val="00FE58B9"/>
    <w:rsid w:val="00FF12E6"/>
    <w:rsid w:val="00FF1A55"/>
    <w:rsid w:val="00FF2330"/>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235C9"/>
  <w15:docId w15:val="{107F6F12-BB9F-4819-B398-773F542F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Cambria"/>
        <w:sz w:val="22"/>
        <w:szCs w:val="22"/>
        <w:lang w:val="lt-LT"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85"/>
    <w:pPr>
      <w:spacing w:after="120"/>
      <w:jc w:val="both"/>
    </w:p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qFormat/>
    <w:rsid w:val="0062767D"/>
    <w:pPr>
      <w:keepNext/>
      <w:numPr>
        <w:numId w:val="15"/>
      </w:numPr>
      <w:spacing w:after="600"/>
      <w:outlineLvl w:val="0"/>
    </w:pPr>
    <w:rPr>
      <w:b/>
      <w:bCs/>
      <w:caps/>
      <w:color w:val="2D788C" w:themeColor="accent3" w:themeShade="BF"/>
      <w:sz w:val="24"/>
      <w:szCs w:val="40"/>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F36FC2"/>
    <w:pPr>
      <w:spacing w:before="360" w:after="240"/>
      <w:outlineLvl w:val="1"/>
    </w:pPr>
    <w:rPr>
      <w:b w:val="0"/>
      <w:bCs w:val="0"/>
      <w:color w:val="3CA1BC" w:themeColor="background2"/>
      <w:sz w:val="32"/>
      <w:szCs w:val="32"/>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qFormat/>
    <w:rsid w:val="00F36FC2"/>
    <w:pPr>
      <w:numPr>
        <w:ilvl w:val="2"/>
      </w:numPr>
      <w:spacing w:before="180" w:after="180"/>
      <w:outlineLvl w:val="2"/>
    </w:pPr>
    <w:rPr>
      <w:bCs/>
      <w:sz w:val="24"/>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locked/>
    <w:rsid w:val="0062767D"/>
    <w:rPr>
      <w:b/>
      <w:bCs/>
      <w:caps/>
      <w:color w:val="2D788C" w:themeColor="accent3" w:themeShade="BF"/>
      <w:sz w:val="24"/>
      <w:szCs w:val="40"/>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183B11"/>
    <w:rPr>
      <w:rFonts w:ascii="Avenir Next Regular" w:hAnsi="Avenir Next Regular" w:cs="Cambria"/>
      <w:color w:val="134753"/>
      <w:lang w:eastAsia="ja-JP"/>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locked/>
    <w:rsid w:val="00C13FA3"/>
    <w:rPr>
      <w:caps/>
      <w:color w:val="3CA1BC" w:themeColor="background2"/>
      <w:sz w:val="32"/>
      <w:szCs w:val="32"/>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locked/>
    <w:rsid w:val="00C13FA3"/>
    <w:rPr>
      <w:bCs/>
      <w:caps/>
      <w:color w:val="3CA1BC" w:themeColor="background2"/>
      <w:sz w:val="24"/>
      <w:szCs w:val="32"/>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basedOn w:val="Normal"/>
    <w:link w:val="FootnoteTextChar"/>
    <w:uiPriority w:val="99"/>
    <w:rsid w:val="00711240"/>
    <w:pPr>
      <w:spacing w:after="0"/>
    </w:pPr>
    <w:rPr>
      <w:sz w:val="20"/>
      <w:szCs w:val="20"/>
    </w:rPr>
  </w:style>
  <w:style w:type="character" w:customStyle="1" w:styleId="FootnoteTextChar">
    <w:name w:val="Footnote Text Char"/>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basedOn w:val="DefaultParagraphFont"/>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
    <w:basedOn w:val="Normal"/>
    <w:next w:val="Normal"/>
    <w:uiPriority w:val="99"/>
    <w:qFormat/>
    <w:rsid w:val="003B607E"/>
    <w:pPr>
      <w:keepNext/>
      <w:framePr w:w="9356" w:wrap="around" w:vAnchor="text" w:hAnchor="text" w:y="1"/>
      <w:spacing w:before="240"/>
      <w:jc w:val="left"/>
    </w:pPr>
    <w:rPr>
      <w:b/>
      <w:bCs/>
      <w:caps/>
      <w:color w:val="134753" w:themeColor="text2"/>
      <w:sz w:val="20"/>
      <w:szCs w:val="20"/>
    </w:rPr>
  </w:style>
  <w:style w:type="paragraph" w:styleId="TOC1">
    <w:name w:val="toc 1"/>
    <w:basedOn w:val="Normal"/>
    <w:next w:val="Normal"/>
    <w:autoRedefine/>
    <w:uiPriority w:val="39"/>
    <w:rsid w:val="00931D83"/>
    <w:pPr>
      <w:tabs>
        <w:tab w:val="left" w:pos="390"/>
        <w:tab w:val="right" w:leader="dot" w:pos="9435"/>
      </w:tabs>
      <w:jc w:val="left"/>
    </w:pPr>
    <w:rPr>
      <w:b/>
      <w:bCs/>
      <w:smallCaps/>
      <w:noProof/>
      <w:color w:val="3CA1BC" w:themeColor="background2"/>
      <w:sz w:val="20"/>
      <w:szCs w:val="20"/>
      <w:lang w:val="ro-RO" w:bidi="ne-NP"/>
    </w:rPr>
  </w:style>
  <w:style w:type="paragraph" w:styleId="TOC2">
    <w:name w:val="toc 2"/>
    <w:basedOn w:val="Normal"/>
    <w:next w:val="Normal"/>
    <w:autoRedefine/>
    <w:uiPriority w:val="39"/>
    <w:rsid w:val="0065652C"/>
    <w:pPr>
      <w:tabs>
        <w:tab w:val="left" w:pos="567"/>
        <w:tab w:val="right" w:leader="dot" w:pos="9017"/>
      </w:tabs>
      <w:ind w:left="709" w:hanging="567"/>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614CBD"/>
    <w:pPr>
      <w:tabs>
        <w:tab w:val="right" w:leader="dot" w:pos="9016"/>
      </w:tabs>
      <w:ind w:left="144"/>
      <w:jc w:val="left"/>
    </w:pPr>
    <w:rPr>
      <w:b/>
      <w:noProof/>
      <w:lang w:val="ro-RO" w:bidi="ne-NP"/>
    </w:rPr>
  </w:style>
  <w:style w:type="character" w:customStyle="1" w:styleId="TOC3Char1">
    <w:name w:val="TOC 3 Char1"/>
    <w:basedOn w:val="DefaultParagraphFont"/>
    <w:link w:val="TOC3"/>
    <w:uiPriority w:val="39"/>
    <w:locked/>
    <w:rsid w:val="00614CBD"/>
    <w:rPr>
      <w:b/>
      <w:noProof/>
      <w:lang w:val="ro-RO" w:bidi="ne-NP"/>
    </w:rPr>
  </w:style>
  <w:style w:type="paragraph" w:styleId="TOCHeading">
    <w:name w:val="TOC Heading"/>
    <w:aliases w:val="Table of Contents"/>
    <w:basedOn w:val="Heading1"/>
    <w:next w:val="Normal"/>
    <w:uiPriority w:val="39"/>
    <w:qFormat/>
    <w:rsid w:val="00D0337E"/>
    <w:pPr>
      <w:keepLines/>
      <w:numPr>
        <w:numId w:val="0"/>
      </w:numPr>
      <w:outlineLvl w:val="9"/>
    </w:pPr>
    <w:rPr>
      <w:szCs w:val="28"/>
    </w:rPr>
  </w:style>
  <w:style w:type="table" w:styleId="TableGrid">
    <w:name w:val="Table Grid"/>
    <w:aliases w:val="ECORYS Tabela"/>
    <w:basedOn w:val="TableNormal"/>
    <w:uiPriority w:val="39"/>
    <w:rsid w:val="007C60E4"/>
    <w:rPr>
      <w:rFonts w:ascii="Avenir Next Demi Bold" w:hAnsi="Avenir Next Demi Bold"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MediumGrid21"/>
    <w:next w:val="Normal"/>
    <w:link w:val="TitleChar"/>
    <w:uiPriority w:val="10"/>
    <w:qFormat/>
    <w:rsid w:val="00165213"/>
    <w:pPr>
      <w:ind w:right="558"/>
    </w:pPr>
    <w:rPr>
      <w:rFonts w:eastAsia="MS Gothic" w:cs="Cambria"/>
      <w:bCs/>
      <w:color w:val="FFFFFF" w:themeColor="background1"/>
      <w:sz w:val="40"/>
      <w:szCs w:val="56"/>
    </w:rPr>
  </w:style>
  <w:style w:type="character" w:customStyle="1" w:styleId="TitleChar">
    <w:name w:val="Title Char"/>
    <w:basedOn w:val="DefaultParagraphFont"/>
    <w:link w:val="Title"/>
    <w:uiPriority w:val="10"/>
    <w:locked/>
    <w:rsid w:val="00165213"/>
    <w:rPr>
      <w:rFonts w:asciiTheme="minorHAnsi" w:eastAsia="MS Gothic" w:hAnsiTheme="minorHAnsi" w:cs="Cambria"/>
      <w:bCs/>
      <w:color w:val="FFFFFF" w:themeColor="background1"/>
      <w:sz w:val="40"/>
      <w:szCs w:val="56"/>
      <w:lang w:eastAsia="en-GB"/>
    </w:rPr>
  </w:style>
  <w:style w:type="paragraph" w:styleId="Subtitle">
    <w:name w:val="Subtitle"/>
    <w:basedOn w:val="Normal"/>
    <w:next w:val="Normal"/>
    <w:link w:val="SubtitleChar"/>
    <w:uiPriority w:val="11"/>
    <w:qFormat/>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11"/>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styleId="TableGridLight">
    <w:name w:val="Grid Table Light"/>
    <w:basedOn w:val="TableNormal"/>
    <w:uiPriority w:val="40"/>
    <w:rsid w:val="0095085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aliases w:val="Bold"/>
    <w:basedOn w:val="DefaultParagraphFont"/>
    <w:qFormat/>
    <w:rsid w:val="00F55416"/>
    <w:rPr>
      <w:b/>
      <w:bCs/>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FF12E6"/>
    <w:pPr>
      <w:numPr>
        <w:numId w:val="2"/>
      </w:numPr>
      <w:spacing w:after="60"/>
    </w:pPr>
    <w:rPr>
      <w:rFonts w:eastAsia="MS Gothic"/>
      <w:bCs/>
      <w:color w:val="000000" w:themeColor="text1"/>
      <w:lang w:eastAsia="en-GB"/>
    </w:rPr>
  </w:style>
  <w:style w:type="character" w:customStyle="1" w:styleId="BulletChar">
    <w:name w:val="Bullet Char"/>
    <w:basedOn w:val="ListParagraphChar"/>
    <w:link w:val="Bullet"/>
    <w:rsid w:val="0014120C"/>
    <w:rPr>
      <w:rFonts w:ascii="Avenir Next Regular" w:eastAsia="MS Gothic" w:hAnsi="Avenir Next Regular" w:cs="Cambria"/>
      <w:bCs/>
      <w:color w:val="000000" w:themeColor="text1"/>
      <w:lang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Theme="minorHAnsi" w:hAnsi="Minion Pro" w:cs="Minion Pro"/>
      <w:bCs/>
      <w:color w:val="000000"/>
      <w:sz w:val="24"/>
      <w:szCs w:val="24"/>
      <w:lang w:val="en-GB"/>
    </w:rPr>
  </w:style>
  <w:style w:type="table" w:styleId="GridTable1Light">
    <w:name w:val="Grid Table 1 Light"/>
    <w:basedOn w:val="TableNormal"/>
    <w:uiPriority w:val="46"/>
    <w:rsid w:val="005C328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DefaultParagraphFont"/>
    <w:link w:val="Focus"/>
    <w:rsid w:val="00F03996"/>
    <w:rPr>
      <w:rFonts w:asciiTheme="minorHAnsi" w:hAnsiTheme="minorHAnsi" w:cs="Cambria"/>
      <w:b/>
      <w:bCs/>
      <w:caps/>
      <w:color w:val="134753"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3"/>
      </w:numPr>
    </w:pPr>
  </w:style>
  <w:style w:type="numbering" w:customStyle="1" w:styleId="Headings">
    <w:name w:val="Headings"/>
    <w:uiPriority w:val="99"/>
    <w:rsid w:val="00F36FC2"/>
    <w:pPr>
      <w:numPr>
        <w:numId w:val="4"/>
      </w:numPr>
    </w:pPr>
  </w:style>
  <w:style w:type="paragraph" w:customStyle="1" w:styleId="headingno4">
    <w:name w:val="heading no 4"/>
    <w:basedOn w:val="Heading3"/>
    <w:qFormat/>
    <w:rsid w:val="00DC0D21"/>
    <w:pPr>
      <w:numPr>
        <w:ilvl w:val="0"/>
        <w:numId w:val="0"/>
      </w:numPr>
      <w:ind w:left="1634" w:hanging="357"/>
    </w:pPr>
    <w:rPr>
      <w:rFonts w:ascii="Trebuchet MS" w:hAnsi="Trebuchet MS"/>
      <w:b/>
      <w:sz w:val="20"/>
      <w:szCs w:val="20"/>
      <w:lang w:val="ro-RO" w:eastAsia="ro-RO" w:bidi="ne-NP"/>
    </w:rPr>
  </w:style>
  <w:style w:type="paragraph" w:styleId="BodyText0">
    <w:name w:val="Body Text"/>
    <w:basedOn w:val="Normal"/>
    <w:link w:val="BodyTextChar"/>
    <w:semiHidden/>
    <w:rsid w:val="00DC0D21"/>
    <w:pPr>
      <w:widowControl w:val="0"/>
      <w:suppressAutoHyphens/>
      <w:jc w:val="left"/>
    </w:pPr>
    <w:rPr>
      <w:rFonts w:ascii="Times New Roman" w:hAnsi="Times New Roman" w:cs="SimSun"/>
      <w:bCs/>
      <w:kern w:val="1"/>
      <w:sz w:val="24"/>
      <w:szCs w:val="24"/>
      <w:lang w:val="en-GB" w:eastAsia="hi-IN" w:bidi="hi-IN"/>
    </w:rPr>
  </w:style>
  <w:style w:type="character" w:customStyle="1" w:styleId="BodyTextChar">
    <w:name w:val="Body Text Char"/>
    <w:basedOn w:val="DefaultParagraphFont"/>
    <w:link w:val="BodyText0"/>
    <w:semiHidden/>
    <w:rsid w:val="00DC0D21"/>
    <w:rPr>
      <w:rFonts w:ascii="Times New Roman" w:hAnsi="Times New Roman" w:cs="SimSun"/>
      <w:bCs/>
      <w:kern w:val="1"/>
      <w:sz w:val="24"/>
      <w:szCs w:val="24"/>
      <w:lang w:val="en-GB" w:eastAsia="hi-IN" w:bidi="hi-IN"/>
    </w:rPr>
  </w:style>
  <w:style w:type="paragraph" w:customStyle="1" w:styleId="Textbullet">
    <w:name w:val="Text bullet"/>
    <w:basedOn w:val="Bullet"/>
    <w:link w:val="TextbulletChar"/>
    <w:qFormat/>
    <w:rsid w:val="00DC0D21"/>
    <w:pPr>
      <w:numPr>
        <w:numId w:val="1"/>
      </w:numPr>
      <w:spacing w:line="276" w:lineRule="auto"/>
    </w:pPr>
    <w:rPr>
      <w:rFonts w:ascii="Trebuchet MS" w:hAnsi="Trebuchet MS" w:cstheme="minorHAnsi"/>
      <w:bCs w:val="0"/>
      <w:szCs w:val="32"/>
      <w:lang w:val="ro-RO"/>
    </w:rPr>
  </w:style>
  <w:style w:type="character" w:customStyle="1" w:styleId="TextbulletChar">
    <w:name w:val="Text bullet Char"/>
    <w:basedOn w:val="DefaultParagraphFont"/>
    <w:link w:val="Textbullet"/>
    <w:rsid w:val="00DC0D21"/>
    <w:rPr>
      <w:rFonts w:ascii="Trebuchet MS" w:eastAsia="MS Gothic" w:hAnsi="Trebuchet MS" w:cstheme="minorHAnsi"/>
      <w:color w:val="000000" w:themeColor="text1"/>
      <w:szCs w:val="32"/>
      <w:lang w:val="ro-RO" w:eastAsia="en-GB"/>
    </w:rPr>
  </w:style>
  <w:style w:type="table" w:styleId="GridTable5Dark-Accent3">
    <w:name w:val="Grid Table 5 Dark Accent 3"/>
    <w:basedOn w:val="TableNormal"/>
    <w:uiPriority w:val="50"/>
    <w:rsid w:val="00DC0D2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C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3"/>
      </w:tcPr>
    </w:tblStylePr>
    <w:tblStylePr w:type="band1Vert">
      <w:tblPr/>
      <w:tcPr>
        <w:shd w:val="clear" w:color="auto" w:fill="AFDAE5" w:themeFill="accent3" w:themeFillTint="66"/>
      </w:tcPr>
    </w:tblStylePr>
    <w:tblStylePr w:type="band1Horz">
      <w:tblPr/>
      <w:tcPr>
        <w:shd w:val="clear" w:color="auto" w:fill="AFDAE5" w:themeFill="accent3" w:themeFillTint="66"/>
      </w:tcPr>
    </w:tblStylePr>
  </w:style>
  <w:style w:type="table" w:styleId="GridTable1Light-Accent2">
    <w:name w:val="Grid Table 1 Light Accent 2"/>
    <w:basedOn w:val="TableNormal"/>
    <w:uiPriority w:val="46"/>
    <w:rsid w:val="008627BC"/>
    <w:tblPr>
      <w:tblStyleRowBandSize w:val="1"/>
      <w:tblStyleColBandSize w:val="1"/>
      <w:tblInd w:w="0" w:type="dxa"/>
      <w:tblBorders>
        <w:top w:val="single" w:sz="4" w:space="0" w:color="7ACDE0" w:themeColor="accent2" w:themeTint="66"/>
        <w:left w:val="single" w:sz="4" w:space="0" w:color="7ACDE0" w:themeColor="accent2" w:themeTint="66"/>
        <w:bottom w:val="single" w:sz="4" w:space="0" w:color="7ACDE0" w:themeColor="accent2" w:themeTint="66"/>
        <w:right w:val="single" w:sz="4" w:space="0" w:color="7ACDE0" w:themeColor="accent2" w:themeTint="66"/>
        <w:insideH w:val="single" w:sz="4" w:space="0" w:color="7ACDE0" w:themeColor="accent2" w:themeTint="66"/>
        <w:insideV w:val="single" w:sz="4" w:space="0" w:color="7ACDE0" w:themeColor="accent2" w:themeTint="66"/>
      </w:tblBorders>
      <w:tblCellMar>
        <w:top w:w="0" w:type="dxa"/>
        <w:left w:w="108" w:type="dxa"/>
        <w:bottom w:w="0" w:type="dxa"/>
        <w:right w:w="108" w:type="dxa"/>
      </w:tblCellMar>
    </w:tblPr>
    <w:tblStylePr w:type="firstRow">
      <w:rPr>
        <w:b/>
        <w:bCs/>
      </w:rPr>
      <w:tblPr/>
      <w:tcPr>
        <w:tcBorders>
          <w:bottom w:val="single" w:sz="12" w:space="0" w:color="37B4D1" w:themeColor="accent2" w:themeTint="99"/>
        </w:tcBorders>
      </w:tcPr>
    </w:tblStylePr>
    <w:tblStylePr w:type="lastRow">
      <w:rPr>
        <w:b/>
        <w:bCs/>
      </w:rPr>
      <w:tblPr/>
      <w:tcPr>
        <w:tcBorders>
          <w:top w:val="double" w:sz="2" w:space="0" w:color="37B4D1" w:themeColor="accent2" w:themeTint="99"/>
        </w:tcBorders>
      </w:tcPr>
    </w:tblStylePr>
    <w:tblStylePr w:type="firstCol">
      <w:rPr>
        <w:b/>
        <w:bCs/>
      </w:rPr>
    </w:tblStylePr>
    <w:tblStylePr w:type="lastCol">
      <w:rPr>
        <w:b/>
        <w:bCs/>
      </w:rPr>
    </w:tblStylePr>
  </w:style>
  <w:style w:type="table" w:customStyle="1" w:styleId="Tabelgril1Luminos-Accentuare51">
    <w:name w:val="Tabel grilă 1 Luminos - Accentuare 51"/>
    <w:basedOn w:val="TableNormal"/>
    <w:next w:val="GridTable1Light-Accent5"/>
    <w:uiPriority w:val="46"/>
    <w:rsid w:val="00F443DC"/>
    <w:rPr>
      <w:rFonts w:eastAsia="Calibri" w:cs="Times New Roman"/>
      <w:lang w:val="ro-RO"/>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443DC"/>
    <w:tblPr>
      <w:tblStyleRowBandSize w:val="1"/>
      <w:tblStyleColBandSize w:val="1"/>
      <w:tblInd w:w="0" w:type="dxa"/>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CellMar>
        <w:top w:w="0" w:type="dxa"/>
        <w:left w:w="108" w:type="dxa"/>
        <w:bottom w:w="0" w:type="dxa"/>
        <w:right w:w="108" w:type="dxa"/>
      </w:tblCellMar>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4F3456"/>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0"/>
      <w:ind w:left="107"/>
    </w:pPr>
    <w:rPr>
      <w:rFonts w:ascii="Trebuchet MS" w:eastAsia="Trebuchet MS" w:hAnsi="Trebuchet MS" w:cs="Trebuchet MS"/>
      <w:sz w:val="20"/>
      <w:szCs w:val="20"/>
      <w:lang w:val="ro-RO" w:eastAsia="ro-RO" w:bidi="ro-RO"/>
    </w:rPr>
  </w:style>
  <w:style w:type="table" w:styleId="GridTable1Light-Accent3">
    <w:name w:val="Grid Table 1 Light Accent 3"/>
    <w:basedOn w:val="TableNormal"/>
    <w:uiPriority w:val="46"/>
    <w:rsid w:val="000033CB"/>
    <w:tblPr>
      <w:tblStyleRowBandSize w:val="1"/>
      <w:tblStyleColBandSize w:val="1"/>
      <w:tblInd w:w="0" w:type="dxa"/>
      <w:tblBorders>
        <w:top w:val="single" w:sz="4" w:space="0" w:color="AFDAE5" w:themeColor="accent3" w:themeTint="66"/>
        <w:left w:val="single" w:sz="4" w:space="0" w:color="AFDAE5" w:themeColor="accent3" w:themeTint="66"/>
        <w:bottom w:val="single" w:sz="4" w:space="0" w:color="AFDAE5" w:themeColor="accent3" w:themeTint="66"/>
        <w:right w:val="single" w:sz="4" w:space="0" w:color="AFDAE5" w:themeColor="accent3" w:themeTint="66"/>
        <w:insideH w:val="single" w:sz="4" w:space="0" w:color="AFDAE5" w:themeColor="accent3" w:themeTint="66"/>
        <w:insideV w:val="single" w:sz="4" w:space="0" w:color="AFDAE5" w:themeColor="accent3" w:themeTint="66"/>
      </w:tblBorders>
      <w:tblCellMar>
        <w:top w:w="0" w:type="dxa"/>
        <w:left w:w="108" w:type="dxa"/>
        <w:bottom w:w="0" w:type="dxa"/>
        <w:right w:w="108" w:type="dxa"/>
      </w:tblCellMar>
    </w:tblPr>
    <w:tblStylePr w:type="firstRow">
      <w:rPr>
        <w:b/>
        <w:bCs/>
      </w:rPr>
      <w:tblPr/>
      <w:tcPr>
        <w:tcBorders>
          <w:bottom w:val="single" w:sz="12" w:space="0" w:color="87C7D9" w:themeColor="accent3" w:themeTint="99"/>
        </w:tcBorders>
      </w:tcPr>
    </w:tblStylePr>
    <w:tblStylePr w:type="lastRow">
      <w:rPr>
        <w:b/>
        <w:bCs/>
      </w:rPr>
      <w:tblPr/>
      <w:tcPr>
        <w:tcBorders>
          <w:top w:val="double" w:sz="2" w:space="0" w:color="87C7D9" w:themeColor="accent3"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A3676"/>
  </w:style>
  <w:style w:type="character" w:customStyle="1" w:styleId="eop">
    <w:name w:val="eop"/>
    <w:basedOn w:val="DefaultParagraphFont"/>
    <w:rsid w:val="001A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615">
      <w:bodyDiv w:val="1"/>
      <w:marLeft w:val="0"/>
      <w:marRight w:val="0"/>
      <w:marTop w:val="0"/>
      <w:marBottom w:val="0"/>
      <w:divBdr>
        <w:top w:val="none" w:sz="0" w:space="0" w:color="auto"/>
        <w:left w:val="none" w:sz="0" w:space="0" w:color="auto"/>
        <w:bottom w:val="none" w:sz="0" w:space="0" w:color="auto"/>
        <w:right w:val="none" w:sz="0" w:space="0" w:color="auto"/>
      </w:divBdr>
    </w:div>
    <w:div w:id="27948585">
      <w:bodyDiv w:val="1"/>
      <w:marLeft w:val="0"/>
      <w:marRight w:val="0"/>
      <w:marTop w:val="0"/>
      <w:marBottom w:val="0"/>
      <w:divBdr>
        <w:top w:val="none" w:sz="0" w:space="0" w:color="auto"/>
        <w:left w:val="none" w:sz="0" w:space="0" w:color="auto"/>
        <w:bottom w:val="none" w:sz="0" w:space="0" w:color="auto"/>
        <w:right w:val="none" w:sz="0" w:space="0" w:color="auto"/>
      </w:divBdr>
    </w:div>
    <w:div w:id="95029342">
      <w:bodyDiv w:val="1"/>
      <w:marLeft w:val="0"/>
      <w:marRight w:val="0"/>
      <w:marTop w:val="0"/>
      <w:marBottom w:val="0"/>
      <w:divBdr>
        <w:top w:val="none" w:sz="0" w:space="0" w:color="auto"/>
        <w:left w:val="none" w:sz="0" w:space="0" w:color="auto"/>
        <w:bottom w:val="none" w:sz="0" w:space="0" w:color="auto"/>
        <w:right w:val="none" w:sz="0" w:space="0" w:color="auto"/>
      </w:divBdr>
    </w:div>
    <w:div w:id="135344983">
      <w:bodyDiv w:val="1"/>
      <w:marLeft w:val="0"/>
      <w:marRight w:val="0"/>
      <w:marTop w:val="0"/>
      <w:marBottom w:val="0"/>
      <w:divBdr>
        <w:top w:val="none" w:sz="0" w:space="0" w:color="auto"/>
        <w:left w:val="none" w:sz="0" w:space="0" w:color="auto"/>
        <w:bottom w:val="none" w:sz="0" w:space="0" w:color="auto"/>
        <w:right w:val="none" w:sz="0" w:space="0" w:color="auto"/>
      </w:divBdr>
    </w:div>
    <w:div w:id="214119980">
      <w:bodyDiv w:val="1"/>
      <w:marLeft w:val="0"/>
      <w:marRight w:val="0"/>
      <w:marTop w:val="0"/>
      <w:marBottom w:val="0"/>
      <w:divBdr>
        <w:top w:val="none" w:sz="0" w:space="0" w:color="auto"/>
        <w:left w:val="none" w:sz="0" w:space="0" w:color="auto"/>
        <w:bottom w:val="none" w:sz="0" w:space="0" w:color="auto"/>
        <w:right w:val="none" w:sz="0" w:space="0" w:color="auto"/>
      </w:divBdr>
    </w:div>
    <w:div w:id="225577439">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02388099">
      <w:bodyDiv w:val="1"/>
      <w:marLeft w:val="0"/>
      <w:marRight w:val="0"/>
      <w:marTop w:val="0"/>
      <w:marBottom w:val="0"/>
      <w:divBdr>
        <w:top w:val="none" w:sz="0" w:space="0" w:color="auto"/>
        <w:left w:val="none" w:sz="0" w:space="0" w:color="auto"/>
        <w:bottom w:val="none" w:sz="0" w:space="0" w:color="auto"/>
        <w:right w:val="none" w:sz="0" w:space="0" w:color="auto"/>
      </w:divBdr>
    </w:div>
    <w:div w:id="357002391">
      <w:bodyDiv w:val="1"/>
      <w:marLeft w:val="0"/>
      <w:marRight w:val="0"/>
      <w:marTop w:val="0"/>
      <w:marBottom w:val="0"/>
      <w:divBdr>
        <w:top w:val="none" w:sz="0" w:space="0" w:color="auto"/>
        <w:left w:val="none" w:sz="0" w:space="0" w:color="auto"/>
        <w:bottom w:val="none" w:sz="0" w:space="0" w:color="auto"/>
        <w:right w:val="none" w:sz="0" w:space="0" w:color="auto"/>
      </w:divBdr>
    </w:div>
    <w:div w:id="420102265">
      <w:bodyDiv w:val="1"/>
      <w:marLeft w:val="0"/>
      <w:marRight w:val="0"/>
      <w:marTop w:val="0"/>
      <w:marBottom w:val="0"/>
      <w:divBdr>
        <w:top w:val="none" w:sz="0" w:space="0" w:color="auto"/>
        <w:left w:val="none" w:sz="0" w:space="0" w:color="auto"/>
        <w:bottom w:val="none" w:sz="0" w:space="0" w:color="auto"/>
        <w:right w:val="none" w:sz="0" w:space="0" w:color="auto"/>
      </w:divBdr>
    </w:div>
    <w:div w:id="556284519">
      <w:bodyDiv w:val="1"/>
      <w:marLeft w:val="0"/>
      <w:marRight w:val="0"/>
      <w:marTop w:val="0"/>
      <w:marBottom w:val="0"/>
      <w:divBdr>
        <w:top w:val="none" w:sz="0" w:space="0" w:color="auto"/>
        <w:left w:val="none" w:sz="0" w:space="0" w:color="auto"/>
        <w:bottom w:val="none" w:sz="0" w:space="0" w:color="auto"/>
        <w:right w:val="none" w:sz="0" w:space="0" w:color="auto"/>
      </w:divBdr>
    </w:div>
    <w:div w:id="780563517">
      <w:bodyDiv w:val="1"/>
      <w:marLeft w:val="0"/>
      <w:marRight w:val="0"/>
      <w:marTop w:val="0"/>
      <w:marBottom w:val="0"/>
      <w:divBdr>
        <w:top w:val="none" w:sz="0" w:space="0" w:color="auto"/>
        <w:left w:val="none" w:sz="0" w:space="0" w:color="auto"/>
        <w:bottom w:val="none" w:sz="0" w:space="0" w:color="auto"/>
        <w:right w:val="none" w:sz="0" w:space="0" w:color="auto"/>
      </w:divBdr>
    </w:div>
    <w:div w:id="802235501">
      <w:bodyDiv w:val="1"/>
      <w:marLeft w:val="0"/>
      <w:marRight w:val="0"/>
      <w:marTop w:val="0"/>
      <w:marBottom w:val="0"/>
      <w:divBdr>
        <w:top w:val="none" w:sz="0" w:space="0" w:color="auto"/>
        <w:left w:val="none" w:sz="0" w:space="0" w:color="auto"/>
        <w:bottom w:val="none" w:sz="0" w:space="0" w:color="auto"/>
        <w:right w:val="none" w:sz="0" w:space="0" w:color="auto"/>
      </w:divBdr>
    </w:div>
    <w:div w:id="848757183">
      <w:bodyDiv w:val="1"/>
      <w:marLeft w:val="0"/>
      <w:marRight w:val="0"/>
      <w:marTop w:val="0"/>
      <w:marBottom w:val="0"/>
      <w:divBdr>
        <w:top w:val="none" w:sz="0" w:space="0" w:color="auto"/>
        <w:left w:val="none" w:sz="0" w:space="0" w:color="auto"/>
        <w:bottom w:val="none" w:sz="0" w:space="0" w:color="auto"/>
        <w:right w:val="none" w:sz="0" w:space="0" w:color="auto"/>
      </w:divBdr>
    </w:div>
    <w:div w:id="905142402">
      <w:bodyDiv w:val="1"/>
      <w:marLeft w:val="0"/>
      <w:marRight w:val="0"/>
      <w:marTop w:val="0"/>
      <w:marBottom w:val="0"/>
      <w:divBdr>
        <w:top w:val="none" w:sz="0" w:space="0" w:color="auto"/>
        <w:left w:val="none" w:sz="0" w:space="0" w:color="auto"/>
        <w:bottom w:val="none" w:sz="0" w:space="0" w:color="auto"/>
        <w:right w:val="none" w:sz="0" w:space="0" w:color="auto"/>
      </w:divBdr>
    </w:div>
    <w:div w:id="1089232248">
      <w:bodyDiv w:val="1"/>
      <w:marLeft w:val="0"/>
      <w:marRight w:val="0"/>
      <w:marTop w:val="0"/>
      <w:marBottom w:val="0"/>
      <w:divBdr>
        <w:top w:val="none" w:sz="0" w:space="0" w:color="auto"/>
        <w:left w:val="none" w:sz="0" w:space="0" w:color="auto"/>
        <w:bottom w:val="none" w:sz="0" w:space="0" w:color="auto"/>
        <w:right w:val="none" w:sz="0" w:space="0" w:color="auto"/>
      </w:divBdr>
    </w:div>
    <w:div w:id="1144195994">
      <w:bodyDiv w:val="1"/>
      <w:marLeft w:val="0"/>
      <w:marRight w:val="0"/>
      <w:marTop w:val="0"/>
      <w:marBottom w:val="0"/>
      <w:divBdr>
        <w:top w:val="none" w:sz="0" w:space="0" w:color="auto"/>
        <w:left w:val="none" w:sz="0" w:space="0" w:color="auto"/>
        <w:bottom w:val="none" w:sz="0" w:space="0" w:color="auto"/>
        <w:right w:val="none" w:sz="0" w:space="0" w:color="auto"/>
      </w:divBdr>
    </w:div>
    <w:div w:id="1147815973">
      <w:bodyDiv w:val="1"/>
      <w:marLeft w:val="0"/>
      <w:marRight w:val="0"/>
      <w:marTop w:val="0"/>
      <w:marBottom w:val="0"/>
      <w:divBdr>
        <w:top w:val="none" w:sz="0" w:space="0" w:color="auto"/>
        <w:left w:val="none" w:sz="0" w:space="0" w:color="auto"/>
        <w:bottom w:val="none" w:sz="0" w:space="0" w:color="auto"/>
        <w:right w:val="none" w:sz="0" w:space="0" w:color="auto"/>
      </w:divBdr>
    </w:div>
    <w:div w:id="1168981271">
      <w:bodyDiv w:val="1"/>
      <w:marLeft w:val="0"/>
      <w:marRight w:val="0"/>
      <w:marTop w:val="0"/>
      <w:marBottom w:val="0"/>
      <w:divBdr>
        <w:top w:val="none" w:sz="0" w:space="0" w:color="auto"/>
        <w:left w:val="none" w:sz="0" w:space="0" w:color="auto"/>
        <w:bottom w:val="none" w:sz="0" w:space="0" w:color="auto"/>
        <w:right w:val="none" w:sz="0" w:space="0" w:color="auto"/>
      </w:divBdr>
    </w:div>
    <w:div w:id="1186823546">
      <w:bodyDiv w:val="1"/>
      <w:marLeft w:val="0"/>
      <w:marRight w:val="0"/>
      <w:marTop w:val="0"/>
      <w:marBottom w:val="0"/>
      <w:divBdr>
        <w:top w:val="none" w:sz="0" w:space="0" w:color="auto"/>
        <w:left w:val="none" w:sz="0" w:space="0" w:color="auto"/>
        <w:bottom w:val="none" w:sz="0" w:space="0" w:color="auto"/>
        <w:right w:val="none" w:sz="0" w:space="0" w:color="auto"/>
      </w:divBdr>
    </w:div>
    <w:div w:id="1241214957">
      <w:bodyDiv w:val="1"/>
      <w:marLeft w:val="0"/>
      <w:marRight w:val="0"/>
      <w:marTop w:val="0"/>
      <w:marBottom w:val="0"/>
      <w:divBdr>
        <w:top w:val="none" w:sz="0" w:space="0" w:color="auto"/>
        <w:left w:val="none" w:sz="0" w:space="0" w:color="auto"/>
        <w:bottom w:val="none" w:sz="0" w:space="0" w:color="auto"/>
        <w:right w:val="none" w:sz="0" w:space="0" w:color="auto"/>
      </w:divBdr>
    </w:div>
    <w:div w:id="1395542822">
      <w:bodyDiv w:val="1"/>
      <w:marLeft w:val="0"/>
      <w:marRight w:val="0"/>
      <w:marTop w:val="0"/>
      <w:marBottom w:val="0"/>
      <w:divBdr>
        <w:top w:val="none" w:sz="0" w:space="0" w:color="auto"/>
        <w:left w:val="none" w:sz="0" w:space="0" w:color="auto"/>
        <w:bottom w:val="none" w:sz="0" w:space="0" w:color="auto"/>
        <w:right w:val="none" w:sz="0" w:space="0" w:color="auto"/>
      </w:divBdr>
    </w:div>
    <w:div w:id="1400862541">
      <w:bodyDiv w:val="1"/>
      <w:marLeft w:val="0"/>
      <w:marRight w:val="0"/>
      <w:marTop w:val="0"/>
      <w:marBottom w:val="0"/>
      <w:divBdr>
        <w:top w:val="none" w:sz="0" w:space="0" w:color="auto"/>
        <w:left w:val="none" w:sz="0" w:space="0" w:color="auto"/>
        <w:bottom w:val="none" w:sz="0" w:space="0" w:color="auto"/>
        <w:right w:val="none" w:sz="0" w:space="0" w:color="auto"/>
      </w:divBdr>
    </w:div>
    <w:div w:id="1422995420">
      <w:bodyDiv w:val="1"/>
      <w:marLeft w:val="0"/>
      <w:marRight w:val="0"/>
      <w:marTop w:val="0"/>
      <w:marBottom w:val="0"/>
      <w:divBdr>
        <w:top w:val="none" w:sz="0" w:space="0" w:color="auto"/>
        <w:left w:val="none" w:sz="0" w:space="0" w:color="auto"/>
        <w:bottom w:val="none" w:sz="0" w:space="0" w:color="auto"/>
        <w:right w:val="none" w:sz="0" w:space="0" w:color="auto"/>
      </w:divBdr>
    </w:div>
    <w:div w:id="1430590202">
      <w:bodyDiv w:val="1"/>
      <w:marLeft w:val="0"/>
      <w:marRight w:val="0"/>
      <w:marTop w:val="0"/>
      <w:marBottom w:val="0"/>
      <w:divBdr>
        <w:top w:val="none" w:sz="0" w:space="0" w:color="auto"/>
        <w:left w:val="none" w:sz="0" w:space="0" w:color="auto"/>
        <w:bottom w:val="none" w:sz="0" w:space="0" w:color="auto"/>
        <w:right w:val="none" w:sz="0" w:space="0" w:color="auto"/>
      </w:divBdr>
    </w:div>
    <w:div w:id="1431244850">
      <w:bodyDiv w:val="1"/>
      <w:marLeft w:val="0"/>
      <w:marRight w:val="0"/>
      <w:marTop w:val="0"/>
      <w:marBottom w:val="0"/>
      <w:divBdr>
        <w:top w:val="none" w:sz="0" w:space="0" w:color="auto"/>
        <w:left w:val="none" w:sz="0" w:space="0" w:color="auto"/>
        <w:bottom w:val="none" w:sz="0" w:space="0" w:color="auto"/>
        <w:right w:val="none" w:sz="0" w:space="0" w:color="auto"/>
      </w:divBdr>
    </w:div>
    <w:div w:id="1509949887">
      <w:bodyDiv w:val="1"/>
      <w:marLeft w:val="0"/>
      <w:marRight w:val="0"/>
      <w:marTop w:val="0"/>
      <w:marBottom w:val="0"/>
      <w:divBdr>
        <w:top w:val="none" w:sz="0" w:space="0" w:color="auto"/>
        <w:left w:val="none" w:sz="0" w:space="0" w:color="auto"/>
        <w:bottom w:val="none" w:sz="0" w:space="0" w:color="auto"/>
        <w:right w:val="none" w:sz="0" w:space="0" w:color="auto"/>
      </w:divBdr>
    </w:div>
    <w:div w:id="1513488548">
      <w:bodyDiv w:val="1"/>
      <w:marLeft w:val="0"/>
      <w:marRight w:val="0"/>
      <w:marTop w:val="0"/>
      <w:marBottom w:val="0"/>
      <w:divBdr>
        <w:top w:val="none" w:sz="0" w:space="0" w:color="auto"/>
        <w:left w:val="none" w:sz="0" w:space="0" w:color="auto"/>
        <w:bottom w:val="none" w:sz="0" w:space="0" w:color="auto"/>
        <w:right w:val="none" w:sz="0" w:space="0" w:color="auto"/>
      </w:divBdr>
    </w:div>
    <w:div w:id="1518689572">
      <w:bodyDiv w:val="1"/>
      <w:marLeft w:val="0"/>
      <w:marRight w:val="0"/>
      <w:marTop w:val="0"/>
      <w:marBottom w:val="0"/>
      <w:divBdr>
        <w:top w:val="none" w:sz="0" w:space="0" w:color="auto"/>
        <w:left w:val="none" w:sz="0" w:space="0" w:color="auto"/>
        <w:bottom w:val="none" w:sz="0" w:space="0" w:color="auto"/>
        <w:right w:val="none" w:sz="0" w:space="0" w:color="auto"/>
      </w:divBdr>
    </w:div>
    <w:div w:id="1518930570">
      <w:bodyDiv w:val="1"/>
      <w:marLeft w:val="0"/>
      <w:marRight w:val="0"/>
      <w:marTop w:val="0"/>
      <w:marBottom w:val="0"/>
      <w:divBdr>
        <w:top w:val="none" w:sz="0" w:space="0" w:color="auto"/>
        <w:left w:val="none" w:sz="0" w:space="0" w:color="auto"/>
        <w:bottom w:val="none" w:sz="0" w:space="0" w:color="auto"/>
        <w:right w:val="none" w:sz="0" w:space="0" w:color="auto"/>
      </w:divBdr>
    </w:div>
    <w:div w:id="1597207948">
      <w:bodyDiv w:val="1"/>
      <w:marLeft w:val="0"/>
      <w:marRight w:val="0"/>
      <w:marTop w:val="0"/>
      <w:marBottom w:val="0"/>
      <w:divBdr>
        <w:top w:val="none" w:sz="0" w:space="0" w:color="auto"/>
        <w:left w:val="none" w:sz="0" w:space="0" w:color="auto"/>
        <w:bottom w:val="none" w:sz="0" w:space="0" w:color="auto"/>
        <w:right w:val="none" w:sz="0" w:space="0" w:color="auto"/>
      </w:divBdr>
    </w:div>
    <w:div w:id="1685667436">
      <w:bodyDiv w:val="1"/>
      <w:marLeft w:val="0"/>
      <w:marRight w:val="0"/>
      <w:marTop w:val="0"/>
      <w:marBottom w:val="0"/>
      <w:divBdr>
        <w:top w:val="none" w:sz="0" w:space="0" w:color="auto"/>
        <w:left w:val="none" w:sz="0" w:space="0" w:color="auto"/>
        <w:bottom w:val="none" w:sz="0" w:space="0" w:color="auto"/>
        <w:right w:val="none" w:sz="0" w:space="0" w:color="auto"/>
      </w:divBdr>
    </w:div>
    <w:div w:id="1731074860">
      <w:bodyDiv w:val="1"/>
      <w:marLeft w:val="0"/>
      <w:marRight w:val="0"/>
      <w:marTop w:val="0"/>
      <w:marBottom w:val="0"/>
      <w:divBdr>
        <w:top w:val="none" w:sz="0" w:space="0" w:color="auto"/>
        <w:left w:val="none" w:sz="0" w:space="0" w:color="auto"/>
        <w:bottom w:val="none" w:sz="0" w:space="0" w:color="auto"/>
        <w:right w:val="none" w:sz="0" w:space="0" w:color="auto"/>
      </w:divBdr>
    </w:div>
    <w:div w:id="1849056770">
      <w:bodyDiv w:val="1"/>
      <w:marLeft w:val="0"/>
      <w:marRight w:val="0"/>
      <w:marTop w:val="0"/>
      <w:marBottom w:val="0"/>
      <w:divBdr>
        <w:top w:val="none" w:sz="0" w:space="0" w:color="auto"/>
        <w:left w:val="none" w:sz="0" w:space="0" w:color="auto"/>
        <w:bottom w:val="none" w:sz="0" w:space="0" w:color="auto"/>
        <w:right w:val="none" w:sz="0" w:space="0" w:color="auto"/>
      </w:divBdr>
    </w:div>
    <w:div w:id="1914661759">
      <w:bodyDiv w:val="1"/>
      <w:marLeft w:val="0"/>
      <w:marRight w:val="0"/>
      <w:marTop w:val="0"/>
      <w:marBottom w:val="0"/>
      <w:divBdr>
        <w:top w:val="none" w:sz="0" w:space="0" w:color="auto"/>
        <w:left w:val="none" w:sz="0" w:space="0" w:color="auto"/>
        <w:bottom w:val="none" w:sz="0" w:space="0" w:color="auto"/>
        <w:right w:val="none" w:sz="0" w:space="0" w:color="auto"/>
      </w:divBdr>
    </w:div>
    <w:div w:id="1923643798">
      <w:bodyDiv w:val="1"/>
      <w:marLeft w:val="0"/>
      <w:marRight w:val="0"/>
      <w:marTop w:val="0"/>
      <w:marBottom w:val="0"/>
      <w:divBdr>
        <w:top w:val="none" w:sz="0" w:space="0" w:color="auto"/>
        <w:left w:val="none" w:sz="0" w:space="0" w:color="auto"/>
        <w:bottom w:val="none" w:sz="0" w:space="0" w:color="auto"/>
        <w:right w:val="none" w:sz="0" w:space="0" w:color="auto"/>
      </w:divBdr>
    </w:div>
    <w:div w:id="1936285080">
      <w:bodyDiv w:val="1"/>
      <w:marLeft w:val="0"/>
      <w:marRight w:val="0"/>
      <w:marTop w:val="0"/>
      <w:marBottom w:val="0"/>
      <w:divBdr>
        <w:top w:val="none" w:sz="0" w:space="0" w:color="auto"/>
        <w:left w:val="none" w:sz="0" w:space="0" w:color="auto"/>
        <w:bottom w:val="none" w:sz="0" w:space="0" w:color="auto"/>
        <w:right w:val="none" w:sz="0" w:space="0" w:color="auto"/>
      </w:divBdr>
    </w:div>
    <w:div w:id="1966735472">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48137015">
      <w:bodyDiv w:val="1"/>
      <w:marLeft w:val="0"/>
      <w:marRight w:val="0"/>
      <w:marTop w:val="0"/>
      <w:marBottom w:val="0"/>
      <w:divBdr>
        <w:top w:val="none" w:sz="0" w:space="0" w:color="auto"/>
        <w:left w:val="none" w:sz="0" w:space="0" w:color="auto"/>
        <w:bottom w:val="none" w:sz="0" w:space="0" w:color="auto"/>
        <w:right w:val="none" w:sz="0" w:space="0" w:color="auto"/>
      </w:divBdr>
    </w:div>
    <w:div w:id="2052028566">
      <w:bodyDiv w:val="1"/>
      <w:marLeft w:val="0"/>
      <w:marRight w:val="0"/>
      <w:marTop w:val="0"/>
      <w:marBottom w:val="0"/>
      <w:divBdr>
        <w:top w:val="none" w:sz="0" w:space="0" w:color="auto"/>
        <w:left w:val="none" w:sz="0" w:space="0" w:color="auto"/>
        <w:bottom w:val="none" w:sz="0" w:space="0" w:color="auto"/>
        <w:right w:val="none" w:sz="0" w:space="0" w:color="auto"/>
      </w:divBdr>
    </w:div>
    <w:div w:id="21138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CLU">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te a new document." ma:contentTypeScope="" ma:versionID="d04527bf0dfb1e4a5f837bf92e7c360b">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2695ffbedbea987ef972dd6206b1b17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271F-9DC9-4712-96E0-4E2A8295C896}">
  <ds:schemaRefs>
    <ds:schemaRef ds:uri="http://schemas.microsoft.com/sharepoint/v3/contenttype/forms"/>
  </ds:schemaRefs>
</ds:datastoreItem>
</file>

<file path=customXml/itemProps2.xml><?xml version="1.0" encoding="utf-8"?>
<ds:datastoreItem xmlns:ds="http://schemas.openxmlformats.org/officeDocument/2006/customXml" ds:itemID="{3B6A9AAD-D6E7-43E4-BA1B-71086CCE539A}"/>
</file>

<file path=customXml/itemProps3.xml><?xml version="1.0" encoding="utf-8"?>
<ds:datastoreItem xmlns:ds="http://schemas.openxmlformats.org/officeDocument/2006/customXml" ds:itemID="{BEABB4A8-D09A-4E94-BD18-06EEB00C94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5F838-14E7-4256-90E3-5081B49E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1449</Words>
  <Characters>8405</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9835</CharactersWithSpaces>
  <SharedDoc>false</SharedDoc>
  <HLinks>
    <vt:vector size="120" baseType="variant">
      <vt:variant>
        <vt:i4>1376314</vt:i4>
      </vt:variant>
      <vt:variant>
        <vt:i4>60</vt:i4>
      </vt:variant>
      <vt:variant>
        <vt:i4>0</vt:i4>
      </vt:variant>
      <vt:variant>
        <vt:i4>5</vt:i4>
      </vt:variant>
      <vt:variant>
        <vt:lpwstr/>
      </vt:variant>
      <vt:variant>
        <vt:lpwstr>_Toc71520889</vt:lpwstr>
      </vt:variant>
      <vt:variant>
        <vt:i4>1310778</vt:i4>
      </vt:variant>
      <vt:variant>
        <vt:i4>57</vt:i4>
      </vt:variant>
      <vt:variant>
        <vt:i4>0</vt:i4>
      </vt:variant>
      <vt:variant>
        <vt:i4>5</vt:i4>
      </vt:variant>
      <vt:variant>
        <vt:lpwstr/>
      </vt:variant>
      <vt:variant>
        <vt:lpwstr>_Toc71520888</vt:lpwstr>
      </vt:variant>
      <vt:variant>
        <vt:i4>1769530</vt:i4>
      </vt:variant>
      <vt:variant>
        <vt:i4>54</vt:i4>
      </vt:variant>
      <vt:variant>
        <vt:i4>0</vt:i4>
      </vt:variant>
      <vt:variant>
        <vt:i4>5</vt:i4>
      </vt:variant>
      <vt:variant>
        <vt:lpwstr/>
      </vt:variant>
      <vt:variant>
        <vt:lpwstr>_Toc71520887</vt:lpwstr>
      </vt:variant>
      <vt:variant>
        <vt:i4>1703994</vt:i4>
      </vt:variant>
      <vt:variant>
        <vt:i4>51</vt:i4>
      </vt:variant>
      <vt:variant>
        <vt:i4>0</vt:i4>
      </vt:variant>
      <vt:variant>
        <vt:i4>5</vt:i4>
      </vt:variant>
      <vt:variant>
        <vt:lpwstr/>
      </vt:variant>
      <vt:variant>
        <vt:lpwstr>_Toc71520886</vt:lpwstr>
      </vt:variant>
      <vt:variant>
        <vt:i4>1638458</vt:i4>
      </vt:variant>
      <vt:variant>
        <vt:i4>48</vt:i4>
      </vt:variant>
      <vt:variant>
        <vt:i4>0</vt:i4>
      </vt:variant>
      <vt:variant>
        <vt:i4>5</vt:i4>
      </vt:variant>
      <vt:variant>
        <vt:lpwstr/>
      </vt:variant>
      <vt:variant>
        <vt:lpwstr>_Toc71520885</vt:lpwstr>
      </vt:variant>
      <vt:variant>
        <vt:i4>1572922</vt:i4>
      </vt:variant>
      <vt:variant>
        <vt:i4>45</vt:i4>
      </vt:variant>
      <vt:variant>
        <vt:i4>0</vt:i4>
      </vt:variant>
      <vt:variant>
        <vt:i4>5</vt:i4>
      </vt:variant>
      <vt:variant>
        <vt:lpwstr/>
      </vt:variant>
      <vt:variant>
        <vt:lpwstr>_Toc71520884</vt:lpwstr>
      </vt:variant>
      <vt:variant>
        <vt:i4>2031674</vt:i4>
      </vt:variant>
      <vt:variant>
        <vt:i4>42</vt:i4>
      </vt:variant>
      <vt:variant>
        <vt:i4>0</vt:i4>
      </vt:variant>
      <vt:variant>
        <vt:i4>5</vt:i4>
      </vt:variant>
      <vt:variant>
        <vt:lpwstr/>
      </vt:variant>
      <vt:variant>
        <vt:lpwstr>_Toc71520883</vt:lpwstr>
      </vt:variant>
      <vt:variant>
        <vt:i4>1966138</vt:i4>
      </vt:variant>
      <vt:variant>
        <vt:i4>39</vt:i4>
      </vt:variant>
      <vt:variant>
        <vt:i4>0</vt:i4>
      </vt:variant>
      <vt:variant>
        <vt:i4>5</vt:i4>
      </vt:variant>
      <vt:variant>
        <vt:lpwstr/>
      </vt:variant>
      <vt:variant>
        <vt:lpwstr>_Toc71520882</vt:lpwstr>
      </vt:variant>
      <vt:variant>
        <vt:i4>1900602</vt:i4>
      </vt:variant>
      <vt:variant>
        <vt:i4>36</vt:i4>
      </vt:variant>
      <vt:variant>
        <vt:i4>0</vt:i4>
      </vt:variant>
      <vt:variant>
        <vt:i4>5</vt:i4>
      </vt:variant>
      <vt:variant>
        <vt:lpwstr/>
      </vt:variant>
      <vt:variant>
        <vt:lpwstr>_Toc71520881</vt:lpwstr>
      </vt:variant>
      <vt:variant>
        <vt:i4>1835066</vt:i4>
      </vt:variant>
      <vt:variant>
        <vt:i4>33</vt:i4>
      </vt:variant>
      <vt:variant>
        <vt:i4>0</vt:i4>
      </vt:variant>
      <vt:variant>
        <vt:i4>5</vt:i4>
      </vt:variant>
      <vt:variant>
        <vt:lpwstr/>
      </vt:variant>
      <vt:variant>
        <vt:lpwstr>_Toc71520880</vt:lpwstr>
      </vt:variant>
      <vt:variant>
        <vt:i4>1376309</vt:i4>
      </vt:variant>
      <vt:variant>
        <vt:i4>30</vt:i4>
      </vt:variant>
      <vt:variant>
        <vt:i4>0</vt:i4>
      </vt:variant>
      <vt:variant>
        <vt:i4>5</vt:i4>
      </vt:variant>
      <vt:variant>
        <vt:lpwstr/>
      </vt:variant>
      <vt:variant>
        <vt:lpwstr>_Toc71520879</vt:lpwstr>
      </vt:variant>
      <vt:variant>
        <vt:i4>1310773</vt:i4>
      </vt:variant>
      <vt:variant>
        <vt:i4>27</vt:i4>
      </vt:variant>
      <vt:variant>
        <vt:i4>0</vt:i4>
      </vt:variant>
      <vt:variant>
        <vt:i4>5</vt:i4>
      </vt:variant>
      <vt:variant>
        <vt:lpwstr/>
      </vt:variant>
      <vt:variant>
        <vt:lpwstr>_Toc71520878</vt:lpwstr>
      </vt:variant>
      <vt:variant>
        <vt:i4>1769525</vt:i4>
      </vt:variant>
      <vt:variant>
        <vt:i4>24</vt:i4>
      </vt:variant>
      <vt:variant>
        <vt:i4>0</vt:i4>
      </vt:variant>
      <vt:variant>
        <vt:i4>5</vt:i4>
      </vt:variant>
      <vt:variant>
        <vt:lpwstr/>
      </vt:variant>
      <vt:variant>
        <vt:lpwstr>_Toc71520877</vt:lpwstr>
      </vt:variant>
      <vt:variant>
        <vt:i4>1703989</vt:i4>
      </vt:variant>
      <vt:variant>
        <vt:i4>21</vt:i4>
      </vt:variant>
      <vt:variant>
        <vt:i4>0</vt:i4>
      </vt:variant>
      <vt:variant>
        <vt:i4>5</vt:i4>
      </vt:variant>
      <vt:variant>
        <vt:lpwstr/>
      </vt:variant>
      <vt:variant>
        <vt:lpwstr>_Toc71520876</vt:lpwstr>
      </vt:variant>
      <vt:variant>
        <vt:i4>1638453</vt:i4>
      </vt:variant>
      <vt:variant>
        <vt:i4>18</vt:i4>
      </vt:variant>
      <vt:variant>
        <vt:i4>0</vt:i4>
      </vt:variant>
      <vt:variant>
        <vt:i4>5</vt:i4>
      </vt:variant>
      <vt:variant>
        <vt:lpwstr/>
      </vt:variant>
      <vt:variant>
        <vt:lpwstr>_Toc71520875</vt:lpwstr>
      </vt:variant>
      <vt:variant>
        <vt:i4>1572917</vt:i4>
      </vt:variant>
      <vt:variant>
        <vt:i4>15</vt:i4>
      </vt:variant>
      <vt:variant>
        <vt:i4>0</vt:i4>
      </vt:variant>
      <vt:variant>
        <vt:i4>5</vt:i4>
      </vt:variant>
      <vt:variant>
        <vt:lpwstr/>
      </vt:variant>
      <vt:variant>
        <vt:lpwstr>_Toc71520874</vt:lpwstr>
      </vt:variant>
      <vt:variant>
        <vt:i4>2031669</vt:i4>
      </vt:variant>
      <vt:variant>
        <vt:i4>12</vt:i4>
      </vt:variant>
      <vt:variant>
        <vt:i4>0</vt:i4>
      </vt:variant>
      <vt:variant>
        <vt:i4>5</vt:i4>
      </vt:variant>
      <vt:variant>
        <vt:lpwstr/>
      </vt:variant>
      <vt:variant>
        <vt:lpwstr>_Toc71520873</vt:lpwstr>
      </vt:variant>
      <vt:variant>
        <vt:i4>1966133</vt:i4>
      </vt:variant>
      <vt:variant>
        <vt:i4>9</vt:i4>
      </vt:variant>
      <vt:variant>
        <vt:i4>0</vt:i4>
      </vt:variant>
      <vt:variant>
        <vt:i4>5</vt:i4>
      </vt:variant>
      <vt:variant>
        <vt:lpwstr/>
      </vt:variant>
      <vt:variant>
        <vt:lpwstr>_Toc71520872</vt:lpwstr>
      </vt:variant>
      <vt:variant>
        <vt:i4>1900597</vt:i4>
      </vt:variant>
      <vt:variant>
        <vt:i4>6</vt:i4>
      </vt:variant>
      <vt:variant>
        <vt:i4>0</vt:i4>
      </vt:variant>
      <vt:variant>
        <vt:i4>5</vt:i4>
      </vt:variant>
      <vt:variant>
        <vt:lpwstr/>
      </vt:variant>
      <vt:variant>
        <vt:lpwstr>_Toc71520871</vt:lpwstr>
      </vt:variant>
      <vt:variant>
        <vt:i4>1835061</vt:i4>
      </vt:variant>
      <vt:variant>
        <vt:i4>0</vt:i4>
      </vt:variant>
      <vt:variant>
        <vt:i4>0</vt:i4>
      </vt:variant>
      <vt:variant>
        <vt:i4>5</vt:i4>
      </vt:variant>
      <vt:variant>
        <vt:lpwstr/>
      </vt:variant>
      <vt:variant>
        <vt:lpwstr>_Toc71520870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Stefana</dc:creator>
  <cp:lastModifiedBy>Windows User</cp:lastModifiedBy>
  <cp:revision>5</cp:revision>
  <cp:lastPrinted>2015-09-25T08:10:00Z</cp:lastPrinted>
  <dcterms:created xsi:type="dcterms:W3CDTF">2021-12-01T14:18:00Z</dcterms:created>
  <dcterms:modified xsi:type="dcterms:W3CDTF">2021-12-02T17:19:00Z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