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4-Accentuare1"/>
        <w:tblW w:w="4852" w:type="pct"/>
        <w:jc w:val="center"/>
        <w:tblLayout w:type="fixed"/>
        <w:tblLook w:val="00A0" w:firstRow="1" w:lastRow="0" w:firstColumn="1" w:lastColumn="0" w:noHBand="0" w:noVBand="0"/>
      </w:tblPr>
      <w:tblGrid>
        <w:gridCol w:w="703"/>
        <w:gridCol w:w="2835"/>
        <w:gridCol w:w="5211"/>
      </w:tblGrid>
      <w:tr w:rsidR="00281F7D" w:rsidRPr="00C00B8B" w14:paraId="0D53BF81" w14:textId="77777777" w:rsidTr="00281F7D">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tcPr>
          <w:p w14:paraId="1259D5D8" w14:textId="1FD7C569" w:rsidR="00281F7D" w:rsidRPr="00646B44" w:rsidRDefault="00281F7D" w:rsidP="00646B44">
            <w:pPr>
              <w:tabs>
                <w:tab w:val="left" w:pos="1276"/>
              </w:tabs>
              <w:jc w:val="center"/>
              <w:rPr>
                <w:sz w:val="18"/>
                <w:szCs w:val="18"/>
                <w:lang w:val="ro-RO"/>
              </w:rPr>
            </w:pPr>
            <w:r w:rsidRPr="00646B44">
              <w:rPr>
                <w:sz w:val="18"/>
                <w:szCs w:val="18"/>
                <w:lang w:val="ro-RO" w:eastAsia="bg-BG"/>
              </w:rPr>
              <w:t>Perspectiva beneficiarilor privind simplificarea - evidente</w:t>
            </w:r>
          </w:p>
        </w:tc>
      </w:tr>
      <w:tr w:rsidR="00646B44" w:rsidRPr="00C00B8B" w14:paraId="04660AAC" w14:textId="77777777" w:rsidTr="00646B44">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02" w:type="pct"/>
            <w:noWrap/>
          </w:tcPr>
          <w:p w14:paraId="60E671A2" w14:textId="77D682BF" w:rsidR="00646B44" w:rsidRPr="00646B44" w:rsidRDefault="00646B44" w:rsidP="00646B44">
            <w:pPr>
              <w:rPr>
                <w:b w:val="0"/>
                <w:sz w:val="18"/>
                <w:szCs w:val="18"/>
                <w:lang w:val="ro-RO"/>
              </w:rPr>
            </w:pPr>
            <w:r w:rsidRPr="00646B44">
              <w:rPr>
                <w:rFonts w:ascii="Calibri" w:hAnsi="Calibri" w:cs="Calibri"/>
                <w:b w:val="0"/>
                <w:bCs w:val="0"/>
                <w:color w:val="000000"/>
                <w:lang w:val="ro-RO"/>
              </w:rPr>
              <w:t>1</w:t>
            </w:r>
          </w:p>
        </w:tc>
        <w:tc>
          <w:tcPr>
            <w:cnfStyle w:val="000010000000" w:firstRow="0" w:lastRow="0" w:firstColumn="0" w:lastColumn="0" w:oddVBand="1" w:evenVBand="0" w:oddHBand="0" w:evenHBand="0" w:firstRowFirstColumn="0" w:firstRowLastColumn="0" w:lastRowFirstColumn="0" w:lastRowLastColumn="0"/>
            <w:tcW w:w="1620" w:type="pct"/>
          </w:tcPr>
          <w:p w14:paraId="03A22F6B" w14:textId="7B62DE3B" w:rsidR="00646B44" w:rsidRPr="00646B44" w:rsidRDefault="00646B44" w:rsidP="00646B44">
            <w:pPr>
              <w:rPr>
                <w:rStyle w:val="notranslate"/>
                <w:sz w:val="18"/>
                <w:szCs w:val="18"/>
                <w:lang w:val="ro-RO"/>
              </w:rPr>
            </w:pPr>
            <w:r w:rsidRPr="00646B44">
              <w:rPr>
                <w:rFonts w:ascii="Calibri" w:hAnsi="Calibri" w:cs="Calibri"/>
                <w:b/>
                <w:bCs/>
                <w:color w:val="000000"/>
                <w:lang w:val="ro-RO"/>
              </w:rPr>
              <w:t xml:space="preserve">Lansarea apelurilor </w:t>
            </w:r>
          </w:p>
        </w:tc>
        <w:tc>
          <w:tcPr>
            <w:tcW w:w="2978" w:type="pct"/>
          </w:tcPr>
          <w:p w14:paraId="0001CE01" w14:textId="1AF47F96" w:rsidR="00646B44" w:rsidRPr="00646B44" w:rsidRDefault="00646B44" w:rsidP="00646B44">
            <w:pPr>
              <w:cnfStyle w:val="000000100000" w:firstRow="0" w:lastRow="0" w:firstColumn="0" w:lastColumn="0" w:oddVBand="0" w:evenVBand="0" w:oddHBand="1" w:evenHBand="0" w:firstRowFirstColumn="0" w:firstRowLastColumn="0" w:lastRowFirstColumn="0" w:lastRowLastColumn="0"/>
              <w:rPr>
                <w:rStyle w:val="notranslate"/>
                <w:sz w:val="18"/>
                <w:szCs w:val="18"/>
                <w:lang w:val="ro-RO"/>
              </w:rPr>
            </w:pPr>
            <w:r w:rsidRPr="00646B44">
              <w:rPr>
                <w:rFonts w:ascii="Calibri" w:hAnsi="Calibri" w:cs="Calibri"/>
                <w:color w:val="000000"/>
                <w:lang w:val="ro-RO"/>
              </w:rPr>
              <w:t> </w:t>
            </w:r>
          </w:p>
        </w:tc>
      </w:tr>
      <w:tr w:rsidR="00646B44" w:rsidRPr="00C00B8B" w14:paraId="7B9885B9" w14:textId="77777777" w:rsidTr="00646B44">
        <w:trPr>
          <w:trHeight w:val="353"/>
          <w:jc w:val="center"/>
        </w:trPr>
        <w:tc>
          <w:tcPr>
            <w:cnfStyle w:val="001000000000" w:firstRow="0" w:lastRow="0" w:firstColumn="1" w:lastColumn="0" w:oddVBand="0" w:evenVBand="0" w:oddHBand="0" w:evenHBand="0" w:firstRowFirstColumn="0" w:firstRowLastColumn="0" w:lastRowFirstColumn="0" w:lastRowLastColumn="0"/>
            <w:tcW w:w="402" w:type="pct"/>
            <w:noWrap/>
          </w:tcPr>
          <w:p w14:paraId="59B4215B" w14:textId="30CF649A" w:rsidR="00646B44" w:rsidRPr="00646B44" w:rsidRDefault="00646B44" w:rsidP="00646B44">
            <w:pPr>
              <w:rPr>
                <w:b w:val="0"/>
                <w:sz w:val="18"/>
                <w:szCs w:val="18"/>
                <w:lang w:val="ro-RO"/>
              </w:rPr>
            </w:pPr>
            <w:r w:rsidRPr="00646B44">
              <w:rPr>
                <w:rFonts w:ascii="Calibri" w:hAnsi="Calibri" w:cs="Calibri"/>
                <w:b w:val="0"/>
                <w:bCs w:val="0"/>
                <w:color w:val="000000"/>
                <w:lang w:val="ro-RO"/>
              </w:rPr>
              <w:t>2</w:t>
            </w:r>
          </w:p>
        </w:tc>
        <w:tc>
          <w:tcPr>
            <w:cnfStyle w:val="000010000000" w:firstRow="0" w:lastRow="0" w:firstColumn="0" w:lastColumn="0" w:oddVBand="1" w:evenVBand="0" w:oddHBand="0" w:evenHBand="0" w:firstRowFirstColumn="0" w:firstRowLastColumn="0" w:lastRowFirstColumn="0" w:lastRowLastColumn="0"/>
            <w:tcW w:w="1620" w:type="pct"/>
            <w:shd w:val="clear" w:color="auto" w:fill="FFFFFF" w:themeFill="background1"/>
          </w:tcPr>
          <w:p w14:paraId="6E7074BA" w14:textId="1F5329E2" w:rsidR="00646B44" w:rsidRPr="00646B44" w:rsidRDefault="00646B44" w:rsidP="00646B44">
            <w:pPr>
              <w:tabs>
                <w:tab w:val="left" w:pos="1276"/>
              </w:tabs>
              <w:rPr>
                <w:i/>
                <w:sz w:val="18"/>
                <w:szCs w:val="18"/>
                <w:lang w:val="ro-RO" w:eastAsia="bg-BG"/>
              </w:rPr>
            </w:pPr>
            <w:r w:rsidRPr="00646B44">
              <w:rPr>
                <w:rFonts w:ascii="Calibri" w:hAnsi="Calibri" w:cs="Calibri"/>
                <w:b/>
                <w:bCs/>
                <w:color w:val="000000"/>
                <w:lang w:val="ro-RO"/>
              </w:rPr>
              <w:t>Procesul de evaluare, selecție si contractare</w:t>
            </w:r>
          </w:p>
        </w:tc>
        <w:tc>
          <w:tcPr>
            <w:tcW w:w="2978" w:type="pct"/>
            <w:shd w:val="clear" w:color="auto" w:fill="FFFFFF" w:themeFill="background1"/>
          </w:tcPr>
          <w:p w14:paraId="6B3AE726" w14:textId="547A96F2" w:rsidR="00646B44" w:rsidRPr="00646B44" w:rsidRDefault="00646B44" w:rsidP="00646B44">
            <w:pPr>
              <w:tabs>
                <w:tab w:val="left" w:pos="1276"/>
              </w:tabs>
              <w:cnfStyle w:val="000000000000" w:firstRow="0" w:lastRow="0" w:firstColumn="0" w:lastColumn="0" w:oddVBand="0" w:evenVBand="0" w:oddHBand="0" w:evenHBand="0" w:firstRowFirstColumn="0" w:firstRowLastColumn="0" w:lastRowFirstColumn="0" w:lastRowLastColumn="0"/>
              <w:rPr>
                <w:i/>
                <w:sz w:val="18"/>
                <w:szCs w:val="18"/>
                <w:lang w:val="ro-RO" w:eastAsia="bg-BG"/>
              </w:rPr>
            </w:pPr>
            <w:r w:rsidRPr="00646B44">
              <w:rPr>
                <w:rFonts w:ascii="Calibri" w:hAnsi="Calibri" w:cs="Calibri"/>
                <w:color w:val="000000"/>
                <w:lang w:val="ro-RO"/>
              </w:rPr>
              <w:t> </w:t>
            </w:r>
          </w:p>
        </w:tc>
      </w:tr>
      <w:tr w:rsidR="00646B44" w:rsidRPr="00C00B8B" w14:paraId="1B58AB08" w14:textId="77777777" w:rsidTr="00646B44">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02" w:type="pct"/>
            <w:noWrap/>
          </w:tcPr>
          <w:p w14:paraId="254EFAFA" w14:textId="7DFDA591" w:rsidR="00646B44" w:rsidRPr="00646B44" w:rsidRDefault="00646B44" w:rsidP="00646B44">
            <w:pPr>
              <w:rPr>
                <w:b w:val="0"/>
                <w:sz w:val="18"/>
                <w:szCs w:val="18"/>
                <w:lang w:val="ro-RO"/>
              </w:rPr>
            </w:pPr>
            <w:r w:rsidRPr="00646B44">
              <w:rPr>
                <w:rFonts w:ascii="Calibri" w:hAnsi="Calibri" w:cs="Calibri"/>
                <w:b w:val="0"/>
                <w:bCs w:val="0"/>
                <w:color w:val="000000"/>
                <w:lang w:val="ro-RO"/>
              </w:rPr>
              <w:t> </w:t>
            </w:r>
          </w:p>
        </w:tc>
        <w:tc>
          <w:tcPr>
            <w:cnfStyle w:val="000010000000" w:firstRow="0" w:lastRow="0" w:firstColumn="0" w:lastColumn="0" w:oddVBand="1" w:evenVBand="0" w:oddHBand="0" w:evenHBand="0" w:firstRowFirstColumn="0" w:firstRowLastColumn="0" w:lastRowFirstColumn="0" w:lastRowLastColumn="0"/>
            <w:tcW w:w="1620" w:type="pct"/>
          </w:tcPr>
          <w:p w14:paraId="61FF0A88" w14:textId="06C59BD9" w:rsidR="00646B44" w:rsidRPr="00646B44" w:rsidRDefault="00646B44" w:rsidP="00646B44">
            <w:pPr>
              <w:rPr>
                <w:rStyle w:val="notranslate"/>
                <w:sz w:val="18"/>
                <w:szCs w:val="18"/>
                <w:lang w:val="ro-RO"/>
              </w:rPr>
            </w:pPr>
            <w:r w:rsidRPr="00646B44">
              <w:rPr>
                <w:rFonts w:ascii="Calibri" w:hAnsi="Calibri" w:cs="Calibri"/>
                <w:b/>
                <w:bCs/>
                <w:color w:val="000000"/>
                <w:lang w:val="ro-RO"/>
              </w:rPr>
              <w:t>Ghidurile</w:t>
            </w:r>
          </w:p>
        </w:tc>
        <w:tc>
          <w:tcPr>
            <w:tcW w:w="2978" w:type="pct"/>
          </w:tcPr>
          <w:p w14:paraId="1043E8B6" w14:textId="65F88429" w:rsidR="00646B44" w:rsidRPr="00646B44" w:rsidRDefault="00646B44" w:rsidP="00646B44">
            <w:pPr>
              <w:cnfStyle w:val="000000100000" w:firstRow="0" w:lastRow="0" w:firstColumn="0" w:lastColumn="0" w:oddVBand="0" w:evenVBand="0" w:oddHBand="1" w:evenHBand="0" w:firstRowFirstColumn="0" w:firstRowLastColumn="0" w:lastRowFirstColumn="0" w:lastRowLastColumn="0"/>
              <w:rPr>
                <w:rStyle w:val="notranslate"/>
                <w:sz w:val="18"/>
                <w:szCs w:val="18"/>
                <w:lang w:val="ro-RO"/>
              </w:rPr>
            </w:pPr>
            <w:r w:rsidRPr="00646B44">
              <w:rPr>
                <w:rFonts w:ascii="Calibri" w:hAnsi="Calibri" w:cs="Calibri"/>
                <w:color w:val="000000"/>
                <w:lang w:val="ro-RO"/>
              </w:rPr>
              <w:t>„La începutul perioadei de implementare procedurile nu erau suficient de clare.”</w:t>
            </w:r>
          </w:p>
        </w:tc>
      </w:tr>
      <w:tr w:rsidR="00646B44" w:rsidRPr="00C00B8B" w14:paraId="415D7926" w14:textId="77777777" w:rsidTr="00646B44">
        <w:trPr>
          <w:trHeight w:val="353"/>
          <w:jc w:val="center"/>
        </w:trPr>
        <w:tc>
          <w:tcPr>
            <w:cnfStyle w:val="001000000000" w:firstRow="0" w:lastRow="0" w:firstColumn="1" w:lastColumn="0" w:oddVBand="0" w:evenVBand="0" w:oddHBand="0" w:evenHBand="0" w:firstRowFirstColumn="0" w:firstRowLastColumn="0" w:lastRowFirstColumn="0" w:lastRowLastColumn="0"/>
            <w:tcW w:w="402" w:type="pct"/>
            <w:shd w:val="clear" w:color="auto" w:fill="FFFFFF" w:themeFill="background1"/>
            <w:noWrap/>
          </w:tcPr>
          <w:p w14:paraId="33A61DCF" w14:textId="09F2F8CE" w:rsidR="00646B44" w:rsidRPr="00646B44" w:rsidDel="009F2979" w:rsidRDefault="00646B44" w:rsidP="00646B44">
            <w:pPr>
              <w:rPr>
                <w:b w:val="0"/>
                <w:sz w:val="18"/>
                <w:szCs w:val="18"/>
                <w:lang w:val="ro-RO"/>
              </w:rPr>
            </w:pPr>
            <w:r w:rsidRPr="00646B44">
              <w:rPr>
                <w:rFonts w:ascii="Calibri" w:hAnsi="Calibri" w:cs="Calibri"/>
                <w:b w:val="0"/>
                <w:bCs w:val="0"/>
                <w:color w:val="000000"/>
                <w:lang w:val="ro-RO"/>
              </w:rPr>
              <w:t> </w:t>
            </w:r>
          </w:p>
        </w:tc>
        <w:tc>
          <w:tcPr>
            <w:cnfStyle w:val="000010000000" w:firstRow="0" w:lastRow="0" w:firstColumn="0" w:lastColumn="0" w:oddVBand="1" w:evenVBand="0" w:oddHBand="0" w:evenHBand="0" w:firstRowFirstColumn="0" w:firstRowLastColumn="0" w:lastRowFirstColumn="0" w:lastRowLastColumn="0"/>
            <w:tcW w:w="1620" w:type="pct"/>
            <w:shd w:val="clear" w:color="auto" w:fill="FFFFFF" w:themeFill="background1"/>
          </w:tcPr>
          <w:p w14:paraId="06D2681E" w14:textId="493FBD7E" w:rsidR="00646B44" w:rsidRPr="00646B44" w:rsidRDefault="00646B44" w:rsidP="00646B44">
            <w:pPr>
              <w:rPr>
                <w:rStyle w:val="notranslate"/>
                <w:sz w:val="18"/>
                <w:szCs w:val="18"/>
                <w:lang w:val="ro-RO"/>
              </w:rPr>
            </w:pPr>
            <w:r w:rsidRPr="00646B44">
              <w:rPr>
                <w:rFonts w:ascii="Calibri" w:hAnsi="Calibri" w:cs="Calibri"/>
                <w:b/>
                <w:bCs/>
                <w:color w:val="000000"/>
                <w:lang w:val="ro-RO"/>
              </w:rPr>
              <w:t xml:space="preserve">Durata procesului </w:t>
            </w:r>
          </w:p>
        </w:tc>
        <w:tc>
          <w:tcPr>
            <w:tcW w:w="2978" w:type="pct"/>
            <w:shd w:val="clear" w:color="auto" w:fill="FFFFFF" w:themeFill="background1"/>
          </w:tcPr>
          <w:p w14:paraId="50F0F92D" w14:textId="2D556FA1" w:rsidR="00646B44" w:rsidRPr="00646B44" w:rsidRDefault="00646B44" w:rsidP="00646B44">
            <w:pPr>
              <w:cnfStyle w:val="000000000000" w:firstRow="0" w:lastRow="0" w:firstColumn="0" w:lastColumn="0" w:oddVBand="0" w:evenVBand="0" w:oddHBand="0" w:evenHBand="0" w:firstRowFirstColumn="0" w:firstRowLastColumn="0" w:lastRowFirstColumn="0" w:lastRowLastColumn="0"/>
              <w:rPr>
                <w:rStyle w:val="notranslate"/>
                <w:sz w:val="18"/>
                <w:szCs w:val="18"/>
                <w:lang w:val="ro-RO"/>
              </w:rPr>
            </w:pPr>
            <w:r w:rsidRPr="00646B44">
              <w:rPr>
                <w:rFonts w:ascii="Calibri" w:hAnsi="Calibri" w:cs="Calibri"/>
                <w:color w:val="000000"/>
                <w:lang w:val="ro-RO"/>
              </w:rPr>
              <w:t> </w:t>
            </w:r>
          </w:p>
        </w:tc>
      </w:tr>
      <w:tr w:rsidR="00646B44" w:rsidRPr="00C00B8B" w14:paraId="041BFC57" w14:textId="77777777" w:rsidTr="00646B44">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02" w:type="pct"/>
            <w:noWrap/>
          </w:tcPr>
          <w:p w14:paraId="39FD8883" w14:textId="41A839B2" w:rsidR="00646B44" w:rsidRPr="00646B44" w:rsidRDefault="00646B44" w:rsidP="00646B44">
            <w:pPr>
              <w:rPr>
                <w:b w:val="0"/>
                <w:sz w:val="18"/>
                <w:szCs w:val="18"/>
                <w:lang w:val="ro-RO"/>
              </w:rPr>
            </w:pPr>
            <w:r w:rsidRPr="00646B44">
              <w:rPr>
                <w:rFonts w:ascii="Calibri" w:hAnsi="Calibri" w:cs="Calibri"/>
                <w:b w:val="0"/>
                <w:bCs w:val="0"/>
                <w:color w:val="000000"/>
                <w:lang w:val="ro-RO"/>
              </w:rPr>
              <w:t> </w:t>
            </w:r>
          </w:p>
        </w:tc>
        <w:tc>
          <w:tcPr>
            <w:cnfStyle w:val="000010000000" w:firstRow="0" w:lastRow="0" w:firstColumn="0" w:lastColumn="0" w:oddVBand="1" w:evenVBand="0" w:oddHBand="0" w:evenHBand="0" w:firstRowFirstColumn="0" w:firstRowLastColumn="0" w:lastRowFirstColumn="0" w:lastRowLastColumn="0"/>
            <w:tcW w:w="1620" w:type="pct"/>
          </w:tcPr>
          <w:p w14:paraId="4E6ADE09" w14:textId="6DBA4312" w:rsidR="00646B44" w:rsidRPr="00646B44" w:rsidRDefault="00646B44" w:rsidP="00646B44">
            <w:pPr>
              <w:rPr>
                <w:sz w:val="18"/>
                <w:szCs w:val="18"/>
                <w:lang w:val="ro-RO"/>
              </w:rPr>
            </w:pPr>
            <w:r w:rsidRPr="00646B44">
              <w:rPr>
                <w:rFonts w:ascii="Calibri" w:hAnsi="Calibri" w:cs="Calibri"/>
                <w:b/>
                <w:bCs/>
                <w:color w:val="000000"/>
                <w:lang w:val="ro-RO"/>
              </w:rPr>
              <w:t>Calitatea asistenței</w:t>
            </w:r>
          </w:p>
        </w:tc>
        <w:tc>
          <w:tcPr>
            <w:tcW w:w="2978" w:type="pct"/>
          </w:tcPr>
          <w:p w14:paraId="74D4CDF1" w14:textId="1DABE87A" w:rsidR="00646B44" w:rsidRPr="00646B44" w:rsidRDefault="00646B44" w:rsidP="00646B44">
            <w:pPr>
              <w:cnfStyle w:val="000000100000" w:firstRow="0" w:lastRow="0" w:firstColumn="0" w:lastColumn="0" w:oddVBand="0" w:evenVBand="0" w:oddHBand="1" w:evenHBand="0" w:firstRowFirstColumn="0" w:firstRowLastColumn="0" w:lastRowFirstColumn="0" w:lastRowLastColumn="0"/>
              <w:rPr>
                <w:sz w:val="18"/>
                <w:szCs w:val="18"/>
                <w:lang w:val="ro-RO"/>
              </w:rPr>
            </w:pPr>
            <w:r w:rsidRPr="00646B44">
              <w:rPr>
                <w:rFonts w:ascii="Calibri" w:hAnsi="Calibri" w:cs="Calibri"/>
                <w:color w:val="000000"/>
                <w:lang w:val="ro-RO"/>
              </w:rPr>
              <w:t>„Lipsa sprijinului OI în identificarea unor soluții în implementare”</w:t>
            </w:r>
          </w:p>
        </w:tc>
      </w:tr>
      <w:tr w:rsidR="00646B44" w:rsidRPr="00C00B8B" w14:paraId="74A455DE" w14:textId="77777777" w:rsidTr="00646B44">
        <w:trPr>
          <w:trHeight w:val="353"/>
          <w:jc w:val="center"/>
        </w:trPr>
        <w:tc>
          <w:tcPr>
            <w:cnfStyle w:val="001000000000" w:firstRow="0" w:lastRow="0" w:firstColumn="1" w:lastColumn="0" w:oddVBand="0" w:evenVBand="0" w:oddHBand="0" w:evenHBand="0" w:firstRowFirstColumn="0" w:firstRowLastColumn="0" w:lastRowFirstColumn="0" w:lastRowLastColumn="0"/>
            <w:tcW w:w="402" w:type="pct"/>
            <w:shd w:val="clear" w:color="auto" w:fill="FFFFFF" w:themeFill="background1"/>
            <w:noWrap/>
          </w:tcPr>
          <w:p w14:paraId="40AC3E11" w14:textId="67024930" w:rsidR="00646B44" w:rsidRPr="00646B44" w:rsidRDefault="00646B44" w:rsidP="00646B44">
            <w:pPr>
              <w:rPr>
                <w:b w:val="0"/>
                <w:sz w:val="18"/>
                <w:szCs w:val="18"/>
                <w:lang w:val="ro-RO"/>
              </w:rPr>
            </w:pPr>
            <w:r w:rsidRPr="00646B44">
              <w:rPr>
                <w:rFonts w:ascii="Calibri" w:hAnsi="Calibri" w:cs="Calibri"/>
                <w:b w:val="0"/>
                <w:bCs w:val="0"/>
                <w:color w:val="000000"/>
                <w:lang w:val="ro-RO"/>
              </w:rPr>
              <w:t> </w:t>
            </w:r>
          </w:p>
        </w:tc>
        <w:tc>
          <w:tcPr>
            <w:cnfStyle w:val="000010000000" w:firstRow="0" w:lastRow="0" w:firstColumn="0" w:lastColumn="0" w:oddVBand="1" w:evenVBand="0" w:oddHBand="0" w:evenHBand="0" w:firstRowFirstColumn="0" w:firstRowLastColumn="0" w:lastRowFirstColumn="0" w:lastRowLastColumn="0"/>
            <w:tcW w:w="1620" w:type="pct"/>
            <w:shd w:val="clear" w:color="auto" w:fill="FFFFFF" w:themeFill="background1"/>
          </w:tcPr>
          <w:p w14:paraId="2AD5EF50" w14:textId="5DBEB178" w:rsidR="00646B44" w:rsidRPr="00646B44" w:rsidRDefault="00646B44" w:rsidP="00646B44">
            <w:pPr>
              <w:rPr>
                <w:sz w:val="18"/>
                <w:szCs w:val="18"/>
                <w:lang w:val="ro-RO"/>
              </w:rPr>
            </w:pPr>
            <w:r w:rsidRPr="00646B44">
              <w:rPr>
                <w:rFonts w:ascii="Calibri" w:hAnsi="Calibri" w:cs="Calibri"/>
                <w:b/>
                <w:bCs/>
                <w:color w:val="000000"/>
                <w:lang w:val="ro-RO"/>
              </w:rPr>
              <w:t>Utilizarea aplicației MySMIS</w:t>
            </w:r>
          </w:p>
        </w:tc>
        <w:tc>
          <w:tcPr>
            <w:tcW w:w="2978" w:type="pct"/>
            <w:shd w:val="clear" w:color="auto" w:fill="FFFFFF" w:themeFill="background1"/>
          </w:tcPr>
          <w:p w14:paraId="6C4AA16F" w14:textId="77AB2C2C" w:rsidR="00646B44" w:rsidRPr="00646B44" w:rsidRDefault="00646B44" w:rsidP="00646B44">
            <w:pPr>
              <w:cnfStyle w:val="000000000000" w:firstRow="0" w:lastRow="0" w:firstColumn="0" w:lastColumn="0" w:oddVBand="0" w:evenVBand="0" w:oddHBand="0" w:evenHBand="0" w:firstRowFirstColumn="0" w:firstRowLastColumn="0" w:lastRowFirstColumn="0" w:lastRowLastColumn="0"/>
              <w:rPr>
                <w:sz w:val="18"/>
                <w:szCs w:val="18"/>
                <w:lang w:val="ro-RO"/>
              </w:rPr>
            </w:pPr>
            <w:r w:rsidRPr="00646B44">
              <w:rPr>
                <w:rFonts w:ascii="Calibri" w:hAnsi="Calibri" w:cs="Calibri"/>
                <w:color w:val="000000"/>
                <w:lang w:val="ro-RO"/>
              </w:rPr>
              <w:t> </w:t>
            </w:r>
          </w:p>
        </w:tc>
      </w:tr>
      <w:tr w:rsidR="00646B44" w:rsidRPr="00C00B8B" w14:paraId="0D07B690" w14:textId="77777777" w:rsidTr="00646B44">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02" w:type="pct"/>
            <w:noWrap/>
          </w:tcPr>
          <w:p w14:paraId="5F7F14B1" w14:textId="7CCA7D2E" w:rsidR="00646B44" w:rsidRPr="00646B44" w:rsidRDefault="00646B44" w:rsidP="00646B44">
            <w:pPr>
              <w:rPr>
                <w:b w:val="0"/>
                <w:sz w:val="18"/>
                <w:szCs w:val="18"/>
                <w:lang w:val="ro-RO"/>
              </w:rPr>
            </w:pPr>
            <w:r w:rsidRPr="00646B44">
              <w:rPr>
                <w:rFonts w:ascii="Calibri" w:hAnsi="Calibri" w:cs="Calibri"/>
                <w:b w:val="0"/>
                <w:bCs w:val="0"/>
                <w:color w:val="000000"/>
                <w:lang w:val="ro-RO"/>
              </w:rPr>
              <w:t>3</w:t>
            </w:r>
          </w:p>
        </w:tc>
        <w:tc>
          <w:tcPr>
            <w:cnfStyle w:val="000010000000" w:firstRow="0" w:lastRow="0" w:firstColumn="0" w:lastColumn="0" w:oddVBand="1" w:evenVBand="0" w:oddHBand="0" w:evenHBand="0" w:firstRowFirstColumn="0" w:firstRowLastColumn="0" w:lastRowFirstColumn="0" w:lastRowLastColumn="0"/>
            <w:tcW w:w="1620" w:type="pct"/>
          </w:tcPr>
          <w:p w14:paraId="2949ABA2" w14:textId="7F314ECF" w:rsidR="00646B44" w:rsidRPr="00646B44" w:rsidRDefault="00646B44" w:rsidP="00646B44">
            <w:pPr>
              <w:rPr>
                <w:sz w:val="18"/>
                <w:szCs w:val="18"/>
                <w:lang w:val="ro-RO"/>
              </w:rPr>
            </w:pPr>
            <w:r w:rsidRPr="00646B44">
              <w:rPr>
                <w:rFonts w:ascii="Calibri" w:hAnsi="Calibri" w:cs="Calibri"/>
                <w:b/>
                <w:bCs/>
                <w:color w:val="000000"/>
                <w:lang w:val="ro-RO"/>
              </w:rPr>
              <w:t>Implementare</w:t>
            </w:r>
          </w:p>
        </w:tc>
        <w:tc>
          <w:tcPr>
            <w:tcW w:w="2978" w:type="pct"/>
          </w:tcPr>
          <w:p w14:paraId="0A4A3DD2" w14:textId="21A95A34" w:rsidR="00646B44" w:rsidRPr="00646B44" w:rsidRDefault="00646B44" w:rsidP="00646B44">
            <w:pPr>
              <w:cnfStyle w:val="000000100000" w:firstRow="0" w:lastRow="0" w:firstColumn="0" w:lastColumn="0" w:oddVBand="0" w:evenVBand="0" w:oddHBand="1" w:evenHBand="0" w:firstRowFirstColumn="0" w:firstRowLastColumn="0" w:lastRowFirstColumn="0" w:lastRowLastColumn="0"/>
              <w:rPr>
                <w:sz w:val="18"/>
                <w:szCs w:val="18"/>
                <w:lang w:val="ro-RO"/>
              </w:rPr>
            </w:pPr>
            <w:r w:rsidRPr="00646B44">
              <w:rPr>
                <w:rFonts w:ascii="Calibri" w:hAnsi="Calibri" w:cs="Calibri"/>
                <w:color w:val="000000"/>
                <w:lang w:val="ro-RO"/>
              </w:rPr>
              <w:t>„Birocrația excesivă încă guvernează implementarea proiectelor”</w:t>
            </w:r>
            <w:r w:rsidRPr="00646B44">
              <w:rPr>
                <w:rFonts w:ascii="Calibri" w:hAnsi="Calibri" w:cs="Calibri"/>
                <w:color w:val="000000"/>
                <w:lang w:val="ro-RO"/>
              </w:rPr>
              <w:br/>
              <w:t xml:space="preserve">„Existenta unui blocaj în implementare după semnarea contractului de finanțare ca urmare a neaprobării de către AM a ghidului de implementare” </w:t>
            </w:r>
          </w:p>
        </w:tc>
      </w:tr>
      <w:tr w:rsidR="00646B44" w:rsidRPr="00C00B8B" w14:paraId="79CB8991" w14:textId="77777777" w:rsidTr="00646B44">
        <w:trPr>
          <w:trHeight w:val="353"/>
          <w:jc w:val="center"/>
        </w:trPr>
        <w:tc>
          <w:tcPr>
            <w:cnfStyle w:val="001000000000" w:firstRow="0" w:lastRow="0" w:firstColumn="1" w:lastColumn="0" w:oddVBand="0" w:evenVBand="0" w:oddHBand="0" w:evenHBand="0" w:firstRowFirstColumn="0" w:firstRowLastColumn="0" w:lastRowFirstColumn="0" w:lastRowLastColumn="0"/>
            <w:tcW w:w="402" w:type="pct"/>
            <w:shd w:val="clear" w:color="auto" w:fill="FFFFFF" w:themeFill="background1"/>
            <w:noWrap/>
          </w:tcPr>
          <w:p w14:paraId="7BF3730C" w14:textId="78F6523B" w:rsidR="00646B44" w:rsidRPr="00646B44" w:rsidRDefault="00646B44" w:rsidP="00646B44">
            <w:pPr>
              <w:rPr>
                <w:b w:val="0"/>
                <w:sz w:val="18"/>
                <w:szCs w:val="18"/>
                <w:lang w:val="ro-RO"/>
              </w:rPr>
            </w:pPr>
            <w:r w:rsidRPr="00646B44">
              <w:rPr>
                <w:rFonts w:ascii="Calibri" w:hAnsi="Calibri" w:cs="Calibri"/>
                <w:b w:val="0"/>
                <w:bCs w:val="0"/>
                <w:color w:val="000000"/>
                <w:lang w:val="ro-RO"/>
              </w:rPr>
              <w:t> </w:t>
            </w:r>
          </w:p>
        </w:tc>
        <w:tc>
          <w:tcPr>
            <w:cnfStyle w:val="000010000000" w:firstRow="0" w:lastRow="0" w:firstColumn="0" w:lastColumn="0" w:oddVBand="1" w:evenVBand="0" w:oddHBand="0" w:evenHBand="0" w:firstRowFirstColumn="0" w:firstRowLastColumn="0" w:lastRowFirstColumn="0" w:lastRowLastColumn="0"/>
            <w:tcW w:w="1620" w:type="pct"/>
            <w:shd w:val="clear" w:color="auto" w:fill="FFFFFF" w:themeFill="background1"/>
          </w:tcPr>
          <w:p w14:paraId="4591912A" w14:textId="697C6CC3" w:rsidR="00646B44" w:rsidRPr="00646B44" w:rsidRDefault="00646B44" w:rsidP="00646B44">
            <w:pPr>
              <w:rPr>
                <w:sz w:val="18"/>
                <w:szCs w:val="18"/>
                <w:lang w:val="ro-RO"/>
              </w:rPr>
            </w:pPr>
            <w:r w:rsidRPr="00646B44">
              <w:rPr>
                <w:rFonts w:ascii="Calibri" w:hAnsi="Calibri" w:cs="Calibri"/>
                <w:b/>
                <w:bCs/>
                <w:color w:val="000000"/>
                <w:lang w:val="ro-RO"/>
              </w:rPr>
              <w:t xml:space="preserve">Acte adiționale </w:t>
            </w:r>
            <w:r>
              <w:rPr>
                <w:rFonts w:ascii="Calibri" w:hAnsi="Calibri" w:cs="Calibri"/>
                <w:b/>
                <w:bCs/>
                <w:color w:val="000000"/>
                <w:lang w:val="ro-RO"/>
              </w:rPr>
              <w:t>ș</w:t>
            </w:r>
            <w:r w:rsidRPr="00646B44">
              <w:rPr>
                <w:rFonts w:ascii="Calibri" w:hAnsi="Calibri" w:cs="Calibri"/>
                <w:b/>
                <w:bCs/>
                <w:color w:val="000000"/>
                <w:lang w:val="ro-RO"/>
              </w:rPr>
              <w:t>i notificări</w:t>
            </w:r>
          </w:p>
        </w:tc>
        <w:tc>
          <w:tcPr>
            <w:tcW w:w="2978" w:type="pct"/>
            <w:shd w:val="clear" w:color="auto" w:fill="FFFFFF" w:themeFill="background1"/>
          </w:tcPr>
          <w:p w14:paraId="7C7AD132" w14:textId="314AE369" w:rsidR="00646B44" w:rsidRPr="00646B44" w:rsidRDefault="00646B44" w:rsidP="00646B44">
            <w:pPr>
              <w:cnfStyle w:val="000000000000" w:firstRow="0" w:lastRow="0" w:firstColumn="0" w:lastColumn="0" w:oddVBand="0" w:evenVBand="0" w:oddHBand="0" w:evenHBand="0" w:firstRowFirstColumn="0" w:firstRowLastColumn="0" w:lastRowFirstColumn="0" w:lastRowLastColumn="0"/>
              <w:rPr>
                <w:sz w:val="18"/>
                <w:szCs w:val="18"/>
                <w:lang w:val="ro-RO"/>
              </w:rPr>
            </w:pPr>
            <w:r w:rsidRPr="00646B44">
              <w:rPr>
                <w:rFonts w:ascii="Calibri" w:hAnsi="Calibri" w:cs="Calibri"/>
                <w:color w:val="000000"/>
                <w:lang w:val="ro-RO"/>
              </w:rPr>
              <w:t xml:space="preserve">„Notificările și actele adiționale nu sunt permise în același timp.” </w:t>
            </w:r>
            <w:r w:rsidRPr="00646B44">
              <w:rPr>
                <w:rFonts w:ascii="Calibri" w:hAnsi="Calibri" w:cs="Calibri"/>
                <w:color w:val="000000"/>
                <w:lang w:val="ro-RO"/>
              </w:rPr>
              <w:br/>
              <w:t xml:space="preserve">„... întârzierea încheierii de acte adiționale și/sau a aprobărilor, ceea ce a generat necesitatea unor schimbări suplimentare” </w:t>
            </w:r>
          </w:p>
        </w:tc>
      </w:tr>
      <w:tr w:rsidR="00646B44" w:rsidRPr="00C00B8B" w14:paraId="740EC59D" w14:textId="77777777" w:rsidTr="00646B44">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02" w:type="pct"/>
            <w:noWrap/>
          </w:tcPr>
          <w:p w14:paraId="10698B32" w14:textId="2102F8D4" w:rsidR="00646B44" w:rsidRPr="00646B44" w:rsidRDefault="00646B44" w:rsidP="00646B44">
            <w:pPr>
              <w:rPr>
                <w:b w:val="0"/>
                <w:sz w:val="18"/>
                <w:szCs w:val="18"/>
                <w:lang w:val="ro-RO"/>
              </w:rPr>
            </w:pPr>
            <w:r w:rsidRPr="00646B44">
              <w:rPr>
                <w:rFonts w:ascii="Calibri" w:hAnsi="Calibri" w:cs="Calibri"/>
                <w:b w:val="0"/>
                <w:bCs w:val="0"/>
                <w:color w:val="000000"/>
                <w:lang w:val="ro-RO"/>
              </w:rPr>
              <w:t> </w:t>
            </w:r>
          </w:p>
        </w:tc>
        <w:tc>
          <w:tcPr>
            <w:cnfStyle w:val="000010000000" w:firstRow="0" w:lastRow="0" w:firstColumn="0" w:lastColumn="0" w:oddVBand="1" w:evenVBand="0" w:oddHBand="0" w:evenHBand="0" w:firstRowFirstColumn="0" w:firstRowLastColumn="0" w:lastRowFirstColumn="0" w:lastRowLastColumn="0"/>
            <w:tcW w:w="1620" w:type="pct"/>
          </w:tcPr>
          <w:p w14:paraId="3C0DB908" w14:textId="0A10B403" w:rsidR="00646B44" w:rsidRPr="00646B44" w:rsidRDefault="00646B44" w:rsidP="00646B44">
            <w:pPr>
              <w:rPr>
                <w:sz w:val="18"/>
                <w:szCs w:val="18"/>
                <w:lang w:val="ro-RO"/>
              </w:rPr>
            </w:pPr>
            <w:r w:rsidRPr="00646B44">
              <w:rPr>
                <w:rFonts w:ascii="Calibri" w:hAnsi="Calibri" w:cs="Calibri"/>
                <w:b/>
                <w:bCs/>
                <w:color w:val="000000"/>
                <w:lang w:val="ro-RO"/>
              </w:rPr>
              <w:t xml:space="preserve">Durata </w:t>
            </w:r>
          </w:p>
        </w:tc>
        <w:tc>
          <w:tcPr>
            <w:tcW w:w="2978" w:type="pct"/>
          </w:tcPr>
          <w:p w14:paraId="758046C3" w14:textId="3DD68625" w:rsidR="00646B44" w:rsidRPr="00646B44" w:rsidRDefault="00646B44" w:rsidP="00646B44">
            <w:pPr>
              <w:cnfStyle w:val="000000100000" w:firstRow="0" w:lastRow="0" w:firstColumn="0" w:lastColumn="0" w:oddVBand="0" w:evenVBand="0" w:oddHBand="1" w:evenHBand="0" w:firstRowFirstColumn="0" w:firstRowLastColumn="0" w:lastRowFirstColumn="0" w:lastRowLastColumn="0"/>
              <w:rPr>
                <w:sz w:val="18"/>
                <w:szCs w:val="18"/>
                <w:lang w:val="ro-RO"/>
              </w:rPr>
            </w:pPr>
            <w:r w:rsidRPr="00646B44">
              <w:rPr>
                <w:rFonts w:ascii="Calibri" w:hAnsi="Calibri" w:cs="Calibri"/>
                <w:color w:val="000000"/>
                <w:lang w:val="ro-RO"/>
              </w:rPr>
              <w:t xml:space="preserve">„Demararea cu dificultate a proiectelor” </w:t>
            </w:r>
          </w:p>
        </w:tc>
      </w:tr>
      <w:tr w:rsidR="00646B44" w:rsidRPr="00C00B8B" w14:paraId="678B37F0" w14:textId="77777777" w:rsidTr="00646B44">
        <w:trPr>
          <w:trHeight w:val="353"/>
          <w:jc w:val="center"/>
        </w:trPr>
        <w:tc>
          <w:tcPr>
            <w:cnfStyle w:val="001000000000" w:firstRow="0" w:lastRow="0" w:firstColumn="1" w:lastColumn="0" w:oddVBand="0" w:evenVBand="0" w:oddHBand="0" w:evenHBand="0" w:firstRowFirstColumn="0" w:firstRowLastColumn="0" w:lastRowFirstColumn="0" w:lastRowLastColumn="0"/>
            <w:tcW w:w="402" w:type="pct"/>
            <w:shd w:val="clear" w:color="auto" w:fill="FFFFFF" w:themeFill="background1"/>
            <w:noWrap/>
          </w:tcPr>
          <w:p w14:paraId="75C007E6" w14:textId="69E515FA" w:rsidR="00646B44" w:rsidRPr="00646B44" w:rsidRDefault="00646B44" w:rsidP="00646B44">
            <w:pPr>
              <w:rPr>
                <w:b w:val="0"/>
                <w:sz w:val="18"/>
                <w:szCs w:val="18"/>
                <w:lang w:val="ro-RO"/>
              </w:rPr>
            </w:pPr>
            <w:r w:rsidRPr="00646B44">
              <w:rPr>
                <w:rFonts w:ascii="Calibri" w:hAnsi="Calibri" w:cs="Calibri"/>
                <w:b w:val="0"/>
                <w:bCs w:val="0"/>
                <w:color w:val="000000"/>
                <w:lang w:val="ro-RO"/>
              </w:rPr>
              <w:t> </w:t>
            </w:r>
          </w:p>
        </w:tc>
        <w:tc>
          <w:tcPr>
            <w:cnfStyle w:val="000010000000" w:firstRow="0" w:lastRow="0" w:firstColumn="0" w:lastColumn="0" w:oddVBand="1" w:evenVBand="0" w:oddHBand="0" w:evenHBand="0" w:firstRowFirstColumn="0" w:firstRowLastColumn="0" w:lastRowFirstColumn="0" w:lastRowLastColumn="0"/>
            <w:tcW w:w="1620" w:type="pct"/>
            <w:shd w:val="clear" w:color="auto" w:fill="FFFFFF" w:themeFill="background1"/>
          </w:tcPr>
          <w:p w14:paraId="62FC0A19" w14:textId="1488FE2D" w:rsidR="00646B44" w:rsidRPr="00646B44" w:rsidRDefault="00646B44" w:rsidP="00646B44">
            <w:pPr>
              <w:rPr>
                <w:sz w:val="18"/>
                <w:szCs w:val="18"/>
                <w:lang w:val="ro-RO"/>
              </w:rPr>
            </w:pPr>
            <w:r w:rsidRPr="00646B44">
              <w:rPr>
                <w:rFonts w:ascii="Calibri" w:hAnsi="Calibri" w:cs="Calibri"/>
                <w:b/>
                <w:bCs/>
                <w:color w:val="000000"/>
                <w:lang w:val="ro-RO"/>
              </w:rPr>
              <w:t xml:space="preserve">Indicatori </w:t>
            </w:r>
          </w:p>
        </w:tc>
        <w:tc>
          <w:tcPr>
            <w:tcW w:w="2978" w:type="pct"/>
            <w:shd w:val="clear" w:color="auto" w:fill="FFFFFF" w:themeFill="background1"/>
          </w:tcPr>
          <w:p w14:paraId="7A1C518C" w14:textId="668BBC78" w:rsidR="00646B44" w:rsidRPr="00646B44" w:rsidRDefault="00646B44" w:rsidP="00646B44">
            <w:pPr>
              <w:cnfStyle w:val="000000000000" w:firstRow="0" w:lastRow="0" w:firstColumn="0" w:lastColumn="0" w:oddVBand="0" w:evenVBand="0" w:oddHBand="0" w:evenHBand="0" w:firstRowFirstColumn="0" w:firstRowLastColumn="0" w:lastRowFirstColumn="0" w:lastRowLastColumn="0"/>
              <w:rPr>
                <w:sz w:val="18"/>
                <w:szCs w:val="18"/>
                <w:lang w:val="ro-RO"/>
              </w:rPr>
            </w:pPr>
            <w:r w:rsidRPr="00646B44">
              <w:rPr>
                <w:rFonts w:ascii="Calibri" w:hAnsi="Calibri" w:cs="Calibri"/>
                <w:color w:val="000000"/>
                <w:lang w:val="ro-RO"/>
              </w:rPr>
              <w:t xml:space="preserve">„Neîndeplinirea țintelor ca urmare a efectelor negative ale pandemiei și imposibilitatea derulării cursurilor în mediul online (partea practică nu putea fi realizată online), perioada de implementare nefiind prelungită” </w:t>
            </w:r>
            <w:r w:rsidRPr="00646B44">
              <w:rPr>
                <w:rFonts w:ascii="Calibri" w:hAnsi="Calibri" w:cs="Calibri"/>
                <w:color w:val="000000"/>
                <w:lang w:val="ro-RO"/>
              </w:rPr>
              <w:br/>
              <w:t xml:space="preserve">„Imposibilitatea susținerii financiare a unor realizări care depășeau ținta asumată (campanii de promovare care dacă ar fi fost organizate depășeau ținta propusă și pentru care cheltuielile nu ar fi fost rambursate)” </w:t>
            </w:r>
          </w:p>
        </w:tc>
      </w:tr>
      <w:tr w:rsidR="00646B44" w:rsidRPr="00C00B8B" w14:paraId="2742FD27" w14:textId="77777777" w:rsidTr="00646B44">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02" w:type="pct"/>
            <w:noWrap/>
          </w:tcPr>
          <w:p w14:paraId="62EDD58A" w14:textId="19CA234F" w:rsidR="00646B44" w:rsidRPr="00646B44" w:rsidRDefault="00646B44" w:rsidP="00646B44">
            <w:pPr>
              <w:rPr>
                <w:b w:val="0"/>
                <w:sz w:val="18"/>
                <w:szCs w:val="18"/>
                <w:lang w:val="ro-RO"/>
              </w:rPr>
            </w:pPr>
            <w:r w:rsidRPr="00646B44">
              <w:rPr>
                <w:rFonts w:ascii="Calibri" w:hAnsi="Calibri" w:cs="Calibri"/>
                <w:b w:val="0"/>
                <w:bCs w:val="0"/>
                <w:color w:val="000000"/>
                <w:lang w:val="ro-RO"/>
              </w:rPr>
              <w:t> </w:t>
            </w:r>
          </w:p>
        </w:tc>
        <w:tc>
          <w:tcPr>
            <w:cnfStyle w:val="000010000000" w:firstRow="0" w:lastRow="0" w:firstColumn="0" w:lastColumn="0" w:oddVBand="1" w:evenVBand="0" w:oddHBand="0" w:evenHBand="0" w:firstRowFirstColumn="0" w:firstRowLastColumn="0" w:lastRowFirstColumn="0" w:lastRowLastColumn="0"/>
            <w:tcW w:w="1620" w:type="pct"/>
          </w:tcPr>
          <w:p w14:paraId="592609CA" w14:textId="7AB94DC2" w:rsidR="00646B44" w:rsidRPr="00646B44" w:rsidRDefault="00646B44" w:rsidP="00646B44">
            <w:pPr>
              <w:rPr>
                <w:sz w:val="18"/>
                <w:szCs w:val="18"/>
                <w:lang w:val="ro-RO"/>
              </w:rPr>
            </w:pPr>
            <w:r w:rsidRPr="00646B44">
              <w:rPr>
                <w:rFonts w:ascii="Calibri" w:hAnsi="Calibri" w:cs="Calibri"/>
                <w:b/>
                <w:bCs/>
                <w:color w:val="000000"/>
                <w:lang w:val="ro-RO"/>
              </w:rPr>
              <w:t xml:space="preserve">Raportare </w:t>
            </w:r>
            <w:proofErr w:type="spellStart"/>
            <w:r w:rsidRPr="00646B44">
              <w:rPr>
                <w:rFonts w:ascii="Calibri" w:hAnsi="Calibri" w:cs="Calibri"/>
                <w:b/>
                <w:bCs/>
                <w:color w:val="000000"/>
                <w:lang w:val="ro-RO"/>
              </w:rPr>
              <w:t>catre</w:t>
            </w:r>
            <w:proofErr w:type="spellEnd"/>
            <w:r w:rsidRPr="00646B44">
              <w:rPr>
                <w:rFonts w:ascii="Calibri" w:hAnsi="Calibri" w:cs="Calibri"/>
                <w:b/>
                <w:bCs/>
                <w:color w:val="000000"/>
                <w:lang w:val="ro-RO"/>
              </w:rPr>
              <w:t xml:space="preserve"> OIR</w:t>
            </w:r>
          </w:p>
        </w:tc>
        <w:tc>
          <w:tcPr>
            <w:tcW w:w="2978" w:type="pct"/>
          </w:tcPr>
          <w:p w14:paraId="2352717C" w14:textId="31E9174B" w:rsidR="00646B44" w:rsidRPr="00646B44" w:rsidRDefault="00646B44" w:rsidP="00646B44">
            <w:pPr>
              <w:cnfStyle w:val="000000100000" w:firstRow="0" w:lastRow="0" w:firstColumn="0" w:lastColumn="0" w:oddVBand="0" w:evenVBand="0" w:oddHBand="1" w:evenHBand="0" w:firstRowFirstColumn="0" w:firstRowLastColumn="0" w:lastRowFirstColumn="0" w:lastRowLastColumn="0"/>
              <w:rPr>
                <w:sz w:val="18"/>
                <w:szCs w:val="18"/>
                <w:lang w:val="ro-RO"/>
              </w:rPr>
            </w:pPr>
            <w:r w:rsidRPr="00646B44">
              <w:rPr>
                <w:rFonts w:ascii="Calibri" w:hAnsi="Calibri" w:cs="Calibri"/>
                <w:color w:val="000000"/>
                <w:lang w:val="ro-RO"/>
              </w:rPr>
              <w:t>„Complexitatea și rigiditatea formularelor de raportare”</w:t>
            </w:r>
            <w:r w:rsidRPr="00646B44">
              <w:rPr>
                <w:rFonts w:ascii="Calibri" w:hAnsi="Calibri" w:cs="Calibri"/>
                <w:color w:val="000000"/>
                <w:lang w:val="ro-RO"/>
              </w:rPr>
              <w:br/>
              <w:t>„Raportarea se dovedește a fi extrem de consumatoare în materie de resurse de timp”</w:t>
            </w:r>
            <w:r w:rsidRPr="00646B44">
              <w:rPr>
                <w:rFonts w:ascii="Calibri" w:hAnsi="Calibri" w:cs="Calibri"/>
                <w:color w:val="000000"/>
                <w:lang w:val="ro-RO"/>
              </w:rPr>
              <w:br/>
              <w:t>„Gradul de birocratizare este ridicat, sunt solicitate foarte multe documente pentru grupul țintă, raportarea este stufoasă, este necesară scanarea tuturor documentelor, iar secretarul proiectului a depus o muncă enormă în acest sens.”</w:t>
            </w:r>
            <w:r w:rsidRPr="00646B44">
              <w:rPr>
                <w:rFonts w:ascii="Calibri" w:hAnsi="Calibri" w:cs="Calibri"/>
                <w:color w:val="000000"/>
                <w:lang w:val="ro-RO"/>
              </w:rPr>
              <w:br/>
              <w:t>„Participanții la formare de asemenea trebuie să prezinte foarte multe documente pentru înscrierea la programele de formulare.”</w:t>
            </w:r>
            <w:r w:rsidRPr="00646B44">
              <w:rPr>
                <w:rFonts w:ascii="Calibri" w:hAnsi="Calibri" w:cs="Calibri"/>
                <w:color w:val="000000"/>
                <w:lang w:val="ro-RO"/>
              </w:rPr>
              <w:br/>
              <w:t>„prea multe documente justificative”</w:t>
            </w:r>
            <w:r w:rsidRPr="00646B44">
              <w:rPr>
                <w:rFonts w:ascii="Calibri" w:hAnsi="Calibri" w:cs="Calibri"/>
                <w:color w:val="000000"/>
                <w:lang w:val="ro-RO"/>
              </w:rPr>
              <w:br/>
              <w:t>„ ... cerințe exagerate din partea OIR-urilor, care de cele mai multe ori nu sunt unitare (un OIR spune într-un fel, iar alt OIR recomandă altceva)”</w:t>
            </w:r>
            <w:r w:rsidRPr="00646B44">
              <w:rPr>
                <w:rFonts w:ascii="Calibri" w:hAnsi="Calibri" w:cs="Calibri"/>
                <w:color w:val="000000"/>
                <w:lang w:val="ro-RO"/>
              </w:rPr>
              <w:br/>
              <w:t>„Raportarea chiar și la cel mult 3 luni presupune un volum mare de muncă, cu cantități impresionate de informații și documente”</w:t>
            </w:r>
            <w:r w:rsidRPr="00646B44">
              <w:rPr>
                <w:rFonts w:ascii="Calibri" w:hAnsi="Calibri" w:cs="Calibri"/>
                <w:color w:val="000000"/>
                <w:lang w:val="ro-RO"/>
              </w:rPr>
              <w:br/>
            </w:r>
            <w:r w:rsidRPr="00646B44">
              <w:rPr>
                <w:rFonts w:ascii="Calibri" w:hAnsi="Calibri" w:cs="Calibri"/>
                <w:color w:val="000000"/>
                <w:lang w:val="ro-RO"/>
              </w:rPr>
              <w:lastRenderedPageBreak/>
              <w:t>„Aspecte birocratice - raportarea dificilă (la două luni), fiind solicitate multe livrabile, livrabile comune la nivel de partener/ medici de familie nu sunt acceptate, fiind nevoie de o uniformizare a abordării acestora”</w:t>
            </w:r>
            <w:r w:rsidRPr="00646B44">
              <w:rPr>
                <w:rFonts w:ascii="Calibri" w:hAnsi="Calibri" w:cs="Calibri"/>
                <w:color w:val="000000"/>
                <w:lang w:val="ro-RO"/>
              </w:rPr>
              <w:br/>
              <w:t>„Activitățile se dovedesc a fi consumatoare de timp (convorbiri telefonice, clarificări oferite fiecărui medic de familie în parte) care nu pot fi cuantificate în livrabile și fiind solicitate detalii suplimentare de către OI”</w:t>
            </w:r>
            <w:r w:rsidRPr="00646B44">
              <w:rPr>
                <w:rFonts w:ascii="Calibri" w:hAnsi="Calibri" w:cs="Calibri"/>
                <w:color w:val="000000"/>
                <w:lang w:val="ro-RO"/>
              </w:rPr>
              <w:br/>
              <w:t>„Gradul crescut de birocrație și timpul alocat aspectelor birocratice, rapoartele sunt stufoase și există solicitării în vederea detalierii acestora, ceea ce creează un volum ridicat de muncă. Ar trebui să fie agreat un compromis între părți (beneficiar – OI/AM) cu privire la acceptarea unor dovezi minime referitoare la atingerea rezultatelor, care pot fi observate în acțiunile realiste întreprinse.”</w:t>
            </w:r>
          </w:p>
        </w:tc>
      </w:tr>
      <w:tr w:rsidR="00646B44" w:rsidRPr="00C00B8B" w14:paraId="763AABC5" w14:textId="77777777" w:rsidTr="00646B44">
        <w:trPr>
          <w:trHeight w:val="193"/>
          <w:jc w:val="center"/>
        </w:trPr>
        <w:tc>
          <w:tcPr>
            <w:cnfStyle w:val="001000000000" w:firstRow="0" w:lastRow="0" w:firstColumn="1" w:lastColumn="0" w:oddVBand="0" w:evenVBand="0" w:oddHBand="0" w:evenHBand="0" w:firstRowFirstColumn="0" w:firstRowLastColumn="0" w:lastRowFirstColumn="0" w:lastRowLastColumn="0"/>
            <w:tcW w:w="402" w:type="pct"/>
            <w:shd w:val="clear" w:color="auto" w:fill="FFFFFF" w:themeFill="background1"/>
            <w:noWrap/>
          </w:tcPr>
          <w:p w14:paraId="4FF68C78" w14:textId="562F6FFC" w:rsidR="00646B44" w:rsidRPr="00646B44" w:rsidRDefault="00646B44" w:rsidP="00646B44">
            <w:pPr>
              <w:rPr>
                <w:b w:val="0"/>
                <w:sz w:val="18"/>
                <w:szCs w:val="18"/>
                <w:lang w:val="ro-RO"/>
              </w:rPr>
            </w:pPr>
            <w:r w:rsidRPr="00646B44">
              <w:rPr>
                <w:rFonts w:ascii="Calibri" w:hAnsi="Calibri" w:cs="Calibri"/>
                <w:b w:val="0"/>
                <w:bCs w:val="0"/>
                <w:color w:val="000000"/>
                <w:lang w:val="ro-RO"/>
              </w:rPr>
              <w:lastRenderedPageBreak/>
              <w:t> </w:t>
            </w:r>
          </w:p>
        </w:tc>
        <w:tc>
          <w:tcPr>
            <w:cnfStyle w:val="000010000000" w:firstRow="0" w:lastRow="0" w:firstColumn="0" w:lastColumn="0" w:oddVBand="1" w:evenVBand="0" w:oddHBand="0" w:evenHBand="0" w:firstRowFirstColumn="0" w:firstRowLastColumn="0" w:lastRowFirstColumn="0" w:lastRowLastColumn="0"/>
            <w:tcW w:w="1620" w:type="pct"/>
            <w:shd w:val="clear" w:color="auto" w:fill="FFFFFF" w:themeFill="background1"/>
          </w:tcPr>
          <w:p w14:paraId="4077C67D" w14:textId="74E80B48" w:rsidR="00646B44" w:rsidRPr="00646B44" w:rsidRDefault="00646B44" w:rsidP="00646B44">
            <w:pPr>
              <w:spacing w:after="120"/>
              <w:rPr>
                <w:sz w:val="18"/>
                <w:szCs w:val="18"/>
                <w:lang w:val="ro-RO"/>
              </w:rPr>
            </w:pPr>
            <w:r w:rsidRPr="00646B44">
              <w:rPr>
                <w:rFonts w:ascii="Calibri" w:hAnsi="Calibri" w:cs="Calibri"/>
                <w:b/>
                <w:bCs/>
                <w:color w:val="000000"/>
                <w:lang w:val="ro-RO"/>
              </w:rPr>
              <w:t xml:space="preserve">POCU Form </w:t>
            </w:r>
          </w:p>
        </w:tc>
        <w:tc>
          <w:tcPr>
            <w:tcW w:w="2978" w:type="pct"/>
            <w:shd w:val="clear" w:color="auto" w:fill="FFFFFF" w:themeFill="background1"/>
          </w:tcPr>
          <w:p w14:paraId="4E067CA8" w14:textId="0505C936" w:rsidR="00646B44" w:rsidRPr="00646B44" w:rsidRDefault="00646B44" w:rsidP="00646B44">
            <w:pPr>
              <w:spacing w:after="120"/>
              <w:cnfStyle w:val="000000000000" w:firstRow="0" w:lastRow="0" w:firstColumn="0" w:lastColumn="0" w:oddVBand="0" w:evenVBand="0" w:oddHBand="0" w:evenHBand="0" w:firstRowFirstColumn="0" w:firstRowLastColumn="0" w:lastRowFirstColumn="0" w:lastRowLastColumn="0"/>
              <w:rPr>
                <w:sz w:val="18"/>
                <w:szCs w:val="18"/>
                <w:lang w:val="ro-RO"/>
              </w:rPr>
            </w:pPr>
            <w:r w:rsidRPr="00646B44">
              <w:rPr>
                <w:rFonts w:ascii="Calibri" w:hAnsi="Calibri" w:cs="Calibri"/>
                <w:color w:val="000000"/>
                <w:lang w:val="ro-RO"/>
              </w:rPr>
              <w:t>„POCU Form funcționează cu dificultate, fiind solicitate foarte multe informații pentru fiecare participant în parte, activitate ce se dovedește consumatoare de timp.”</w:t>
            </w:r>
            <w:r w:rsidRPr="00646B44">
              <w:rPr>
                <w:rFonts w:ascii="Calibri" w:hAnsi="Calibri" w:cs="Calibri"/>
                <w:color w:val="000000"/>
                <w:lang w:val="ro-RO"/>
              </w:rPr>
              <w:br/>
              <w:t>„Funcționarea cu dificultate a POCU Form pentru raportarea unui grup țintă mare (se procesează aprox. 3 sau 4 mii de dosare/lună presupunând o muncă imensă  - documente scanate, arhivare, intrare/ieșire din operațiune, raportare, urmărire situație la 6 luni după ieșirea din operațiune, etc.)”</w:t>
            </w:r>
            <w:r w:rsidRPr="00646B44">
              <w:rPr>
                <w:rFonts w:ascii="Calibri" w:hAnsi="Calibri" w:cs="Calibri"/>
                <w:color w:val="000000"/>
                <w:lang w:val="ro-RO"/>
              </w:rPr>
              <w:br/>
              <w:t>„Funcționarea cu dificultate a POCU Form, fiind vorba de un grup țintă mare (120.000 de persoane).”</w:t>
            </w:r>
          </w:p>
        </w:tc>
      </w:tr>
    </w:tbl>
    <w:p w14:paraId="222AC4F6" w14:textId="77777777" w:rsidR="00950301" w:rsidRDefault="00950301"/>
    <w:sectPr w:rsidR="00950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365312"/>
    <w:rsid w:val="00281F7D"/>
    <w:rsid w:val="00450FE6"/>
    <w:rsid w:val="004C07D0"/>
    <w:rsid w:val="00646B44"/>
    <w:rsid w:val="00950301"/>
    <w:rsid w:val="2F3653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5312"/>
  <w15:chartTrackingRefBased/>
  <w15:docId w15:val="{9E4AD533-72F9-46AB-8612-26CFCE47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otranslate">
    <w:name w:val="notranslate"/>
    <w:basedOn w:val="Fontdeparagrafimplicit"/>
    <w:rsid w:val="004C07D0"/>
  </w:style>
  <w:style w:type="table" w:styleId="Tabelgril4-Accentuare1">
    <w:name w:val="Grid Table 4 Accent 1"/>
    <w:basedOn w:val="TabelNormal"/>
    <w:uiPriority w:val="49"/>
    <w:rsid w:val="004C07D0"/>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CO">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8643-0DAB-40AD-A06C-C0806F52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6FD0E-3606-4D82-8C45-58478FBE03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7FF4B-78AA-4528-BF89-23B0C4D8E137}">
  <ds:schemaRefs>
    <ds:schemaRef ds:uri="http://schemas.microsoft.com/sharepoint/v3/contenttype/forms"/>
  </ds:schemaRefs>
</ds:datastoreItem>
</file>

<file path=customXml/itemProps4.xml><?xml version="1.0" encoding="utf-8"?>
<ds:datastoreItem xmlns:ds="http://schemas.openxmlformats.org/officeDocument/2006/customXml" ds:itemID="{35F718A9-8A62-483E-9AC6-F65711B3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Todor</dc:creator>
  <cp:keywords/>
  <dc:description/>
  <cp:lastModifiedBy>Florina Todor</cp:lastModifiedBy>
  <cp:revision>5</cp:revision>
  <dcterms:created xsi:type="dcterms:W3CDTF">2022-01-05T11:00:00Z</dcterms:created>
  <dcterms:modified xsi:type="dcterms:W3CDTF">2022-01-05T11:47:00Z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