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6182" w14:textId="77777777" w:rsidR="009F750F" w:rsidRPr="00991E05" w:rsidRDefault="009F750F" w:rsidP="009F750F">
      <w:pPr>
        <w:ind w:right="-2"/>
        <w:jc w:val="center"/>
        <w:rPr>
          <w:rFonts w:ascii="Calibri" w:eastAsia="Calibri" w:hAnsi="Calibri" w:cs="Calibri"/>
          <w:b/>
          <w:color w:val="000000"/>
        </w:rPr>
      </w:pPr>
    </w:p>
    <w:p w14:paraId="7704894C" w14:textId="77777777" w:rsidR="009F750F" w:rsidRPr="00991E05" w:rsidRDefault="009F750F" w:rsidP="009F750F">
      <w:pPr>
        <w:ind w:right="-2"/>
        <w:jc w:val="center"/>
        <w:rPr>
          <w:rFonts w:ascii="Calibri" w:eastAsia="Calibri" w:hAnsi="Calibri" w:cs="Calibri"/>
          <w:b/>
          <w:color w:val="000000"/>
        </w:rPr>
      </w:pPr>
    </w:p>
    <w:p w14:paraId="041416FC" w14:textId="77777777" w:rsidR="009F750F" w:rsidRPr="00991E05" w:rsidRDefault="009F750F" w:rsidP="009F750F">
      <w:pPr>
        <w:ind w:right="-2"/>
        <w:jc w:val="center"/>
        <w:rPr>
          <w:rFonts w:ascii="Calibri" w:eastAsia="Calibri" w:hAnsi="Calibri" w:cs="Calibri"/>
          <w:b/>
          <w:color w:val="000000"/>
        </w:rPr>
      </w:pPr>
    </w:p>
    <w:p w14:paraId="11C26418" w14:textId="77777777" w:rsidR="009F750F" w:rsidRPr="00991E05" w:rsidRDefault="009F750F" w:rsidP="009F750F">
      <w:pPr>
        <w:ind w:right="-2"/>
        <w:jc w:val="center"/>
        <w:rPr>
          <w:rFonts w:ascii="Calibri" w:eastAsia="Calibri" w:hAnsi="Calibri" w:cs="Calibri"/>
          <w:b/>
          <w:color w:val="000000"/>
        </w:rPr>
      </w:pPr>
    </w:p>
    <w:p w14:paraId="69869614" w14:textId="77777777" w:rsidR="009F750F" w:rsidRPr="00991E05" w:rsidRDefault="009F750F" w:rsidP="009F750F">
      <w:pPr>
        <w:ind w:right="-2"/>
        <w:jc w:val="center"/>
        <w:rPr>
          <w:rFonts w:ascii="Calibri" w:eastAsia="Calibri" w:hAnsi="Calibri" w:cs="Calibri"/>
          <w:b/>
          <w:color w:val="000000"/>
        </w:rPr>
      </w:pPr>
    </w:p>
    <w:p w14:paraId="6B38614B" w14:textId="77777777" w:rsidR="009F750F" w:rsidRPr="00991E05" w:rsidRDefault="009F750F" w:rsidP="451F68E4">
      <w:pPr>
        <w:ind w:right="-2"/>
        <w:jc w:val="center"/>
        <w:rPr>
          <w:rFonts w:ascii="Calibri" w:eastAsia="Calibri" w:hAnsi="Calibri" w:cs="Calibri"/>
          <w:b/>
          <w:bCs/>
          <w:color w:val="000000"/>
          <w:sz w:val="32"/>
          <w:szCs w:val="32"/>
        </w:rPr>
      </w:pPr>
    </w:p>
    <w:p w14:paraId="6CF966E4" w14:textId="77777777" w:rsidR="009F750F" w:rsidRPr="00991E05" w:rsidRDefault="009F750F" w:rsidP="451F68E4">
      <w:pPr>
        <w:ind w:right="-2"/>
        <w:jc w:val="center"/>
        <w:rPr>
          <w:rFonts w:ascii="Calibri" w:eastAsia="Calibri" w:hAnsi="Calibri" w:cs="Calibri"/>
          <w:b/>
          <w:bCs/>
          <w:color w:val="000000"/>
          <w:sz w:val="32"/>
          <w:szCs w:val="32"/>
        </w:rPr>
      </w:pPr>
    </w:p>
    <w:p w14:paraId="36ED215B" w14:textId="77777777" w:rsidR="009F750F" w:rsidRPr="00991E05" w:rsidRDefault="009F750F" w:rsidP="451F68E4">
      <w:pPr>
        <w:ind w:right="-2"/>
        <w:jc w:val="center"/>
        <w:rPr>
          <w:rFonts w:ascii="Calibri" w:eastAsia="Calibri" w:hAnsi="Calibri" w:cs="Calibri"/>
          <w:b/>
          <w:bCs/>
          <w:color w:val="000000"/>
          <w:sz w:val="32"/>
          <w:szCs w:val="32"/>
        </w:rPr>
      </w:pPr>
    </w:p>
    <w:p w14:paraId="42256285" w14:textId="77777777" w:rsidR="009F750F" w:rsidRPr="00991E05" w:rsidRDefault="009F750F" w:rsidP="451F68E4">
      <w:pPr>
        <w:ind w:right="-2"/>
        <w:jc w:val="center"/>
        <w:rPr>
          <w:rFonts w:ascii="Calibri" w:eastAsia="Calibri" w:hAnsi="Calibri" w:cs="Calibri"/>
          <w:b/>
          <w:bCs/>
          <w:color w:val="000000"/>
          <w:sz w:val="32"/>
          <w:szCs w:val="32"/>
        </w:rPr>
      </w:pPr>
    </w:p>
    <w:p w14:paraId="2F416694" w14:textId="3B8FD276" w:rsidR="009F750F" w:rsidRPr="00991E05" w:rsidRDefault="00442277" w:rsidP="009E3C41">
      <w:pPr>
        <w:spacing w:after="200" w:line="264" w:lineRule="auto"/>
        <w:jc w:val="center"/>
        <w:rPr>
          <w:rFonts w:ascii="Calibri" w:eastAsia="Times New Roman" w:hAnsi="Calibri" w:cs="Calibri"/>
          <w:b/>
          <w:bCs/>
          <w:color w:val="4F81BD"/>
          <w:kern w:val="1"/>
          <w:sz w:val="32"/>
          <w:szCs w:val="32"/>
          <w:lang w:eastAsia="ar-SA"/>
        </w:rPr>
      </w:pPr>
      <w:r w:rsidRPr="00991E05">
        <w:rPr>
          <w:rFonts w:ascii="Calibri" w:eastAsia="Times New Roman" w:hAnsi="Calibri" w:cs="Calibri"/>
          <w:b/>
          <w:bCs/>
          <w:sz w:val="32"/>
          <w:szCs w:val="32"/>
        </w:rPr>
        <w:t>Evaluarea intervențiilor PO</w:t>
      </w:r>
      <w:r w:rsidR="001836BD">
        <w:rPr>
          <w:rFonts w:ascii="Calibri" w:eastAsia="Times New Roman" w:hAnsi="Calibri" w:cs="Calibri"/>
          <w:b/>
          <w:bCs/>
          <w:sz w:val="32"/>
          <w:szCs w:val="32"/>
        </w:rPr>
        <w:t>CU</w:t>
      </w:r>
      <w:r w:rsidRPr="00991E05">
        <w:rPr>
          <w:rFonts w:ascii="Calibri" w:eastAsia="Times New Roman" w:hAnsi="Calibri" w:cs="Calibri"/>
          <w:b/>
          <w:bCs/>
          <w:sz w:val="32"/>
          <w:szCs w:val="32"/>
        </w:rPr>
        <w:t xml:space="preserve"> în domeniul incluziunii sociale</w:t>
      </w:r>
    </w:p>
    <w:p w14:paraId="27B80102" w14:textId="0FE41576" w:rsidR="00FD718C" w:rsidRPr="00991E05" w:rsidRDefault="00137C9C" w:rsidP="00831573">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991E05">
        <w:rPr>
          <w:rFonts w:ascii="Calibri" w:eastAsia="Calibri" w:hAnsi="Calibri" w:cs="Calibri"/>
          <w:b/>
          <w:bCs/>
          <w:color w:val="3CA1BC"/>
          <w:sz w:val="32"/>
          <w:szCs w:val="32"/>
          <w:lang w:eastAsia="ar-SA"/>
        </w:rPr>
        <w:t>(</w:t>
      </w:r>
      <w:r w:rsidR="001836BD">
        <w:rPr>
          <w:rFonts w:ascii="Calibri" w:eastAsia="Calibri" w:hAnsi="Calibri" w:cs="Calibri"/>
          <w:b/>
          <w:bCs/>
          <w:color w:val="3CA1BC"/>
          <w:sz w:val="32"/>
          <w:szCs w:val="32"/>
          <w:lang w:eastAsia="ar-SA"/>
        </w:rPr>
        <w:t>TE 6</w:t>
      </w:r>
      <w:r w:rsidRPr="00991E05">
        <w:rPr>
          <w:rFonts w:ascii="Calibri" w:eastAsia="Calibri" w:hAnsi="Calibri" w:cs="Calibri"/>
          <w:b/>
          <w:bCs/>
          <w:color w:val="3CA1BC"/>
          <w:sz w:val="32"/>
          <w:szCs w:val="32"/>
          <w:lang w:eastAsia="ar-SA"/>
        </w:rPr>
        <w:t>)</w:t>
      </w:r>
      <w:r w:rsidR="00B712B9">
        <w:rPr>
          <w:rFonts w:ascii="Calibri" w:eastAsia="Calibri" w:hAnsi="Calibri" w:cs="Calibri"/>
          <w:b/>
          <w:bCs/>
          <w:color w:val="3CA1BC"/>
          <w:sz w:val="32"/>
          <w:szCs w:val="32"/>
          <w:lang w:eastAsia="ar-SA"/>
        </w:rPr>
        <w:t>.</w:t>
      </w:r>
      <w:r w:rsidR="00DF5D22" w:rsidRPr="00991E05">
        <w:rPr>
          <w:rFonts w:ascii="Calibri" w:eastAsia="Calibri" w:hAnsi="Calibri" w:cs="Calibri"/>
          <w:b/>
          <w:bCs/>
          <w:color w:val="3CA1BC"/>
          <w:sz w:val="32"/>
          <w:szCs w:val="32"/>
          <w:lang w:eastAsia="ar-SA"/>
        </w:rPr>
        <w:t xml:space="preserve"> </w:t>
      </w:r>
      <w:r w:rsidR="00B712B9" w:rsidRPr="00991E05">
        <w:rPr>
          <w:rFonts w:ascii="Calibri" w:eastAsia="Calibri" w:hAnsi="Calibri" w:cs="Calibri"/>
          <w:b/>
          <w:bCs/>
          <w:color w:val="3CA1BC"/>
          <w:sz w:val="32"/>
          <w:szCs w:val="32"/>
          <w:lang w:eastAsia="ar-SA"/>
        </w:rPr>
        <w:t xml:space="preserve">Anexa </w:t>
      </w:r>
      <w:r w:rsidR="00DF6348" w:rsidRPr="00991E05">
        <w:rPr>
          <w:rFonts w:ascii="Calibri" w:eastAsia="Calibri" w:hAnsi="Calibri" w:cs="Calibri"/>
          <w:b/>
          <w:bCs/>
          <w:color w:val="3CA1BC"/>
          <w:sz w:val="32"/>
          <w:szCs w:val="32"/>
          <w:lang w:eastAsia="ar-SA"/>
        </w:rPr>
        <w:t>1</w:t>
      </w:r>
      <w:r w:rsidR="00B712B9">
        <w:rPr>
          <w:rFonts w:ascii="Calibri" w:eastAsia="Calibri" w:hAnsi="Calibri" w:cs="Calibri"/>
          <w:b/>
          <w:bCs/>
          <w:color w:val="3CA1BC"/>
          <w:sz w:val="32"/>
          <w:szCs w:val="32"/>
          <w:lang w:eastAsia="ar-SA"/>
        </w:rPr>
        <w:t>2</w:t>
      </w:r>
      <w:r w:rsidR="006C1C8E" w:rsidRPr="00991E05">
        <w:rPr>
          <w:rFonts w:ascii="Calibri" w:eastAsia="Calibri" w:hAnsi="Calibri" w:cs="Calibri"/>
          <w:b/>
          <w:bCs/>
          <w:color w:val="3CA1BC"/>
          <w:sz w:val="32"/>
          <w:szCs w:val="32"/>
          <w:lang w:eastAsia="ar-SA"/>
        </w:rPr>
        <w:t>.</w:t>
      </w:r>
      <w:r w:rsidR="009F750F" w:rsidRPr="00991E05">
        <w:rPr>
          <w:rFonts w:ascii="Calibri" w:eastAsia="Calibri" w:hAnsi="Calibri" w:cs="Calibri"/>
          <w:b/>
          <w:bCs/>
          <w:color w:val="3CA1BC"/>
          <w:sz w:val="32"/>
          <w:szCs w:val="32"/>
          <w:lang w:eastAsia="ar-SA"/>
        </w:rPr>
        <w:t xml:space="preserve"> </w:t>
      </w:r>
      <w:r w:rsidR="00B712B9" w:rsidRPr="00991E05">
        <w:rPr>
          <w:rFonts w:ascii="Calibri" w:eastAsia="Calibri" w:hAnsi="Calibri" w:cs="Calibri"/>
          <w:b/>
          <w:bCs/>
          <w:color w:val="3CA1BC"/>
          <w:sz w:val="32"/>
          <w:szCs w:val="32"/>
          <w:lang w:eastAsia="ar-SA"/>
        </w:rPr>
        <w:t>Literatur</w:t>
      </w:r>
      <w:r w:rsidR="00B712B9">
        <w:rPr>
          <w:rFonts w:ascii="Calibri" w:eastAsia="Calibri" w:hAnsi="Calibri" w:cs="Calibri"/>
          <w:b/>
          <w:bCs/>
          <w:color w:val="3CA1BC"/>
          <w:sz w:val="32"/>
          <w:szCs w:val="32"/>
          <w:lang w:eastAsia="ar-SA"/>
        </w:rPr>
        <w:t>ă</w:t>
      </w:r>
      <w:r w:rsidR="00B712B9" w:rsidRPr="00991E05">
        <w:rPr>
          <w:rFonts w:ascii="Calibri" w:eastAsia="Calibri" w:hAnsi="Calibri" w:cs="Calibri"/>
          <w:b/>
          <w:bCs/>
          <w:color w:val="3CA1BC"/>
          <w:sz w:val="32"/>
          <w:szCs w:val="32"/>
          <w:lang w:eastAsia="ar-SA"/>
        </w:rPr>
        <w:t xml:space="preserve"> de specialitate </w:t>
      </w:r>
      <w:r w:rsidR="00B712B9">
        <w:rPr>
          <w:rFonts w:ascii="Calibri" w:eastAsia="Calibri" w:hAnsi="Calibri" w:cs="Calibri"/>
          <w:b/>
          <w:bCs/>
          <w:color w:val="3CA1BC"/>
          <w:sz w:val="32"/>
          <w:szCs w:val="32"/>
          <w:lang w:eastAsia="ar-SA"/>
        </w:rPr>
        <w:t>și bibliografie</w:t>
      </w:r>
      <w:r w:rsidR="009F750F" w:rsidRPr="00991E05">
        <w:rPr>
          <w:rFonts w:ascii="Calibri" w:eastAsia="Calibri" w:hAnsi="Calibri" w:cs="Calibri"/>
          <w:b/>
          <w:bCs/>
          <w:color w:val="3CA1BC"/>
          <w:sz w:val="32"/>
          <w:szCs w:val="32"/>
          <w:lang w:eastAsia="ar-SA"/>
        </w:rPr>
        <w:t xml:space="preserve"> </w:t>
      </w:r>
    </w:p>
    <w:p w14:paraId="4C0C9AFC" w14:textId="702B0650" w:rsidR="00846B8E" w:rsidRPr="00991E05" w:rsidRDefault="00846B8E" w:rsidP="009E3C41">
      <w:pPr>
        <w:spacing w:after="200" w:line="264" w:lineRule="auto"/>
        <w:ind w:right="-2"/>
        <w:jc w:val="center"/>
        <w:rPr>
          <w:rFonts w:ascii="Calibri" w:eastAsia="Calibri" w:hAnsi="Calibri" w:cs="Calibri"/>
          <w:b/>
          <w:bCs/>
          <w:i/>
          <w:iCs/>
          <w:color w:val="000000"/>
          <w:sz w:val="32"/>
          <w:szCs w:val="32"/>
        </w:rPr>
      </w:pPr>
    </w:p>
    <w:p w14:paraId="0D3D8D98" w14:textId="6C18DA2D" w:rsidR="00B8714C" w:rsidRPr="00991E05" w:rsidRDefault="00B8714C">
      <w:pPr>
        <w:rPr>
          <w:rFonts w:ascii="Calibri" w:eastAsiaTheme="majorEastAsia" w:hAnsi="Calibri" w:cs="Calibri"/>
          <w:i/>
          <w:spacing w:val="-10"/>
          <w:kern w:val="28"/>
        </w:rPr>
      </w:pPr>
    </w:p>
    <w:p w14:paraId="1076D129" w14:textId="3942B915" w:rsidR="00846B8E" w:rsidRPr="00991E05" w:rsidRDefault="00846B8E">
      <w:pPr>
        <w:rPr>
          <w:rFonts w:ascii="Calibri" w:eastAsiaTheme="majorEastAsia" w:hAnsi="Calibri" w:cs="Calibri"/>
          <w:i/>
          <w:spacing w:val="-10"/>
          <w:kern w:val="28"/>
        </w:rPr>
      </w:pPr>
    </w:p>
    <w:p w14:paraId="4FC33464" w14:textId="0EBDD166" w:rsidR="00846B8E" w:rsidRPr="00991E05" w:rsidRDefault="00846B8E">
      <w:pPr>
        <w:rPr>
          <w:rFonts w:ascii="Calibri" w:eastAsiaTheme="majorEastAsia" w:hAnsi="Calibri" w:cs="Calibri"/>
          <w:i/>
          <w:spacing w:val="-10"/>
          <w:kern w:val="28"/>
        </w:rPr>
      </w:pPr>
    </w:p>
    <w:p w14:paraId="2316ED34" w14:textId="6DEED161" w:rsidR="00846B8E" w:rsidRPr="00991E05" w:rsidRDefault="00846B8E">
      <w:pPr>
        <w:rPr>
          <w:rFonts w:ascii="Calibri" w:eastAsiaTheme="majorEastAsia" w:hAnsi="Calibri" w:cs="Calibri"/>
          <w:i/>
          <w:spacing w:val="-10"/>
          <w:kern w:val="28"/>
        </w:rPr>
      </w:pPr>
    </w:p>
    <w:p w14:paraId="7DE363DB" w14:textId="177ABEE0" w:rsidR="006C1C79" w:rsidRPr="00991E05" w:rsidRDefault="006C1C79">
      <w:pPr>
        <w:rPr>
          <w:rFonts w:ascii="Calibri" w:eastAsiaTheme="majorEastAsia" w:hAnsi="Calibri" w:cs="Calibri"/>
          <w:i/>
          <w:spacing w:val="-10"/>
          <w:kern w:val="28"/>
        </w:rPr>
      </w:pPr>
    </w:p>
    <w:p w14:paraId="5AF943A8" w14:textId="27A56B49" w:rsidR="006C1C79" w:rsidRPr="00991E05" w:rsidRDefault="006C1C79">
      <w:pPr>
        <w:rPr>
          <w:rFonts w:ascii="Calibri" w:eastAsiaTheme="majorEastAsia" w:hAnsi="Calibri" w:cs="Calibri"/>
          <w:i/>
          <w:spacing w:val="-10"/>
          <w:kern w:val="28"/>
        </w:rPr>
      </w:pPr>
    </w:p>
    <w:p w14:paraId="10118E8A" w14:textId="4AC37F68" w:rsidR="006C1C79" w:rsidRPr="00991E05" w:rsidRDefault="006C1C79">
      <w:pPr>
        <w:rPr>
          <w:rFonts w:ascii="Calibri" w:eastAsiaTheme="majorEastAsia" w:hAnsi="Calibri" w:cs="Calibri"/>
          <w:i/>
          <w:spacing w:val="-10"/>
          <w:kern w:val="28"/>
        </w:rPr>
      </w:pPr>
    </w:p>
    <w:p w14:paraId="48FB8F8C" w14:textId="75BED4BC" w:rsidR="0056354F" w:rsidRPr="00991E05" w:rsidRDefault="0056354F">
      <w:pPr>
        <w:rPr>
          <w:rFonts w:ascii="Calibri" w:eastAsiaTheme="majorEastAsia" w:hAnsi="Calibri" w:cs="Calibri"/>
          <w:i/>
          <w:spacing w:val="-10"/>
          <w:kern w:val="28"/>
        </w:rPr>
      </w:pPr>
    </w:p>
    <w:p w14:paraId="34F41933" w14:textId="77777777" w:rsidR="0056354F" w:rsidRPr="00991E05" w:rsidRDefault="0056354F">
      <w:pPr>
        <w:rPr>
          <w:rFonts w:ascii="Calibri" w:eastAsiaTheme="majorEastAsia" w:hAnsi="Calibri" w:cs="Calibri"/>
          <w:i/>
          <w:spacing w:val="-10"/>
          <w:kern w:val="28"/>
        </w:rPr>
      </w:pPr>
    </w:p>
    <w:p w14:paraId="6EE75D40" w14:textId="3CF141CF" w:rsidR="006C1C79" w:rsidRPr="00991E05" w:rsidRDefault="006C1C79">
      <w:pPr>
        <w:rPr>
          <w:rFonts w:ascii="Calibri" w:eastAsiaTheme="majorEastAsia" w:hAnsi="Calibri" w:cs="Calibri"/>
          <w:i/>
          <w:spacing w:val="-10"/>
          <w:kern w:val="28"/>
        </w:rPr>
      </w:pPr>
    </w:p>
    <w:p w14:paraId="0E7668DC" w14:textId="6FA17E69" w:rsidR="006C1C79" w:rsidRPr="00991E05" w:rsidRDefault="006C1C79">
      <w:pPr>
        <w:rPr>
          <w:rFonts w:ascii="Calibri" w:eastAsiaTheme="majorEastAsia" w:hAnsi="Calibri" w:cs="Calibri"/>
          <w:i/>
          <w:spacing w:val="-10"/>
          <w:kern w:val="28"/>
        </w:rPr>
      </w:pPr>
    </w:p>
    <w:p w14:paraId="217B6EB8" w14:textId="175343F7" w:rsidR="006C1C79" w:rsidRPr="00991E05" w:rsidRDefault="006C1C79">
      <w:pPr>
        <w:rPr>
          <w:rFonts w:ascii="Calibri" w:eastAsiaTheme="majorEastAsia" w:hAnsi="Calibri" w:cs="Calibri"/>
          <w:i/>
          <w:spacing w:val="-10"/>
          <w:kern w:val="28"/>
        </w:rPr>
      </w:pPr>
    </w:p>
    <w:p w14:paraId="70631A44" w14:textId="24F3A41B" w:rsidR="006C1C79" w:rsidRPr="00991E05" w:rsidRDefault="006C1C79">
      <w:pPr>
        <w:rPr>
          <w:rFonts w:ascii="Calibri" w:eastAsiaTheme="majorEastAsia" w:hAnsi="Calibri" w:cs="Calibri"/>
          <w:i/>
          <w:spacing w:val="-10"/>
          <w:kern w:val="28"/>
        </w:rPr>
      </w:pPr>
    </w:p>
    <w:p w14:paraId="43EFACB5" w14:textId="77777777" w:rsidR="00B8714C" w:rsidRPr="00991E05" w:rsidRDefault="00B8714C" w:rsidP="00DE0D08">
      <w:pPr>
        <w:spacing w:after="0"/>
        <w:jc w:val="center"/>
        <w:rPr>
          <w:rFonts w:ascii="Calibri" w:eastAsiaTheme="majorEastAsia" w:hAnsi="Calibri" w:cs="Calibri"/>
          <w:i/>
          <w:spacing w:val="-10"/>
          <w:kern w:val="28"/>
        </w:rPr>
      </w:pPr>
    </w:p>
    <w:p w14:paraId="15E9AFD0" w14:textId="77777777" w:rsidR="00C168DA" w:rsidRPr="00991E05" w:rsidRDefault="00C168DA" w:rsidP="00CB77E0">
      <w:pPr>
        <w:jc w:val="both"/>
        <w:rPr>
          <w:rFonts w:ascii="Calibri" w:hAnsi="Calibri" w:cs="Calibri"/>
          <w:noProof/>
        </w:rPr>
      </w:pPr>
      <w:bookmarkStart w:id="1" w:name="_Toc40867849"/>
    </w:p>
    <w:p w14:paraId="52DCECEA" w14:textId="77777777" w:rsidR="00936E0F" w:rsidRDefault="00936E0F" w:rsidP="004D42A7">
      <w:pPr>
        <w:spacing w:after="120" w:line="240" w:lineRule="auto"/>
        <w:jc w:val="both"/>
        <w:rPr>
          <w:rFonts w:ascii="Calibri" w:hAnsi="Calibri" w:cs="Calibri"/>
          <w:noProof/>
        </w:rPr>
      </w:pPr>
    </w:p>
    <w:p w14:paraId="5B8ED5C1" w14:textId="2D03FB6C" w:rsidR="00CE5189" w:rsidRDefault="00AE1F3B" w:rsidP="001D4652">
      <w:pPr>
        <w:spacing w:before="120"/>
        <w:jc w:val="both"/>
        <w:rPr>
          <w:szCs w:val="20"/>
        </w:rPr>
      </w:pPr>
      <w:r>
        <w:rPr>
          <w:szCs w:val="20"/>
        </w:rPr>
        <w:lastRenderedPageBreak/>
        <w:t>S</w:t>
      </w:r>
      <w:r w:rsidR="00F75E12" w:rsidRPr="00F75E12">
        <w:rPr>
          <w:szCs w:val="20"/>
        </w:rPr>
        <w:t>ărăcia</w:t>
      </w:r>
      <w:r w:rsidR="004D4FFE">
        <w:rPr>
          <w:szCs w:val="20"/>
        </w:rPr>
        <w:t xml:space="preserve"> </w:t>
      </w:r>
      <w:r w:rsidR="00F75E12">
        <w:rPr>
          <w:szCs w:val="20"/>
        </w:rPr>
        <w:t>contrib</w:t>
      </w:r>
      <w:r>
        <w:rPr>
          <w:szCs w:val="20"/>
        </w:rPr>
        <w:t xml:space="preserve">uie semnificativ </w:t>
      </w:r>
      <w:r w:rsidR="00F75E12" w:rsidRPr="00F75E12">
        <w:rPr>
          <w:szCs w:val="20"/>
        </w:rPr>
        <w:t>la</w:t>
      </w:r>
      <w:r w:rsidR="00F75E12">
        <w:rPr>
          <w:szCs w:val="20"/>
        </w:rPr>
        <w:t xml:space="preserve"> o stare de </w:t>
      </w:r>
      <w:r w:rsidR="00F75E12" w:rsidRPr="00F75E12">
        <w:rPr>
          <w:szCs w:val="20"/>
        </w:rPr>
        <w:t>sănăta</w:t>
      </w:r>
      <w:r w:rsidR="00F75E12">
        <w:rPr>
          <w:szCs w:val="20"/>
        </w:rPr>
        <w:t>te precară</w:t>
      </w:r>
      <w:r>
        <w:rPr>
          <w:szCs w:val="20"/>
        </w:rPr>
        <w:t xml:space="preserve"> prin </w:t>
      </w:r>
      <w:r w:rsidRPr="00F75E12">
        <w:rPr>
          <w:szCs w:val="20"/>
        </w:rPr>
        <w:t>alimentație deficitară, dietă nesănătoasă sau condiții de trai inadecvate (absența unor condiții decente de locuire, lipsa apei sau condiții precare de igienă)</w:t>
      </w:r>
      <w:r>
        <w:rPr>
          <w:szCs w:val="20"/>
        </w:rPr>
        <w:t>.</w:t>
      </w:r>
      <w:r w:rsidR="004D4FFE">
        <w:rPr>
          <w:szCs w:val="20"/>
        </w:rPr>
        <w:t xml:space="preserve"> Persoanele care trăiesc în sărăcie </w:t>
      </w:r>
      <w:r w:rsidR="004157B0">
        <w:rPr>
          <w:szCs w:val="20"/>
        </w:rPr>
        <w:t>sunt</w:t>
      </w:r>
      <w:r w:rsidR="004D4FFE">
        <w:rPr>
          <w:szCs w:val="20"/>
        </w:rPr>
        <w:t xml:space="preserve"> persoanelor vulnerabile, acestea </w:t>
      </w:r>
      <w:r w:rsidR="00F75E12" w:rsidRPr="00F75E12">
        <w:rPr>
          <w:szCs w:val="20"/>
        </w:rPr>
        <w:t>îmbolnăv</w:t>
      </w:r>
      <w:r w:rsidR="004D4FFE">
        <w:rPr>
          <w:szCs w:val="20"/>
        </w:rPr>
        <w:t xml:space="preserve">indu-se </w:t>
      </w:r>
      <w:r w:rsidR="00F75E12" w:rsidRPr="00F75E12">
        <w:rPr>
          <w:szCs w:val="20"/>
        </w:rPr>
        <w:t>mai repede și mor timpuriu prin comparație cu populația generală</w:t>
      </w:r>
      <w:r w:rsidR="004D4FFE">
        <w:rPr>
          <w:szCs w:val="20"/>
        </w:rPr>
        <w:t xml:space="preserve">. </w:t>
      </w:r>
    </w:p>
    <w:p w14:paraId="03F2821C" w14:textId="41A5EE1E" w:rsidR="002B3876" w:rsidRDefault="00582A28" w:rsidP="002B3876">
      <w:pPr>
        <w:spacing w:before="120"/>
        <w:jc w:val="both"/>
        <w:rPr>
          <w:szCs w:val="20"/>
        </w:rPr>
      </w:pPr>
      <w:r>
        <w:rPr>
          <w:szCs w:val="20"/>
        </w:rPr>
        <w:t xml:space="preserve">În România, resursele financiare aferente sistemului național de sănătate se dovedesc a fi insuficiente și inegal distribuite pe teritoriul țării, </w:t>
      </w:r>
      <w:r w:rsidR="002B3876">
        <w:rPr>
          <w:szCs w:val="20"/>
        </w:rPr>
        <w:t xml:space="preserve">resursele umane </w:t>
      </w:r>
      <w:r w:rsidR="002B3876" w:rsidRPr="00AF1522">
        <w:rPr>
          <w:szCs w:val="20"/>
        </w:rPr>
        <w:t>din sistem</w:t>
      </w:r>
      <w:r w:rsidR="002B3876">
        <w:rPr>
          <w:szCs w:val="20"/>
        </w:rPr>
        <w:t>ul medical sunt reduse ca și număr și slab pregătite</w:t>
      </w:r>
      <w:r w:rsidR="002B3876">
        <w:rPr>
          <w:szCs w:val="20"/>
        </w:rPr>
        <w:t>, r</w:t>
      </w:r>
      <w:r w:rsidR="002B3876" w:rsidRPr="00AF1522">
        <w:rPr>
          <w:szCs w:val="20"/>
        </w:rPr>
        <w:t xml:space="preserve">ețeaua de servicii de asistență medicală primară </w:t>
      </w:r>
      <w:r w:rsidR="002B3876">
        <w:rPr>
          <w:szCs w:val="20"/>
        </w:rPr>
        <w:t>deține capacitate</w:t>
      </w:r>
      <w:r w:rsidR="002B3876">
        <w:rPr>
          <w:szCs w:val="20"/>
        </w:rPr>
        <w:t xml:space="preserve"> redusă de a </w:t>
      </w:r>
      <w:r w:rsidR="002B3876">
        <w:rPr>
          <w:szCs w:val="20"/>
        </w:rPr>
        <w:t>răs</w:t>
      </w:r>
      <w:r w:rsidR="002B3876">
        <w:rPr>
          <w:szCs w:val="20"/>
        </w:rPr>
        <w:t xml:space="preserve">punde </w:t>
      </w:r>
      <w:r w:rsidR="002B3876">
        <w:rPr>
          <w:szCs w:val="20"/>
        </w:rPr>
        <w:t xml:space="preserve">eficient </w:t>
      </w:r>
      <w:r w:rsidR="002B3876" w:rsidRPr="00AF1522">
        <w:rPr>
          <w:szCs w:val="20"/>
        </w:rPr>
        <w:t xml:space="preserve">în furnizarea de servicii de sănătate persoanelor </w:t>
      </w:r>
      <w:r w:rsidR="002B3876">
        <w:rPr>
          <w:szCs w:val="20"/>
        </w:rPr>
        <w:t xml:space="preserve">vulnerabile, </w:t>
      </w:r>
      <w:r w:rsidR="002B3876" w:rsidRPr="00AF1522">
        <w:rPr>
          <w:szCs w:val="20"/>
        </w:rPr>
        <w:t>infrastructura</w:t>
      </w:r>
      <w:r w:rsidR="002B3876">
        <w:rPr>
          <w:szCs w:val="20"/>
        </w:rPr>
        <w:t xml:space="preserve"> medicală </w:t>
      </w:r>
      <w:r w:rsidR="002B3876" w:rsidRPr="00AF1522">
        <w:rPr>
          <w:szCs w:val="20"/>
        </w:rPr>
        <w:t>este inegal distribuită, sistemul de referire către servicii specializate este încă slab</w:t>
      </w:r>
      <w:r w:rsidR="002B3876">
        <w:rPr>
          <w:szCs w:val="20"/>
        </w:rPr>
        <w:t xml:space="preserve"> dezvoltat</w:t>
      </w:r>
      <w:r w:rsidR="002B3876" w:rsidRPr="00AF1522">
        <w:rPr>
          <w:szCs w:val="20"/>
        </w:rPr>
        <w:t>, continuitatea îngrijirii nu este întotdeauna asigurată,</w:t>
      </w:r>
      <w:r w:rsidR="002B3876">
        <w:rPr>
          <w:szCs w:val="20"/>
        </w:rPr>
        <w:t xml:space="preserve"> </w:t>
      </w:r>
      <w:r w:rsidR="002B3876" w:rsidRPr="00AF1522">
        <w:rPr>
          <w:szCs w:val="20"/>
        </w:rPr>
        <w:t>iar calitatea serviciilor furnizate de medicii de familie nu este monitorizată sau evaluată, fiind însă considerată mai degrabă slab satisfăcătoare atât de către pacienți, cât și de către medicii specialiști. Lipsa de satisfacție cu privire la performanțele medicilor de familie și ale medicilor generaliști este o percepție generalizată la nivelul tuturor părților interesate în administrarea sistemului de sănătate, atât la nivel central cât și local</w:t>
      </w:r>
      <w:r w:rsidR="002B3876">
        <w:rPr>
          <w:szCs w:val="20"/>
        </w:rPr>
        <w:t xml:space="preserve">. </w:t>
      </w:r>
    </w:p>
    <w:p w14:paraId="780996FC" w14:textId="5F4BDD94" w:rsidR="00582A28" w:rsidRDefault="00582A28" w:rsidP="00582A28">
      <w:pPr>
        <w:spacing w:before="120"/>
        <w:jc w:val="both"/>
        <w:rPr>
          <w:szCs w:val="20"/>
        </w:rPr>
      </w:pPr>
      <w:r>
        <w:rPr>
          <w:szCs w:val="20"/>
        </w:rPr>
        <w:t>Aceste aspecte</w:t>
      </w:r>
      <w:r w:rsidR="002B3876">
        <w:rPr>
          <w:szCs w:val="20"/>
        </w:rPr>
        <w:t xml:space="preserve"> fac </w:t>
      </w:r>
      <w:r w:rsidR="002B3876">
        <w:rPr>
          <w:szCs w:val="20"/>
        </w:rPr>
        <w:t>ca serviciile medicale să nu fie furnizate echitabil în special în mediul rural și în orașele mici</w:t>
      </w:r>
      <w:r w:rsidR="002B3876">
        <w:rPr>
          <w:szCs w:val="20"/>
        </w:rPr>
        <w:t xml:space="preserve"> și </w:t>
      </w:r>
      <w:r>
        <w:rPr>
          <w:szCs w:val="20"/>
        </w:rPr>
        <w:t xml:space="preserve"> contribuie semnificativ la îngreunarea accesului la servicii medicale a persoanelor vulnerabile</w:t>
      </w:r>
      <w:r w:rsidR="006A1EAE">
        <w:rPr>
          <w:szCs w:val="20"/>
        </w:rPr>
        <w:t xml:space="preserve"> pe lângă caracteristicele pe care aceste persoane le prezintă în accesarea serviciilor medicale: </w:t>
      </w:r>
      <w:r w:rsidR="006A1EAE">
        <w:rPr>
          <w:rFonts w:cstheme="minorHAnsi"/>
          <w:szCs w:val="20"/>
        </w:rPr>
        <w:t>l</w:t>
      </w:r>
      <w:r w:rsidR="006A1EAE">
        <w:rPr>
          <w:szCs w:val="20"/>
        </w:rPr>
        <w:t>ipsa informării și educației în domeniul medical,  resurse financiare limitate</w:t>
      </w:r>
      <w:r w:rsidR="006A1EAE">
        <w:rPr>
          <w:szCs w:val="20"/>
        </w:rPr>
        <w:t xml:space="preserve"> pentru derularea de investigații medicale</w:t>
      </w:r>
      <w:r w:rsidR="006A1EAE">
        <w:rPr>
          <w:szCs w:val="20"/>
        </w:rPr>
        <w:t>, l</w:t>
      </w:r>
      <w:r w:rsidR="006A1EAE" w:rsidRPr="001D4652">
        <w:rPr>
          <w:szCs w:val="20"/>
        </w:rPr>
        <w:t>ipsa documentelor de identitate și asigurărilor de sănătate</w:t>
      </w:r>
      <w:r w:rsidR="006A1EAE">
        <w:rPr>
          <w:szCs w:val="20"/>
        </w:rPr>
        <w:t>, etc.</w:t>
      </w:r>
    </w:p>
    <w:p w14:paraId="7C80540C" w14:textId="0B94EAB5" w:rsidR="009E65C4" w:rsidRDefault="009E65C4" w:rsidP="00582A28">
      <w:pPr>
        <w:spacing w:before="120"/>
        <w:jc w:val="both"/>
        <w:rPr>
          <w:szCs w:val="20"/>
        </w:rPr>
      </w:pPr>
      <w:r>
        <w:rPr>
          <w:szCs w:val="20"/>
        </w:rPr>
        <w:t xml:space="preserve">Mai mult decât atât, </w:t>
      </w:r>
      <w:r>
        <w:rPr>
          <w:lang w:eastAsia="en-GB"/>
        </w:rPr>
        <w:t>a</w:t>
      </w:r>
      <w:r>
        <w:rPr>
          <w:lang w:eastAsia="en-GB"/>
        </w:rPr>
        <w:t>ccesul la serviciile medicale în perioada pandemiei COVID-19 a fost mult îngreunată în toate țările europene, datele cercetărilor Eurofound indicând că î</w:t>
      </w:r>
      <w:r w:rsidRPr="00D931DC">
        <w:rPr>
          <w:lang w:eastAsia="en-GB"/>
        </w:rPr>
        <w:t xml:space="preserve">ntre martie și iulie 2020, mai mult de o cincime dintre cetățenii din UE care au avut nevoie de o </w:t>
      </w:r>
      <w:r>
        <w:rPr>
          <w:lang w:eastAsia="en-GB"/>
        </w:rPr>
        <w:t>consultație</w:t>
      </w:r>
      <w:r w:rsidRPr="00D931DC">
        <w:rPr>
          <w:lang w:eastAsia="en-GB"/>
        </w:rPr>
        <w:t xml:space="preserve"> sau de tratament, nu </w:t>
      </w:r>
      <w:r>
        <w:rPr>
          <w:lang w:eastAsia="en-GB"/>
        </w:rPr>
        <w:t xml:space="preserve">au beneficiat de acestea în condițiile restrângerii activității unităților medicale pentru pacienții non-critici sau chiar a reducerii activității asistenței medicale primare sau a mutării ei în online </w:t>
      </w:r>
      <w:r w:rsidRPr="00D931DC">
        <w:rPr>
          <w:lang w:eastAsia="en-GB"/>
        </w:rPr>
        <w:t>(Dubois &amp; Leončikas</w:t>
      </w:r>
      <w:r>
        <w:rPr>
          <w:lang w:eastAsia="en-GB"/>
        </w:rPr>
        <w:t>,</w:t>
      </w:r>
      <w:r w:rsidRPr="00D931DC">
        <w:rPr>
          <w:lang w:eastAsia="en-GB"/>
        </w:rPr>
        <w:t xml:space="preserve"> 2021).</w:t>
      </w:r>
    </w:p>
    <w:p w14:paraId="23B5C21B" w14:textId="12F19B3B" w:rsidR="00AF1522" w:rsidRDefault="006A1EAE" w:rsidP="00582A28">
      <w:pPr>
        <w:spacing w:before="120"/>
        <w:jc w:val="both"/>
        <w:rPr>
          <w:szCs w:val="20"/>
        </w:rPr>
      </w:pPr>
      <w:r>
        <w:rPr>
          <w:szCs w:val="20"/>
        </w:rPr>
        <w:t>În acest context î</w:t>
      </w:r>
      <w:r w:rsidR="00582A28">
        <w:rPr>
          <w:szCs w:val="20"/>
        </w:rPr>
        <w:t>mbunățirea calității actului medical,</w:t>
      </w:r>
      <w:r w:rsidR="002B3876">
        <w:rPr>
          <w:szCs w:val="20"/>
        </w:rPr>
        <w:t xml:space="preserve"> prin </w:t>
      </w:r>
      <w:r w:rsidR="00D54F9D">
        <w:rPr>
          <w:szCs w:val="20"/>
        </w:rPr>
        <w:t>creșterea nivelu</w:t>
      </w:r>
      <w:r w:rsidR="003C11FA">
        <w:rPr>
          <w:szCs w:val="20"/>
        </w:rPr>
        <w:t xml:space="preserve">lui </w:t>
      </w:r>
      <w:r w:rsidR="00D54F9D">
        <w:rPr>
          <w:szCs w:val="20"/>
        </w:rPr>
        <w:t xml:space="preserve">de competențe al cadrelor medicale, </w:t>
      </w:r>
      <w:r w:rsidR="00582A28">
        <w:rPr>
          <w:szCs w:val="20"/>
        </w:rPr>
        <w:t xml:space="preserve"> reducerea inegalităților în materie de servicii medicale</w:t>
      </w:r>
      <w:r w:rsidR="00D54F9D">
        <w:rPr>
          <w:szCs w:val="20"/>
        </w:rPr>
        <w:t xml:space="preserve"> și </w:t>
      </w:r>
      <w:r w:rsidR="00582A28">
        <w:rPr>
          <w:szCs w:val="20"/>
        </w:rPr>
        <w:t>c</w:t>
      </w:r>
      <w:r w:rsidR="00582A28" w:rsidRPr="004157B0">
        <w:rPr>
          <w:szCs w:val="20"/>
        </w:rPr>
        <w:t xml:space="preserve">reșterea disponibilității asistenței medicale primare </w:t>
      </w:r>
      <w:r>
        <w:rPr>
          <w:szCs w:val="20"/>
        </w:rPr>
        <w:t>devin prioritare pentru asigurarea stării de sănătate a întregii populații</w:t>
      </w:r>
      <w:r w:rsidR="008F647D">
        <w:rPr>
          <w:szCs w:val="20"/>
        </w:rPr>
        <w:t xml:space="preserve">, dar mai ales a persoanelor aparținând grupurilor vulnerabile. </w:t>
      </w:r>
      <w:r w:rsidR="00D54F9D">
        <w:rPr>
          <w:szCs w:val="20"/>
        </w:rPr>
        <w:t xml:space="preserve">O atentie deosebită trebuie acordată rețelei </w:t>
      </w:r>
      <w:r w:rsidR="00AF1522" w:rsidRPr="00D54F9D">
        <w:rPr>
          <w:szCs w:val="20"/>
        </w:rPr>
        <w:t>de sănătate primară și de servicii la nivel de comunitate</w:t>
      </w:r>
      <w:r w:rsidR="00D54F9D">
        <w:rPr>
          <w:szCs w:val="20"/>
        </w:rPr>
        <w:t>, m</w:t>
      </w:r>
      <w:r w:rsidR="00AF1522" w:rsidRPr="00D54F9D">
        <w:rPr>
          <w:szCs w:val="20"/>
        </w:rPr>
        <w:t>edicii de familie, medicii generaliști împreună cu asistenții medicali comunitari și mediatorii sanitari romi, alături de asistenții/lucrătorii sociali și mediatorii școlari, reprez</w:t>
      </w:r>
      <w:r w:rsidR="00D54F9D">
        <w:rPr>
          <w:szCs w:val="20"/>
        </w:rPr>
        <w:t xml:space="preserve">entând </w:t>
      </w:r>
      <w:r w:rsidR="00AF1522" w:rsidRPr="00D54F9D">
        <w:rPr>
          <w:szCs w:val="20"/>
        </w:rPr>
        <w:t>actori cheie pentru</w:t>
      </w:r>
      <w:r w:rsidR="00D54F9D">
        <w:rPr>
          <w:szCs w:val="20"/>
        </w:rPr>
        <w:t xml:space="preserve"> îmb</w:t>
      </w:r>
      <w:r w:rsidR="00AA0311">
        <w:rPr>
          <w:szCs w:val="20"/>
        </w:rPr>
        <w:t xml:space="preserve">unătățirea </w:t>
      </w:r>
      <w:r w:rsidR="00AF1522" w:rsidRPr="00D54F9D">
        <w:rPr>
          <w:szCs w:val="20"/>
        </w:rPr>
        <w:t>accesului grupurilor vulnerabile și comunităților sărace la servicii de sănătate.</w:t>
      </w:r>
    </w:p>
    <w:p w14:paraId="52DFA069" w14:textId="4C7821A7" w:rsidR="00E50DF1" w:rsidRDefault="00E50DF1" w:rsidP="00E50DF1">
      <w:pPr>
        <w:spacing w:before="120"/>
        <w:jc w:val="both"/>
        <w:rPr>
          <w:szCs w:val="20"/>
        </w:rPr>
      </w:pPr>
      <w:r>
        <w:rPr>
          <w:szCs w:val="20"/>
        </w:rPr>
        <w:t xml:space="preserve">Reforma </w:t>
      </w:r>
      <w:r w:rsidRPr="00D54F9D">
        <w:rPr>
          <w:szCs w:val="20"/>
        </w:rPr>
        <w:t xml:space="preserve">în domeniul sănătății, </w:t>
      </w:r>
      <w:r>
        <w:rPr>
          <w:szCs w:val="20"/>
        </w:rPr>
        <w:t xml:space="preserve">subliniază </w:t>
      </w:r>
      <w:r w:rsidRPr="00D54F9D">
        <w:rPr>
          <w:szCs w:val="20"/>
        </w:rPr>
        <w:t xml:space="preserve">anumite arii de intervenție </w:t>
      </w:r>
      <w:r>
        <w:rPr>
          <w:szCs w:val="20"/>
        </w:rPr>
        <w:t xml:space="preserve">ca fiind </w:t>
      </w:r>
      <w:r w:rsidRPr="00D54F9D">
        <w:rPr>
          <w:szCs w:val="20"/>
        </w:rPr>
        <w:t>deosebit de relevante pentru grupurile sărace sau vulnerabile. Acestea sunt: (i) sănătatea reproducerii, (ii) nutriția mamei și a copilului; (iii) bolile infecțioase (cum ar fi tuberculoza și infecțiile transmise pe cale sexuală); și (iv) bolile cronice, afecțiunile de lungă durată și decesele evitabile, (v) programele de screening în principalele patologii, (vi) sprijinul în dezvoltarea competențelor personalului medical, (vii) sprijinul pentru furnizarea de servicii medicale la nivel de comunități defavorizate.</w:t>
      </w:r>
    </w:p>
    <w:p w14:paraId="352EDC28" w14:textId="77777777" w:rsidR="002370D6" w:rsidRPr="00AD67A6" w:rsidRDefault="002370D6" w:rsidP="002370D6">
      <w:pPr>
        <w:jc w:val="both"/>
        <w:rPr>
          <w:lang w:eastAsia="en-GB"/>
        </w:rPr>
      </w:pPr>
      <w:r>
        <w:rPr>
          <w:lang w:eastAsia="en-GB"/>
        </w:rPr>
        <w:t xml:space="preserve">Asistența medicală comunitară și serviciile de sănătate primare oferite în cadrul cabinetelor medicilor de familie, au făcut ca multe dintre problemele medicale să poată fi rezolvate la nivel local și astfel sistemul medical de urgențe să fie degrevat de o serie de false urgențe. </w:t>
      </w:r>
      <w:r w:rsidRPr="006B7672">
        <w:rPr>
          <w:lang w:eastAsia="en-GB"/>
        </w:rPr>
        <w:t xml:space="preserve">Principalele probleme în furnizarea serviciilor </w:t>
      </w:r>
      <w:r>
        <w:rPr>
          <w:lang w:eastAsia="en-GB"/>
        </w:rPr>
        <w:t>la nivel comunitar</w:t>
      </w:r>
      <w:r w:rsidRPr="006B7672">
        <w:rPr>
          <w:lang w:eastAsia="en-GB"/>
        </w:rPr>
        <w:t xml:space="preserve"> sunt cele referitoare la lipsa unei abordări </w:t>
      </w:r>
      <w:r w:rsidRPr="00D33716">
        <w:rPr>
          <w:lang w:eastAsia="en-GB"/>
        </w:rPr>
        <w:t>integrate a nevoilor persoanelor vulnerabile pentru a eficientiza intervenția medicală și a reduce durata acesteia. Strategia Globală a OMS privind serviciilor integrate centrate pe pacient 2016 -2026 prevede ca abordarea în tratamentul medical sa fie una centrată pe persoană. Acest lucru presupune că pentru îmbunătățirea rezultatelor tratamentului să fie luate în considerare și serviciile sociale de suport.</w:t>
      </w:r>
      <w:r w:rsidRPr="00AD67A6">
        <w:rPr>
          <w:lang w:eastAsia="en-GB"/>
        </w:rPr>
        <w:t xml:space="preserve"> În acest sens se recomandă stabilirea și dezvoltarea unor documente tehnice (ghiduri clinice, criterii de spitalizare, metodologii de lucru) pentru serviciile care vizează pacienții, dar și familiile lor și comunitățile în care aceștia trăiesc. Pentru realizarea acestor aspecte, managementul trebuie să fie schimbat de la un model în care serviciile medicale spitalicești sunt cele mai importante (izolarea pacientului este un element central), către unul în care comunitatea și sistemul de sănătate primară și cel de protecție socială au un rol la fel de important.</w:t>
      </w:r>
    </w:p>
    <w:p w14:paraId="61C0B4C9" w14:textId="77777777" w:rsidR="002370D6" w:rsidRPr="002370D6" w:rsidRDefault="002370D6" w:rsidP="002370D6">
      <w:pPr>
        <w:jc w:val="both"/>
        <w:rPr>
          <w:rFonts w:cstheme="minorHAnsi"/>
          <w:szCs w:val="20"/>
          <w:lang w:eastAsia="en-GB"/>
        </w:rPr>
      </w:pPr>
      <w:r w:rsidRPr="003774FF">
        <w:rPr>
          <w:rFonts w:cstheme="minorHAnsi"/>
          <w:szCs w:val="20"/>
        </w:rPr>
        <w:lastRenderedPageBreak/>
        <w:t xml:space="preserve">Indiferent de natura problemei de sănătate, </w:t>
      </w:r>
      <w:r>
        <w:rPr>
          <w:rFonts w:cstheme="minorHAnsi"/>
          <w:szCs w:val="20"/>
        </w:rPr>
        <w:t xml:space="preserve"> reușita </w:t>
      </w:r>
      <w:r w:rsidRPr="003774FF">
        <w:rPr>
          <w:rFonts w:cstheme="minorHAnsi"/>
          <w:szCs w:val="20"/>
        </w:rPr>
        <w:t>depind</w:t>
      </w:r>
      <w:r>
        <w:rPr>
          <w:rFonts w:cstheme="minorHAnsi"/>
          <w:szCs w:val="20"/>
        </w:rPr>
        <w:t>e</w:t>
      </w:r>
      <w:r w:rsidRPr="003774FF">
        <w:rPr>
          <w:rFonts w:cstheme="minorHAnsi"/>
          <w:szCs w:val="20"/>
        </w:rPr>
        <w:t xml:space="preserve"> într-o mare măsură de posibilitatea persoanelor de a avea acces la servicii</w:t>
      </w:r>
      <w:r>
        <w:rPr>
          <w:rFonts w:cstheme="minorHAnsi"/>
          <w:szCs w:val="20"/>
        </w:rPr>
        <w:t>le</w:t>
      </w:r>
      <w:r w:rsidRPr="003774FF">
        <w:rPr>
          <w:rFonts w:cstheme="minorHAnsi"/>
          <w:szCs w:val="20"/>
        </w:rPr>
        <w:t xml:space="preserve"> de sănătate. Având în vedere inechitățile de acces la serviciile de sănătate existente în România și utilizarea în mare măsură a serviciilor spitalicești de urgență, una dintre principalele măsuri necesare pentru a crește accesul populației din rural și a celor din grupurile vulnerabile la servicii medicale de bază</w:t>
      </w:r>
      <w:r>
        <w:rPr>
          <w:rFonts w:cstheme="minorHAnsi"/>
          <w:szCs w:val="20"/>
        </w:rPr>
        <w:t xml:space="preserve"> </w:t>
      </w:r>
      <w:r w:rsidRPr="003774FF">
        <w:rPr>
          <w:rFonts w:cstheme="minorHAnsi"/>
          <w:szCs w:val="20"/>
        </w:rPr>
        <w:t>este reprezentată de derularea de programe comunitare de sănătate, introducerea asistenților medicali comunitari (WHO, 2016) și a centrelor comunitare integrate.</w:t>
      </w:r>
      <w:r>
        <w:rPr>
          <w:rFonts w:cstheme="minorHAnsi"/>
          <w:szCs w:val="20"/>
        </w:rPr>
        <w:t xml:space="preserve"> </w:t>
      </w:r>
      <w:r w:rsidRPr="0010659E">
        <w:rPr>
          <w:rFonts w:cstheme="minorHAnsi"/>
          <w:szCs w:val="20"/>
          <w:lang w:eastAsia="en-GB"/>
        </w:rPr>
        <w:t xml:space="preserve">Programele comunitare de sănătate abordează disparitățile (rural - urban, persoane asigurate - persoane nesigurate, zonă marginalizată – zonă nemarginalizată, etc.) prin oferirea unui acces echitabil la resursele de sănătate existente. În același timp, centrele comunitare integrate furnizează servicii de asistență medicală primară și de prevenție primară în comunitățile în care echitatea în sănătate este limitată de factori socio-economici (Maraccini et al., 2017) Aceste măsuri de creștere a sănătății la nivel comunităților au impact asupra </w:t>
      </w:r>
      <w:r w:rsidRPr="002370D6">
        <w:rPr>
          <w:rFonts w:cstheme="minorHAnsi"/>
          <w:szCs w:val="20"/>
          <w:lang w:eastAsia="en-GB"/>
        </w:rPr>
        <w:t xml:space="preserve">reducerii inechităților de acces la servicii medicale în cazul celor din mediul rural sau a celor marginalizate; eficientizării sistemului de sănătate prin scăderea costurilor cu serviciile spitalicești și a celor de urgență, precum și a numărului recidivelor; creșterii bunăstării indivizilor și a calității vieții lor prin abordarea centrată pe pacient, pe care o propun. </w:t>
      </w:r>
    </w:p>
    <w:p w14:paraId="38E45D16" w14:textId="77777777" w:rsidR="002370D6" w:rsidRPr="002370D6" w:rsidRDefault="002370D6" w:rsidP="002370D6">
      <w:pPr>
        <w:jc w:val="both"/>
        <w:rPr>
          <w:lang w:eastAsia="en-GB"/>
        </w:rPr>
      </w:pPr>
      <w:r w:rsidRPr="002370D6">
        <w:rPr>
          <w:lang w:eastAsia="en-GB"/>
        </w:rPr>
        <w:t>Asigurarea sănătății la nivelul comunității presupune realizarea unor elemente care includ identificarea nevoilor, realizarea de planuri de intervenție, activități de educare a populației, și facilitarea accesului la servicii medicale:</w:t>
      </w:r>
    </w:p>
    <w:p w14:paraId="2BD3D535" w14:textId="77777777" w:rsidR="002370D6" w:rsidRPr="002370D6" w:rsidRDefault="002370D6" w:rsidP="002370D6">
      <w:pPr>
        <w:pStyle w:val="ListParagraph"/>
        <w:numPr>
          <w:ilvl w:val="0"/>
          <w:numId w:val="17"/>
        </w:numPr>
        <w:spacing w:before="0" w:after="160" w:line="259" w:lineRule="auto"/>
        <w:contextualSpacing/>
        <w:rPr>
          <w:color w:val="auto"/>
          <w:lang w:eastAsia="en-GB"/>
        </w:rPr>
      </w:pPr>
      <w:r w:rsidRPr="002370D6">
        <w:rPr>
          <w:color w:val="auto"/>
          <w:lang w:eastAsia="en-GB"/>
        </w:rPr>
        <w:t>identificarea principalelor probleme de sănătate publică și a factorilor lor determinanți (factori de mediu și sociali care afectează opțiunile de viață sănătoasă);</w:t>
      </w:r>
    </w:p>
    <w:p w14:paraId="78A71F47" w14:textId="77777777" w:rsidR="002370D6" w:rsidRPr="002370D6" w:rsidRDefault="002370D6" w:rsidP="002370D6">
      <w:pPr>
        <w:pStyle w:val="ListParagraph"/>
        <w:numPr>
          <w:ilvl w:val="0"/>
          <w:numId w:val="17"/>
        </w:numPr>
        <w:spacing w:before="0" w:after="160" w:line="259" w:lineRule="auto"/>
        <w:contextualSpacing/>
        <w:rPr>
          <w:color w:val="auto"/>
          <w:lang w:eastAsia="en-GB"/>
        </w:rPr>
      </w:pPr>
      <w:r w:rsidRPr="002370D6">
        <w:rPr>
          <w:color w:val="auto"/>
          <w:lang w:eastAsia="en-GB"/>
        </w:rPr>
        <w:t xml:space="preserve">dezvoltarea planului de intervenție pentru a remedia problemele identificate; </w:t>
      </w:r>
    </w:p>
    <w:p w14:paraId="3E67DC81" w14:textId="77777777" w:rsidR="002370D6" w:rsidRPr="002370D6" w:rsidRDefault="002370D6" w:rsidP="002370D6">
      <w:pPr>
        <w:pStyle w:val="ListParagraph"/>
        <w:numPr>
          <w:ilvl w:val="0"/>
          <w:numId w:val="17"/>
        </w:numPr>
        <w:spacing w:before="0" w:after="160" w:line="259" w:lineRule="auto"/>
        <w:contextualSpacing/>
        <w:rPr>
          <w:color w:val="auto"/>
          <w:lang w:eastAsia="en-GB"/>
        </w:rPr>
      </w:pPr>
      <w:r w:rsidRPr="002370D6">
        <w:rPr>
          <w:color w:val="auto"/>
          <w:lang w:eastAsia="en-GB"/>
        </w:rPr>
        <w:t>derularea de activități de educare a rezidenților privind beneficiile îngrijirii preventive și adoptării unor comportamente sănătoase.</w:t>
      </w:r>
    </w:p>
    <w:p w14:paraId="3183287E" w14:textId="77777777" w:rsidR="002370D6" w:rsidRPr="002370D6" w:rsidRDefault="002370D6" w:rsidP="002370D6">
      <w:pPr>
        <w:pStyle w:val="ListParagraph"/>
        <w:numPr>
          <w:ilvl w:val="0"/>
          <w:numId w:val="17"/>
        </w:numPr>
        <w:spacing w:before="0" w:after="160" w:line="259" w:lineRule="auto"/>
        <w:contextualSpacing/>
        <w:rPr>
          <w:color w:val="auto"/>
          <w:lang w:eastAsia="en-GB"/>
        </w:rPr>
      </w:pPr>
      <w:r w:rsidRPr="002370D6">
        <w:rPr>
          <w:color w:val="auto"/>
          <w:lang w:eastAsia="en-GB"/>
        </w:rPr>
        <w:t>furnizarea de servicii esențiale, cum ar fi asistență medicală, asistență socială și consiliere.</w:t>
      </w:r>
    </w:p>
    <w:p w14:paraId="0FB52545" w14:textId="77777777" w:rsidR="002370D6" w:rsidRPr="002370D6" w:rsidRDefault="002370D6" w:rsidP="002370D6">
      <w:pPr>
        <w:pStyle w:val="ListParagraph"/>
        <w:numPr>
          <w:ilvl w:val="0"/>
          <w:numId w:val="17"/>
        </w:numPr>
        <w:spacing w:before="0" w:after="160" w:line="259" w:lineRule="auto"/>
        <w:contextualSpacing/>
        <w:rPr>
          <w:color w:val="auto"/>
          <w:lang w:eastAsia="en-GB"/>
        </w:rPr>
      </w:pPr>
      <w:r w:rsidRPr="002370D6">
        <w:rPr>
          <w:color w:val="auto"/>
          <w:lang w:eastAsia="en-GB"/>
        </w:rPr>
        <w:t>facilitarea accesului la servicii de îngrijire medicală, dentară și de sănătate mintală, etc., care să reducă nevoia de îngrijire de urgență și spitalizare.</w:t>
      </w:r>
    </w:p>
    <w:p w14:paraId="33638416" w14:textId="77777777" w:rsidR="002370D6" w:rsidRPr="002370D6" w:rsidRDefault="002370D6" w:rsidP="002370D6">
      <w:pPr>
        <w:jc w:val="both"/>
      </w:pPr>
      <w:r w:rsidRPr="002370D6">
        <w:t>Prevenţia primară presupune scăderea incidenţei bolii prin măsuri destinate persoanei sănătoase. Aceste măsuri sunt adresate scăderii expunerii la risc sau scăderii contactului cu factorii de risc: detectarea, evitarea, descurajarea, prevenirea expunerii la cauze de boală - factori de risc. Activitățile de prevenție primară pot include: activități de educare a populației privind diferitele boli și modalitățile de prevenire, identificare și tratare a lor, activități de educare privind igiena, informare pentru vaccinare, vaccinarea copiilor, activități de screening pentru diferite boli (TB, cancer, hepatită, obezitate, boli cardio-vasculare, diabet, etc.).</w:t>
      </w:r>
    </w:p>
    <w:p w14:paraId="3DFFD687" w14:textId="40519FB3" w:rsidR="006534DC" w:rsidRDefault="006534DC" w:rsidP="001D4652">
      <w:pPr>
        <w:spacing w:before="120"/>
        <w:jc w:val="both"/>
        <w:rPr>
          <w:szCs w:val="20"/>
        </w:rPr>
      </w:pPr>
      <w:r>
        <w:rPr>
          <w:szCs w:val="20"/>
        </w:rPr>
        <w:t>Literatura de specialitate evidențiază măsurile eficiente necesar a fi avute în vedere pentru îmbun</w:t>
      </w:r>
      <w:r w:rsidR="004D4FFE">
        <w:rPr>
          <w:szCs w:val="20"/>
        </w:rPr>
        <w:t xml:space="preserve">ătățirea </w:t>
      </w:r>
      <w:r>
        <w:rPr>
          <w:szCs w:val="20"/>
        </w:rPr>
        <w:t>accesului persoan</w:t>
      </w:r>
      <w:r w:rsidR="004D4FFE">
        <w:rPr>
          <w:szCs w:val="20"/>
        </w:rPr>
        <w:t>e</w:t>
      </w:r>
      <w:r>
        <w:rPr>
          <w:szCs w:val="20"/>
        </w:rPr>
        <w:t xml:space="preserve">lor vulnerabile la servicii medicale: </w:t>
      </w:r>
    </w:p>
    <w:p w14:paraId="5CEAF39E" w14:textId="1B735547" w:rsidR="004157B0" w:rsidRDefault="006534DC" w:rsidP="003C11FA">
      <w:pPr>
        <w:pStyle w:val="ListParagraph"/>
        <w:spacing w:before="0"/>
        <w:ind w:left="714" w:hanging="357"/>
        <w:contextualSpacing/>
      </w:pPr>
      <w:r>
        <w:t>Derularea pro</w:t>
      </w:r>
      <w:r w:rsidR="00CE5189">
        <w:t xml:space="preserve">gramelor </w:t>
      </w:r>
      <w:r>
        <w:t>de s</w:t>
      </w:r>
      <w:r w:rsidRPr="006534DC">
        <w:t>creening</w:t>
      </w:r>
      <w:r>
        <w:t xml:space="preserve"> pentru identificarea riscurilor în materie de sănătate</w:t>
      </w:r>
      <w:r w:rsidR="003C11FA">
        <w:t xml:space="preserve"> și</w:t>
      </w:r>
      <w:r w:rsidR="004157B0">
        <w:t xml:space="preserve"> prevenirea îmbolnăvirilor;</w:t>
      </w:r>
    </w:p>
    <w:p w14:paraId="28D7E4C9" w14:textId="0F6E0B15" w:rsidR="006534DC" w:rsidRDefault="004E51B8" w:rsidP="003C11FA">
      <w:pPr>
        <w:pStyle w:val="ListParagraph"/>
        <w:spacing w:before="0"/>
        <w:ind w:left="714" w:hanging="357"/>
        <w:contextualSpacing/>
      </w:pPr>
      <w:r>
        <w:rPr>
          <w:rFonts w:cstheme="minorBidi"/>
          <w:color w:val="auto"/>
          <w:szCs w:val="20"/>
        </w:rPr>
        <w:t>E</w:t>
      </w:r>
      <w:r w:rsidRPr="004157B0">
        <w:rPr>
          <w:rFonts w:cstheme="minorBidi"/>
          <w:color w:val="auto"/>
          <w:szCs w:val="20"/>
        </w:rPr>
        <w:t>ducați</w:t>
      </w:r>
      <w:r>
        <w:rPr>
          <w:rFonts w:cstheme="minorBidi"/>
          <w:color w:val="auto"/>
          <w:szCs w:val="20"/>
        </w:rPr>
        <w:t>e</w:t>
      </w:r>
      <w:r w:rsidRPr="004157B0">
        <w:rPr>
          <w:rFonts w:cstheme="minorBidi"/>
          <w:color w:val="auto"/>
          <w:szCs w:val="20"/>
        </w:rPr>
        <w:t xml:space="preserve"> în materie de sănătate</w:t>
      </w:r>
      <w:r>
        <w:rPr>
          <w:rFonts w:cstheme="minorBidi"/>
          <w:color w:val="auto"/>
          <w:szCs w:val="20"/>
        </w:rPr>
        <w:t>,</w:t>
      </w:r>
      <w:r w:rsidR="006534DC" w:rsidRPr="006534DC">
        <w:t xml:space="preserve"> informare</w:t>
      </w:r>
      <w:r w:rsidR="006534DC">
        <w:t xml:space="preserve">a populației cu privire la impactul pe care posibile afecțiuni le pot avea asupra vieții acestora; </w:t>
      </w:r>
    </w:p>
    <w:p w14:paraId="610EE6AF" w14:textId="77777777" w:rsidR="006534DC" w:rsidRDefault="006534DC" w:rsidP="003C11FA">
      <w:pPr>
        <w:pStyle w:val="ListParagraph"/>
        <w:spacing w:before="0"/>
        <w:ind w:left="714" w:hanging="357"/>
        <w:contextualSpacing/>
      </w:pPr>
      <w:r>
        <w:t xml:space="preserve">Sprijin pentru accesarea serviciilor comunitare; </w:t>
      </w:r>
    </w:p>
    <w:p w14:paraId="0441E3BF" w14:textId="0E6B9292" w:rsidR="006534DC" w:rsidRPr="006534DC" w:rsidRDefault="006534DC" w:rsidP="003C11FA">
      <w:pPr>
        <w:pStyle w:val="ListParagraph"/>
        <w:spacing w:before="0"/>
        <w:ind w:left="714" w:hanging="357"/>
        <w:contextualSpacing/>
      </w:pPr>
      <w:r>
        <w:t xml:space="preserve">Cooperarea tuturor părților interesate la nivel de local </w:t>
      </w:r>
      <w:r w:rsidR="00F12AFC">
        <w:t>pentru a răspunde pozitiv nevoilor pe care populația le prezintă și pentru asigurarea serviciilor aferente</w:t>
      </w:r>
      <w:r w:rsidRPr="006534DC">
        <w:t>.</w:t>
      </w:r>
    </w:p>
    <w:p w14:paraId="4DF46B46" w14:textId="043BD760" w:rsidR="00790166" w:rsidRDefault="00936E0F" w:rsidP="00D33716">
      <w:pPr>
        <w:spacing w:before="120"/>
        <w:jc w:val="both"/>
      </w:pPr>
      <w:r w:rsidRPr="00D52552">
        <w:rPr>
          <w:rFonts w:cstheme="minorHAnsi"/>
          <w:szCs w:val="20"/>
        </w:rPr>
        <w:t xml:space="preserve">Literatura de specialitate </w:t>
      </w:r>
      <w:r>
        <w:rPr>
          <w:rFonts w:cstheme="minorHAnsi"/>
          <w:szCs w:val="20"/>
        </w:rPr>
        <w:t xml:space="preserve">relevă </w:t>
      </w:r>
      <w:r w:rsidR="008E5575">
        <w:rPr>
          <w:rFonts w:cstheme="minorHAnsi"/>
          <w:szCs w:val="20"/>
        </w:rPr>
        <w:t xml:space="preserve">și </w:t>
      </w:r>
      <w:r>
        <w:rPr>
          <w:rFonts w:cstheme="minorHAnsi"/>
          <w:szCs w:val="20"/>
        </w:rPr>
        <w:t>faptul că accesul la servicii medicale adecvate și diagnosticare precoce poate fi îmbunătățit prin aplicarea screeningului organizat</w:t>
      </w:r>
      <w:r w:rsidR="00E50DF1">
        <w:rPr>
          <w:rFonts w:cstheme="minorHAnsi"/>
          <w:szCs w:val="20"/>
        </w:rPr>
        <w:t xml:space="preserve">, acestea infuențând </w:t>
      </w:r>
      <w:r w:rsidR="00EB0384">
        <w:rPr>
          <w:rFonts w:cstheme="minorHAnsi"/>
          <w:szCs w:val="20"/>
        </w:rPr>
        <w:t xml:space="preserve">considerabil tratamentul curativ și șansele de recuperare. </w:t>
      </w:r>
      <w:r w:rsidR="00790166" w:rsidRPr="004D205B">
        <w:t>În „</w:t>
      </w:r>
      <w:r w:rsidR="00790166">
        <w:t>Cancer Screening</w:t>
      </w:r>
      <w:r w:rsidR="00790166" w:rsidRPr="004D205B">
        <w:rPr>
          <w:lang w:val="en-US"/>
        </w:rPr>
        <w:t>”</w:t>
      </w:r>
      <w:r w:rsidR="00790166" w:rsidRPr="004D205B">
        <w:t xml:space="preserve">, Armaroli sublinează </w:t>
      </w:r>
      <w:r w:rsidR="00790166">
        <w:t xml:space="preserve">importanța derulării </w:t>
      </w:r>
      <w:r w:rsidR="00790166" w:rsidRPr="004D205B">
        <w:t xml:space="preserve"> programelor de </w:t>
      </w:r>
      <w:r w:rsidR="00790166" w:rsidRPr="00CE0DD8">
        <w:rPr>
          <w:b/>
          <w:bCs/>
        </w:rPr>
        <w:t>screening organizate</w:t>
      </w:r>
      <w:r w:rsidR="00790166" w:rsidRPr="004D205B">
        <w:t xml:space="preserve">, gestionate </w:t>
      </w:r>
      <w:r w:rsidR="00790166">
        <w:t xml:space="preserve">la nivelul </w:t>
      </w:r>
      <w:r w:rsidR="00790166" w:rsidRPr="004D205B">
        <w:t>serviciil</w:t>
      </w:r>
      <w:r w:rsidR="00790166">
        <w:t>or</w:t>
      </w:r>
      <w:r w:rsidR="00790166" w:rsidRPr="004D205B">
        <w:t xml:space="preserve"> medicale regionale sau naționale și asigurarea faptul că toată lumea are șanse egale de a participa la screening, iar dacă rezultatele acestuia sunt anormale pacienții au acces la viitoare investigații corecte, suport și tratament.</w:t>
      </w:r>
      <w:r w:rsidR="00D33716">
        <w:t xml:space="preserve"> </w:t>
      </w:r>
      <w:r w:rsidR="00790166" w:rsidRPr="004D205B">
        <w:t xml:space="preserve">Screeningul se dovedește a fi eficient dacă este disponibil pentru toată populația eligibilă și dacă aceasta alege să participe, fiind recomandat numai pentru acele tipuri de afecțiuni în care există un </w:t>
      </w:r>
      <w:r w:rsidR="00790166" w:rsidRPr="004D205B">
        <w:lastRenderedPageBreak/>
        <w:t xml:space="preserve">efect demonstrat al salvării pacientului ca urmare a depistării timpurii </w:t>
      </w:r>
      <w:r w:rsidR="00790166">
        <w:t xml:space="preserve">și implicit a urmării tratamentului adecvat </w:t>
      </w:r>
      <w:r w:rsidR="00790166" w:rsidRPr="004D205B">
        <w:t xml:space="preserve">și care depășește substanțial potențialul producerii unei daune în starea de sănătate a </w:t>
      </w:r>
      <w:r w:rsidR="00790166">
        <w:t>pacientului</w:t>
      </w:r>
      <w:r w:rsidR="00790166" w:rsidRPr="004D205B">
        <w:t>.</w:t>
      </w:r>
    </w:p>
    <w:p w14:paraId="7CE43194" w14:textId="77777777" w:rsidR="00936E0F" w:rsidRPr="0010659E" w:rsidRDefault="00936E0F" w:rsidP="00EB0384">
      <w:pPr>
        <w:spacing w:after="60"/>
        <w:jc w:val="both"/>
        <w:rPr>
          <w:rFonts w:cstheme="minorHAnsi"/>
          <w:szCs w:val="20"/>
        </w:rPr>
      </w:pPr>
      <w:r w:rsidRPr="0010659E">
        <w:rPr>
          <w:rFonts w:cstheme="minorHAnsi"/>
          <w:szCs w:val="20"/>
        </w:rPr>
        <w:t>„Screening programmes: a short guide”, publicat de Organizația Mondială a Sănătății, biroul regional Europa, evidențiază beneficiile programelor de screening care constau în:</w:t>
      </w:r>
    </w:p>
    <w:p w14:paraId="594EF13A" w14:textId="77777777" w:rsidR="00936E0F" w:rsidRPr="00A47016" w:rsidRDefault="00936E0F" w:rsidP="00EB0384">
      <w:pPr>
        <w:pStyle w:val="ListParagraph"/>
        <w:numPr>
          <w:ilvl w:val="0"/>
          <w:numId w:val="12"/>
        </w:numPr>
        <w:spacing w:before="0"/>
      </w:pPr>
      <w:r w:rsidRPr="00A47016">
        <w:t xml:space="preserve">detectarea timpurie a afecțiunilor și informarea corectă a pacienților în vederea investigațiilor viitoare sau a deciziilor necesar a fi luate (spre ex. informarea părinților în perioada prenatală, pentru ca aceștia să poată face o alegere în cunoștință de cauză dacă doresc să păstreze o sarcină în cazul în care fătul prezintă un risc mare de a dezvolta o afecțiune gravă); </w:t>
      </w:r>
    </w:p>
    <w:p w14:paraId="44891EA7" w14:textId="77777777" w:rsidR="00936E0F" w:rsidRPr="00A47016" w:rsidRDefault="00936E0F" w:rsidP="00EB0384">
      <w:pPr>
        <w:pStyle w:val="ListParagraph"/>
        <w:numPr>
          <w:ilvl w:val="0"/>
          <w:numId w:val="12"/>
        </w:numPr>
        <w:spacing w:before="0"/>
      </w:pPr>
      <w:r w:rsidRPr="00A47016">
        <w:t xml:space="preserve">intervenții precoce sau tratament mai puțin toxic (ex. reducerea utilizării chimioterapiei pentru persoanele cu diferite tipuri de cancer); </w:t>
      </w:r>
    </w:p>
    <w:p w14:paraId="5B69CBAD" w14:textId="77777777" w:rsidR="00936E0F" w:rsidRPr="00A47016" w:rsidRDefault="00936E0F" w:rsidP="00EB0384">
      <w:pPr>
        <w:pStyle w:val="ListParagraph"/>
        <w:numPr>
          <w:ilvl w:val="0"/>
          <w:numId w:val="12"/>
        </w:numPr>
        <w:spacing w:before="0"/>
      </w:pPr>
      <w:r w:rsidRPr="00A47016">
        <w:t xml:space="preserve">reducerea incidenței și mortalității afecțiunilor vizate de screening; </w:t>
      </w:r>
    </w:p>
    <w:p w14:paraId="04B791FB" w14:textId="77777777" w:rsidR="00936E0F" w:rsidRPr="0010659E" w:rsidRDefault="00936E0F" w:rsidP="00EB0384">
      <w:pPr>
        <w:pStyle w:val="ListParagraph"/>
        <w:numPr>
          <w:ilvl w:val="0"/>
          <w:numId w:val="12"/>
        </w:numPr>
        <w:spacing w:before="0"/>
      </w:pPr>
      <w:r w:rsidRPr="00A47016">
        <w:t>îmbunătățirea serviciilor medicale în general</w:t>
      </w:r>
      <w:r w:rsidRPr="0010659E">
        <w:t>.</w:t>
      </w:r>
    </w:p>
    <w:p w14:paraId="77C0CF54" w14:textId="3CE013B8" w:rsidR="00790166" w:rsidRPr="004D205B" w:rsidRDefault="00790166" w:rsidP="009E65C4">
      <w:pPr>
        <w:jc w:val="both"/>
      </w:pPr>
      <w:r w:rsidRPr="004D205B">
        <w:t xml:space="preserve">Conform aceluiași ghid implementarea unui program de screening este o acțiune complexă care necesită o planificare considerabilă, cât și resurse umane și financiare: </w:t>
      </w:r>
    </w:p>
    <w:p w14:paraId="3ADEB962" w14:textId="77777777" w:rsidR="00790166" w:rsidRPr="004D205B" w:rsidRDefault="00790166" w:rsidP="00790166">
      <w:pPr>
        <w:pStyle w:val="ListParagraph"/>
        <w:numPr>
          <w:ilvl w:val="0"/>
          <w:numId w:val="12"/>
        </w:numPr>
        <w:spacing w:before="0"/>
      </w:pPr>
      <w:r w:rsidRPr="004D205B">
        <w:t xml:space="preserve">Coordonare și management - politicile operaționale ar trebui să sublinieze responsabilitățile personalului cheie implicat în gestionarea programelor de screening de la toate nivelurile sistemului medical; </w:t>
      </w:r>
    </w:p>
    <w:p w14:paraId="0D7AC5C9" w14:textId="77777777" w:rsidR="00790166" w:rsidRPr="004D205B" w:rsidRDefault="00790166" w:rsidP="00790166">
      <w:pPr>
        <w:pStyle w:val="ListParagraph"/>
        <w:numPr>
          <w:ilvl w:val="0"/>
          <w:numId w:val="12"/>
        </w:numPr>
        <w:spacing w:before="0"/>
      </w:pPr>
      <w:r w:rsidRPr="004D205B">
        <w:t xml:space="preserve">Consolidarea procedurii - modul în care sunt identificați oamenii, cum vor fi invitați, examinați și direcționați și ce investigații suplimentare, tratament sau intervenție vor primi ca urmare a derulării procesului de screening; </w:t>
      </w:r>
    </w:p>
    <w:p w14:paraId="3A027A0D" w14:textId="77777777" w:rsidR="00790166" w:rsidRPr="004D205B" w:rsidRDefault="00790166" w:rsidP="00790166">
      <w:pPr>
        <w:pStyle w:val="ListParagraph"/>
        <w:numPr>
          <w:ilvl w:val="0"/>
          <w:numId w:val="12"/>
        </w:numPr>
        <w:spacing w:before="0"/>
      </w:pPr>
      <w:r w:rsidRPr="004D205B">
        <w:t>Instruirea personalului - calitatea screeningului este influențată în mare măsură de abilitățile celor care le efectuează, fiind necesară instruirea personalul medical implicat</w:t>
      </w:r>
      <w:r>
        <w:t>;</w:t>
      </w:r>
    </w:p>
    <w:p w14:paraId="0C1109E3" w14:textId="77777777" w:rsidR="00790166" w:rsidRPr="004D205B" w:rsidRDefault="00790166" w:rsidP="00790166">
      <w:pPr>
        <w:pStyle w:val="ListParagraph"/>
        <w:numPr>
          <w:ilvl w:val="0"/>
          <w:numId w:val="12"/>
        </w:numPr>
        <w:spacing w:before="0"/>
      </w:pPr>
      <w:r w:rsidRPr="004D205B">
        <w:t>Sisteme informaționale – utilizate pentru identificarea persoanelor eligile, pentru a opera apelul și rechemarea, pentru a înregistra cine a fost supus screeningului, pentru a sprijini sistemele de urmărire, etc. Sistemele informaționale sunt esențiale și pentru a genera date de înaltă calitate pentru asigurarea calității și monitorizarea și evaluarea programului.</w:t>
      </w:r>
    </w:p>
    <w:p w14:paraId="04B4EFAF" w14:textId="77777777" w:rsidR="00790166" w:rsidRPr="004D205B" w:rsidRDefault="00790166" w:rsidP="00790166">
      <w:pPr>
        <w:pStyle w:val="ListParagraph"/>
        <w:numPr>
          <w:ilvl w:val="0"/>
          <w:numId w:val="12"/>
        </w:numPr>
        <w:spacing w:before="0"/>
      </w:pPr>
      <w:r w:rsidRPr="004D205B">
        <w:t xml:space="preserve">Asiguarea finanțării – un sistem de sănătate eficient este susținut de un sistem de finanțare care să permită oamenilor să utilizeze toate tipurile de servicii de sănătate, să permită promovarea sănătății, prevenirea bolilor, tratament și reabilitare. În acest sens asigurarea fluxurilor de finanțare pentru procesul de screening este important, factorii de decizie politică confruntându-se cu probleme precum: finanțarea pentru echipamente, dar lipsa finanțării recurente; finanțare pentru screening dar nu pentru investigații suplimentare sau tratament; etc.; </w:t>
      </w:r>
    </w:p>
    <w:p w14:paraId="2C5BB21D" w14:textId="77777777" w:rsidR="00790166" w:rsidRPr="004D205B" w:rsidRDefault="00790166" w:rsidP="00790166">
      <w:pPr>
        <w:pStyle w:val="ListParagraph"/>
        <w:numPr>
          <w:ilvl w:val="0"/>
          <w:numId w:val="12"/>
        </w:numPr>
        <w:spacing w:before="0"/>
      </w:pPr>
      <w:r w:rsidRPr="004D205B">
        <w:t xml:space="preserve">Capacitate consolidată a sistemului de sănătate – asigurarea resurselor umane și calitatea serviciilor medicale; </w:t>
      </w:r>
    </w:p>
    <w:p w14:paraId="54CCDC73" w14:textId="7896A9A5" w:rsidR="00790166" w:rsidRDefault="00790166" w:rsidP="00790166">
      <w:pPr>
        <w:pStyle w:val="ListParagraph"/>
        <w:numPr>
          <w:ilvl w:val="0"/>
          <w:numId w:val="12"/>
        </w:numPr>
        <w:spacing w:before="0"/>
      </w:pPr>
      <w:r w:rsidRPr="004D205B">
        <w:t xml:space="preserve">Informare și comunicare – pentru implicarea asumată a participanților în cadrul programelor de screening </w:t>
      </w:r>
      <w:r w:rsidRPr="00790166">
        <w:t xml:space="preserve">prin furnizarea informațiilor accesibile cu referire la derularea acestora.  </w:t>
      </w:r>
    </w:p>
    <w:p w14:paraId="70648981" w14:textId="77777777" w:rsidR="00D33716" w:rsidRPr="00790166" w:rsidRDefault="00D33716" w:rsidP="00D33716">
      <w:pPr>
        <w:jc w:val="both"/>
      </w:pPr>
      <w:r w:rsidRPr="00D33716">
        <w:rPr>
          <w:szCs w:val="20"/>
        </w:rPr>
        <w:t>Varianta optimă privind derularea programelor de screening organizate, indicată de Organizația Mondială a Sănătății este cea regăsită în studiul „Medical screening: key concepts for policy-makers” care sugerează  integrarea acestora în sistemele de asistență medicală existente la nivelul fiecărei țări.</w:t>
      </w:r>
    </w:p>
    <w:p w14:paraId="2308DCEA" w14:textId="592FA8CA" w:rsidR="00EB0384" w:rsidRPr="00C816E9" w:rsidRDefault="008E5575" w:rsidP="00C816E9">
      <w:pPr>
        <w:spacing w:before="120"/>
        <w:jc w:val="both"/>
        <w:rPr>
          <w:rFonts w:cstheme="minorHAnsi"/>
          <w:szCs w:val="20"/>
        </w:rPr>
      </w:pPr>
      <w:r w:rsidRPr="00790166">
        <w:rPr>
          <w:rFonts w:cstheme="minorHAnsi"/>
          <w:szCs w:val="20"/>
        </w:rPr>
        <w:t>D</w:t>
      </w:r>
      <w:r w:rsidR="00EB0384" w:rsidRPr="00790166">
        <w:rPr>
          <w:rFonts w:cstheme="minorHAnsi"/>
          <w:szCs w:val="20"/>
        </w:rPr>
        <w:t xml:space="preserve">atele privind efectuarea screeningul în cazul </w:t>
      </w:r>
      <w:r w:rsidRPr="00790166">
        <w:rPr>
          <w:rFonts w:cstheme="minorHAnsi"/>
          <w:szCs w:val="20"/>
        </w:rPr>
        <w:t xml:space="preserve">diferitelor afecțiuni </w:t>
      </w:r>
      <w:r w:rsidR="00EB0384" w:rsidRPr="00790166">
        <w:rPr>
          <w:rFonts w:cstheme="minorHAnsi"/>
          <w:szCs w:val="20"/>
        </w:rPr>
        <w:t xml:space="preserve">indică o reducere semnificativă a incidenței </w:t>
      </w:r>
      <w:r w:rsidRPr="00790166">
        <w:rPr>
          <w:rFonts w:cstheme="minorHAnsi"/>
          <w:szCs w:val="20"/>
        </w:rPr>
        <w:t xml:space="preserve"> </w:t>
      </w:r>
      <w:r w:rsidRPr="00790166">
        <w:rPr>
          <w:rFonts w:cstheme="minorHAnsi"/>
          <w:szCs w:val="20"/>
        </w:rPr>
        <w:t>cancerului de col uterin</w:t>
      </w:r>
      <w:r w:rsidRPr="00790166">
        <w:rPr>
          <w:rFonts w:cstheme="minorHAnsi"/>
          <w:szCs w:val="20"/>
        </w:rPr>
        <w:t xml:space="preserve">, </w:t>
      </w:r>
      <w:r w:rsidR="00EB0384" w:rsidRPr="00790166">
        <w:rPr>
          <w:rFonts w:cstheme="minorHAnsi"/>
          <w:szCs w:val="20"/>
        </w:rPr>
        <w:t xml:space="preserve">care variază între 30% și 80%, în funcție de metoda de detectare, fiind observat un rezultat mai bun în cazul țărilor care au derulat programe de screening organizat spre deosebire de acele tări în care predomină screeningul oportunist. </w:t>
      </w:r>
      <w:r w:rsidR="00FB705C" w:rsidRPr="00790166">
        <w:rPr>
          <w:rFonts w:cstheme="minorHAnsi"/>
          <w:szCs w:val="20"/>
        </w:rPr>
        <w:t>S</w:t>
      </w:r>
      <w:r w:rsidR="00EB0384" w:rsidRPr="00790166">
        <w:rPr>
          <w:rFonts w:cstheme="minorHAnsi"/>
          <w:szCs w:val="20"/>
        </w:rPr>
        <w:t xml:space="preserve">tatisticile </w:t>
      </w:r>
      <w:r w:rsidR="00FB705C" w:rsidRPr="00790166">
        <w:rPr>
          <w:rFonts w:cstheme="minorHAnsi"/>
          <w:szCs w:val="20"/>
        </w:rPr>
        <w:t xml:space="preserve">indică și </w:t>
      </w:r>
      <w:r w:rsidR="00EB0384" w:rsidRPr="00790166">
        <w:rPr>
          <w:rFonts w:cstheme="minorHAnsi"/>
          <w:szCs w:val="20"/>
        </w:rPr>
        <w:t xml:space="preserve">reducerea cu 20% a riscului de mortalitate ca urmare a diagnosticării cu cancer la sân de la momentul derulării screeningului efectiv și de până la 25% a mortalității în cazul cancerului colorectal, fiind astfel dovedită eficacitatea screeningului în cazul reducerii mortalității și incidenței </w:t>
      </w:r>
      <w:r w:rsidR="00EB0384" w:rsidRPr="00C816E9">
        <w:rPr>
          <w:rFonts w:cstheme="minorHAnsi"/>
          <w:szCs w:val="20"/>
        </w:rPr>
        <w:t xml:space="preserve">acestor afecțiuni. </w:t>
      </w:r>
    </w:p>
    <w:p w14:paraId="6C4A6C53" w14:textId="77777777" w:rsidR="00C816E9" w:rsidRPr="00C816E9" w:rsidRDefault="00C816E9" w:rsidP="00C816E9">
      <w:pPr>
        <w:jc w:val="both"/>
      </w:pPr>
      <w:r w:rsidRPr="00C816E9">
        <w:t xml:space="preserve">Pentru asigurarea unor servicii medicale accesibile și de calitate, centrele comunitare pot oferi: </w:t>
      </w:r>
    </w:p>
    <w:p w14:paraId="7E2A9B6B" w14:textId="77777777" w:rsidR="00C816E9" w:rsidRPr="00C816E9" w:rsidRDefault="00C816E9" w:rsidP="00C816E9">
      <w:pPr>
        <w:pStyle w:val="ListParagraph"/>
        <w:numPr>
          <w:ilvl w:val="0"/>
          <w:numId w:val="12"/>
        </w:numPr>
        <w:spacing w:before="0"/>
      </w:pPr>
      <w:r w:rsidRPr="00C816E9">
        <w:rPr>
          <w:color w:val="auto"/>
        </w:rPr>
        <w:lastRenderedPageBreak/>
        <w:t>S</w:t>
      </w:r>
      <w:r w:rsidRPr="00C816E9">
        <w:t xml:space="preserve">ervicii de prevenire și medicale primare; </w:t>
      </w:r>
    </w:p>
    <w:p w14:paraId="43994E08" w14:textId="77777777" w:rsidR="00C816E9" w:rsidRPr="00C816E9" w:rsidRDefault="00C816E9" w:rsidP="00C816E9">
      <w:pPr>
        <w:pStyle w:val="ListParagraph"/>
        <w:numPr>
          <w:ilvl w:val="0"/>
          <w:numId w:val="12"/>
        </w:numPr>
        <w:spacing w:before="0"/>
      </w:pPr>
      <w:r w:rsidRPr="00C816E9">
        <w:t xml:space="preserve">Prevenirea bolilor (vaccinări,  screening-uri); </w:t>
      </w:r>
    </w:p>
    <w:p w14:paraId="6B5373FA" w14:textId="77777777" w:rsidR="00C816E9" w:rsidRPr="00C816E9" w:rsidRDefault="00C816E9" w:rsidP="00C816E9">
      <w:pPr>
        <w:pStyle w:val="ListParagraph"/>
        <w:numPr>
          <w:ilvl w:val="0"/>
          <w:numId w:val="12"/>
        </w:numPr>
        <w:spacing w:before="0"/>
      </w:pPr>
      <w:r w:rsidRPr="00C816E9">
        <w:t>Educarea pacienților (consiliere nutrițională, informare privind prevenirea bolilor, igienă, etc.);</w:t>
      </w:r>
    </w:p>
    <w:p w14:paraId="7B952D4F" w14:textId="77777777" w:rsidR="00C816E9" w:rsidRPr="00C816E9" w:rsidRDefault="00C816E9" w:rsidP="00C816E9">
      <w:pPr>
        <w:pStyle w:val="ListParagraph"/>
        <w:numPr>
          <w:ilvl w:val="0"/>
          <w:numId w:val="12"/>
        </w:numPr>
        <w:spacing w:before="0"/>
      </w:pPr>
      <w:r w:rsidRPr="00C816E9">
        <w:t xml:space="preserve">Implementarea serviciilor de e-medicină. </w:t>
      </w:r>
    </w:p>
    <w:p w14:paraId="24F83AB1" w14:textId="72B40F9B" w:rsidR="00C816E9" w:rsidRPr="00C816E9" w:rsidRDefault="00C816E9" w:rsidP="00C816E9">
      <w:pPr>
        <w:jc w:val="both"/>
      </w:pPr>
      <w:r w:rsidRPr="00C816E9">
        <w:t xml:space="preserve">Asistența medicală primară include </w:t>
      </w:r>
      <w:r w:rsidR="00771E45">
        <w:rPr>
          <w:lang w:val="en-US"/>
        </w:rPr>
        <w:t>“</w:t>
      </w:r>
      <w:r w:rsidRPr="00C816E9">
        <w:t>bunăstarea fizică, mentală și socială și este mai degrabă centrată pe oameni decât pe boală” (WHO, https://www.who.int/health-topics/primary-health-care#tab=tab_1). Aceasta este o abordare care include promovarea sănătății, prevenirea bolilor, tratament, reabilitare și îngrijiri paliative care să poată fi accesare de oricine, oriunde (Declaration of Astana, 2018; WHO&amp;UNICEF, 2020). Dezvoltarea sistemului de servicii medicale primare este deosebit de important pentru reforma sistemului de sănătate deoarece contribuie la creșterea rezistenței acestuia la situațiile de criză, la adoptarea unei atitudii proactive în detectarea semnelor timpurii ale epidemiilor și la oferirea unui răspuns rapid la creșterea cererii de servicii.</w:t>
      </w:r>
    </w:p>
    <w:p w14:paraId="61F0700A" w14:textId="101DA257" w:rsidR="00C816E9" w:rsidRPr="00C816E9" w:rsidRDefault="00C816E9" w:rsidP="00C816E9">
      <w:pPr>
        <w:jc w:val="both"/>
      </w:pPr>
      <w:r w:rsidRPr="00C816E9">
        <w:t xml:space="preserve">Raportul dezvoltat de World Health Organisation și UNICEF (2020) vorbește despre șase modele de integrare a sănătății publice și asistența medicală primară: </w:t>
      </w:r>
    </w:p>
    <w:p w14:paraId="6007245F" w14:textId="77777777" w:rsidR="00C816E9" w:rsidRPr="00C816E9" w:rsidRDefault="00C816E9" w:rsidP="00C816E9">
      <w:pPr>
        <w:pStyle w:val="ListParagraph"/>
        <w:numPr>
          <w:ilvl w:val="0"/>
          <w:numId w:val="12"/>
        </w:numPr>
        <w:spacing w:before="0"/>
      </w:pPr>
      <w:r w:rsidRPr="00C816E9">
        <w:t>profesioniști din domeniul sănătății publice integrați în asistența medicală primară;</w:t>
      </w:r>
    </w:p>
    <w:p w14:paraId="0D0B2A34" w14:textId="77777777" w:rsidR="00C816E9" w:rsidRPr="00C816E9" w:rsidRDefault="00C816E9" w:rsidP="00C816E9">
      <w:pPr>
        <w:pStyle w:val="ListParagraph"/>
        <w:numPr>
          <w:ilvl w:val="0"/>
          <w:numId w:val="12"/>
        </w:numPr>
        <w:spacing w:before="0"/>
      </w:pPr>
      <w:r w:rsidRPr="00C816E9">
        <w:t>serviciile de sănătate publică și furnizorii de asistență primară care lucrează împreună;</w:t>
      </w:r>
    </w:p>
    <w:p w14:paraId="005ED0A1" w14:textId="77777777" w:rsidR="00C816E9" w:rsidRPr="00C816E9" w:rsidRDefault="00C816E9" w:rsidP="00C816E9">
      <w:pPr>
        <w:pStyle w:val="ListParagraph"/>
        <w:numPr>
          <w:ilvl w:val="0"/>
          <w:numId w:val="12"/>
        </w:numPr>
        <w:spacing w:before="0"/>
      </w:pPr>
      <w:r w:rsidRPr="00C816E9">
        <w:t>pachete de beneficii complete și proactive care includ sănătatea publică;</w:t>
      </w:r>
    </w:p>
    <w:p w14:paraId="50766BC2" w14:textId="77777777" w:rsidR="00C816E9" w:rsidRPr="00C816E9" w:rsidRDefault="00C816E9" w:rsidP="00C816E9">
      <w:pPr>
        <w:pStyle w:val="ListParagraph"/>
        <w:numPr>
          <w:ilvl w:val="0"/>
          <w:numId w:val="12"/>
        </w:numPr>
        <w:spacing w:before="0"/>
      </w:pPr>
      <w:r w:rsidRPr="00C816E9">
        <w:t>servicii de îngrijire primară în cadrul sănătății publice;</w:t>
      </w:r>
    </w:p>
    <w:p w14:paraId="6A10BEF4" w14:textId="77777777" w:rsidR="00C816E9" w:rsidRPr="00C816E9" w:rsidRDefault="00C816E9" w:rsidP="00C816E9">
      <w:pPr>
        <w:pStyle w:val="ListParagraph"/>
        <w:numPr>
          <w:ilvl w:val="0"/>
          <w:numId w:val="12"/>
        </w:numPr>
        <w:spacing w:before="0"/>
      </w:pPr>
      <w:r w:rsidRPr="00C816E9">
        <w:t>dezvoltarea stimulentelor de sănătate publică în asistența medicală primară;</w:t>
      </w:r>
    </w:p>
    <w:p w14:paraId="1F7A77D3" w14:textId="77777777" w:rsidR="00C816E9" w:rsidRPr="00C816E9" w:rsidRDefault="00C816E9" w:rsidP="00C816E9">
      <w:pPr>
        <w:pStyle w:val="ListParagraph"/>
        <w:numPr>
          <w:ilvl w:val="0"/>
          <w:numId w:val="12"/>
        </w:numPr>
        <w:spacing w:before="0"/>
      </w:pPr>
      <w:r w:rsidRPr="00C816E9">
        <w:t>instruirea multidisciplinară a personalului de asistență medicală primară în domeniul sănătății publice.</w:t>
      </w:r>
    </w:p>
    <w:p w14:paraId="3853A3AF" w14:textId="77777777" w:rsidR="00C816E9" w:rsidRPr="00C816E9" w:rsidRDefault="00C816E9" w:rsidP="00C816E9">
      <w:pPr>
        <w:jc w:val="both"/>
      </w:pPr>
      <w:r w:rsidRPr="00C816E9">
        <w:t xml:space="preserve">Conform aceluiași raport sistemele de sănătate trebuie reorientate pentru a facilita accesul la servicii avându-se în vedere contextul (condițiile de viață, transportul public, îngrijirea pre și post spitalicească), preferințele populației și raportul cost-beneficiu. Acestea ar trebui să fie mai apropiate de locul în care locuiesc oamenii și din acest motiv este de preferat să fie dezvoltate servicii de sănătate oferite la domiciliu, asistență medicală comunitară, asistență primară în unități de îngrijire pe termen lung, unități de reabilitare în spitale locale, unități dedicate asistenței medicale de urgență. </w:t>
      </w:r>
    </w:p>
    <w:p w14:paraId="7BBB35BB" w14:textId="77777777" w:rsidR="00C816E9" w:rsidRPr="00C816E9" w:rsidRDefault="00C816E9" w:rsidP="00C816E9">
      <w:pPr>
        <w:jc w:val="both"/>
      </w:pPr>
      <w:r w:rsidRPr="00C816E9">
        <w:t xml:space="preserve">Pe lângă măsurile de creștere a sănătății specificate anterior, implementarea e-medicinei în mediul rural sau în comunitățile dezavantajate ar crește accesul la servicii medicale specializate pentru persoanele din cadrul acestora și ar contribui la eficientizarea sistemului de sănătate prin reducerea spitalizărilor și identificarea cazurilor în situații grave care presupun costuri mai mari de intervenție. Aceste servicii de e-medicină pot fi implementate de medicii de familie sau de către asistentele/asistenții medicali comunitari sau de personalul specializat din centrele comunitare integrate. </w:t>
      </w:r>
    </w:p>
    <w:p w14:paraId="4DCA026D" w14:textId="77777777" w:rsidR="002370D6" w:rsidRDefault="002370D6" w:rsidP="00936E0F">
      <w:pPr>
        <w:jc w:val="both"/>
        <w:rPr>
          <w:rFonts w:cstheme="minorHAnsi"/>
          <w:szCs w:val="20"/>
          <w:lang w:eastAsia="en-GB"/>
        </w:rPr>
      </w:pPr>
    </w:p>
    <w:p w14:paraId="5572EAF8" w14:textId="59B8990E" w:rsidR="00F12AFC" w:rsidRDefault="00F12AFC" w:rsidP="004D42A7">
      <w:pPr>
        <w:spacing w:after="120" w:line="240" w:lineRule="auto"/>
        <w:jc w:val="both"/>
        <w:rPr>
          <w:rFonts w:ascii="Calibri" w:hAnsi="Calibri" w:cs="Calibri"/>
          <w:noProof/>
        </w:rPr>
      </w:pPr>
    </w:p>
    <w:p w14:paraId="19D4A227" w14:textId="77777777" w:rsidR="00F12AFC" w:rsidRDefault="00F12AFC">
      <w:pPr>
        <w:rPr>
          <w:rFonts w:ascii="Calibri" w:hAnsi="Calibri" w:cs="Calibri"/>
          <w:noProof/>
        </w:rPr>
      </w:pPr>
      <w:r>
        <w:rPr>
          <w:rFonts w:ascii="Calibri" w:hAnsi="Calibri" w:cs="Calibri"/>
          <w:noProof/>
        </w:rPr>
        <w:br w:type="page"/>
      </w:r>
    </w:p>
    <w:p w14:paraId="78018B1C" w14:textId="1F603B04" w:rsidR="001567E6" w:rsidRDefault="001567E6" w:rsidP="004D42A7">
      <w:pPr>
        <w:spacing w:after="120" w:line="240" w:lineRule="auto"/>
        <w:jc w:val="both"/>
        <w:rPr>
          <w:rFonts w:ascii="Calibri" w:hAnsi="Calibri" w:cs="Calibri"/>
          <w:b/>
          <w:bCs/>
          <w:noProof/>
        </w:rPr>
      </w:pPr>
      <w:r w:rsidRPr="001567E6">
        <w:rPr>
          <w:rFonts w:ascii="Calibri" w:hAnsi="Calibri" w:cs="Calibri"/>
          <w:b/>
          <w:bCs/>
          <w:noProof/>
        </w:rPr>
        <w:lastRenderedPageBreak/>
        <w:t>Bibliografie</w:t>
      </w:r>
    </w:p>
    <w:p w14:paraId="4BC2DC11" w14:textId="54FFCA2B" w:rsidR="006F57C7" w:rsidRPr="00E502FA" w:rsidRDefault="006F57C7" w:rsidP="006F57C7">
      <w:pPr>
        <w:ind w:left="720" w:hanging="720"/>
        <w:rPr>
          <w:i/>
          <w:iCs/>
        </w:rPr>
      </w:pPr>
      <w:r w:rsidRPr="00E502FA">
        <w:t>Armaroli, P., et al., 2015</w:t>
      </w:r>
      <w:r>
        <w:t>.</w:t>
      </w:r>
      <w:r w:rsidRPr="00E502FA">
        <w:t xml:space="preserve"> </w:t>
      </w:r>
      <w:r w:rsidRPr="006F57C7">
        <w:rPr>
          <w:i/>
          <w:iCs/>
        </w:rPr>
        <w:t>Cancer screening</w:t>
      </w:r>
      <w:r>
        <w:rPr>
          <w:i/>
          <w:iCs/>
        </w:rPr>
        <w:t xml:space="preserve">, </w:t>
      </w:r>
      <w:r w:rsidRPr="006F57C7">
        <w:t>in</w:t>
      </w:r>
      <w:r>
        <w:rPr>
          <w:i/>
          <w:iCs/>
        </w:rPr>
        <w:t xml:space="preserve"> </w:t>
      </w:r>
      <w:r w:rsidRPr="006F57C7">
        <w:t>European Code against Cancer, 4th Edition</w:t>
      </w:r>
    </w:p>
    <w:p w14:paraId="49C4C093" w14:textId="4A4837A8" w:rsidR="007E475E" w:rsidRDefault="00F12AFC" w:rsidP="004D42A7">
      <w:pPr>
        <w:spacing w:after="120" w:line="240" w:lineRule="auto"/>
        <w:jc w:val="both"/>
        <w:rPr>
          <w:rFonts w:ascii="Calibri" w:hAnsi="Calibri" w:cs="Calibri"/>
          <w:noProof/>
        </w:rPr>
      </w:pPr>
      <w:r w:rsidRPr="00EB0384">
        <w:rPr>
          <w:rFonts w:ascii="Calibri" w:hAnsi="Calibri" w:cs="Calibri"/>
          <w:noProof/>
        </w:rPr>
        <w:t>Bhatt</w:t>
      </w:r>
      <w:r w:rsidR="00E502FA">
        <w:rPr>
          <w:rFonts w:ascii="Calibri" w:hAnsi="Calibri" w:cs="Calibri"/>
          <w:noProof/>
        </w:rPr>
        <w:t>,</w:t>
      </w:r>
      <w:r w:rsidRPr="00EB0384">
        <w:rPr>
          <w:rFonts w:ascii="Calibri" w:hAnsi="Calibri" w:cs="Calibri"/>
          <w:noProof/>
        </w:rPr>
        <w:t>J</w:t>
      </w:r>
      <w:r w:rsidR="00E502FA">
        <w:rPr>
          <w:rFonts w:ascii="Calibri" w:hAnsi="Calibri" w:cs="Calibri"/>
          <w:noProof/>
        </w:rPr>
        <w:t>.</w:t>
      </w:r>
      <w:r w:rsidRPr="00EB0384">
        <w:rPr>
          <w:rFonts w:ascii="Calibri" w:hAnsi="Calibri" w:cs="Calibri"/>
          <w:noProof/>
        </w:rPr>
        <w:t xml:space="preserve"> and Bathija</w:t>
      </w:r>
      <w:r w:rsidR="00E502FA">
        <w:rPr>
          <w:rFonts w:ascii="Calibri" w:hAnsi="Calibri" w:cs="Calibri"/>
          <w:noProof/>
        </w:rPr>
        <w:t>, P.</w:t>
      </w:r>
      <w:r w:rsidRPr="00EB0384">
        <w:rPr>
          <w:rFonts w:ascii="Calibri" w:hAnsi="Calibri" w:cs="Calibri"/>
          <w:noProof/>
        </w:rPr>
        <w:t>2018</w:t>
      </w:r>
      <w:r w:rsidR="00E502FA">
        <w:rPr>
          <w:rFonts w:ascii="Calibri" w:hAnsi="Calibri" w:cs="Calibri"/>
          <w:noProof/>
        </w:rPr>
        <w:t xml:space="preserve">. </w:t>
      </w:r>
      <w:r w:rsidR="00FA54E9" w:rsidRPr="00EB0384">
        <w:rPr>
          <w:rFonts w:ascii="Calibri" w:hAnsi="Calibri" w:cs="Calibri"/>
          <w:noProof/>
        </w:rPr>
        <w:t>Ensuring Access to Quality Health Care in Vulnerable Communities</w:t>
      </w:r>
    </w:p>
    <w:p w14:paraId="635341D2" w14:textId="06489A3E" w:rsidR="006F57C7" w:rsidRPr="00E502FA" w:rsidRDefault="006F57C7" w:rsidP="006F57C7">
      <w:r w:rsidRPr="00E502FA">
        <w:t xml:space="preserve">Howard, G., Bogh, C., Goldstein, G., Morgan, J., Prüss, A., Shaw, R., Teuton, J. 2002. Healthy Villages. A guide for communities and community health workers, </w:t>
      </w:r>
      <w:r w:rsidR="00771E45">
        <w:t>d</w:t>
      </w:r>
      <w:r w:rsidRPr="00E502FA">
        <w:t xml:space="preserve">isponibil la: </w:t>
      </w:r>
      <w:hyperlink r:id="rId11" w:history="1">
        <w:r w:rsidR="00771E45" w:rsidRPr="00265136">
          <w:rPr>
            <w:rStyle w:val="Hyperlink"/>
          </w:rPr>
          <w:t>https://apps.who.int/iris/bitstream/handle/10665/42456/9241545534.pdf?sequence=1&amp;isAllowed=y</w:t>
        </w:r>
      </w:hyperlink>
      <w:r w:rsidR="00771E45">
        <w:t xml:space="preserve">, accesat la </w:t>
      </w:r>
      <w:r w:rsidR="000C557B">
        <w:t>12 mai 2021</w:t>
      </w:r>
    </w:p>
    <w:p w14:paraId="0C10F3B4" w14:textId="77777777" w:rsidR="006F57C7" w:rsidRPr="00E502FA" w:rsidRDefault="006F57C7" w:rsidP="006F57C7">
      <w:r w:rsidRPr="00E502FA">
        <w:t xml:space="preserve">Maraccini, A. M., Galiatsatos, P., Harper, M., Slonim, A. D., 2017. Creating Clarity: Distinguishing Between Community and Population Health. </w:t>
      </w:r>
      <w:r w:rsidRPr="00E502FA">
        <w:rPr>
          <w:i/>
        </w:rPr>
        <w:t>The American Journal of Accountable Care</w:t>
      </w:r>
      <w:r w:rsidRPr="00E502FA">
        <w:t>, 5 (2)</w:t>
      </w:r>
    </w:p>
    <w:p w14:paraId="6B512CA6" w14:textId="55DA134A" w:rsidR="006F57C7" w:rsidRPr="00D931DC" w:rsidRDefault="006F57C7" w:rsidP="006F57C7">
      <w:pPr>
        <w:spacing w:line="312" w:lineRule="auto"/>
        <w:rPr>
          <w:rFonts w:eastAsia="Times New Roman" w:cstheme="minorHAnsi"/>
          <w:color w:val="000000" w:themeColor="text1"/>
          <w:u w:val="single"/>
          <w:lang w:eastAsia="en-GB"/>
        </w:rPr>
      </w:pPr>
      <w:r w:rsidRPr="00D931DC">
        <w:rPr>
          <w:rFonts w:eastAsia="Times New Roman" w:cstheme="minorHAnsi"/>
          <w:color w:val="000000" w:themeColor="text1"/>
          <w:lang w:eastAsia="en-GB"/>
        </w:rPr>
        <w:t xml:space="preserve">OECD/European Union. 2020. </w:t>
      </w:r>
      <w:r w:rsidRPr="00D931DC">
        <w:rPr>
          <w:rFonts w:eastAsia="Times New Roman" w:cstheme="minorHAnsi"/>
          <w:i/>
          <w:iCs/>
          <w:color w:val="000000" w:themeColor="text1"/>
          <w:lang w:eastAsia="en-GB"/>
        </w:rPr>
        <w:t>Health at a Glance: Europe 2020: State of Health in the EU Cycle</w:t>
      </w:r>
      <w:r w:rsidRPr="00D931DC">
        <w:rPr>
          <w:rFonts w:eastAsia="Times New Roman" w:cstheme="minorHAnsi"/>
          <w:color w:val="000000" w:themeColor="text1"/>
          <w:lang w:eastAsia="en-GB"/>
        </w:rPr>
        <w:t xml:space="preserve">. OECD Publishing, Paris, </w:t>
      </w:r>
      <w:r w:rsidR="00771E45">
        <w:rPr>
          <w:rFonts w:eastAsia="Times New Roman" w:cstheme="minorHAnsi"/>
          <w:color w:val="000000" w:themeColor="text1"/>
          <w:lang w:eastAsia="en-GB"/>
        </w:rPr>
        <w:t xml:space="preserve">disponibil la </w:t>
      </w:r>
      <w:hyperlink r:id="rId12" w:history="1">
        <w:r w:rsidR="00771E45" w:rsidRPr="00265136">
          <w:rPr>
            <w:rStyle w:val="Hyperlink"/>
            <w:rFonts w:eastAsia="Times New Roman"/>
            <w:lang w:eastAsia="en-GB"/>
          </w:rPr>
          <w:t>https://doi.org/10.1787/82129230-en</w:t>
        </w:r>
      </w:hyperlink>
      <w:r w:rsidRPr="00D931DC">
        <w:rPr>
          <w:rFonts w:eastAsia="Times New Roman" w:cstheme="minorHAnsi"/>
          <w:color w:val="000000" w:themeColor="text1"/>
          <w:lang w:eastAsia="en-GB"/>
        </w:rPr>
        <w:t xml:space="preserve">. </w:t>
      </w:r>
      <w:hyperlink r:id="rId13" w:history="1">
        <w:r w:rsidRPr="00D931DC">
          <w:rPr>
            <w:rStyle w:val="Hyperlink"/>
            <w:rFonts w:eastAsia="Times New Roman"/>
            <w:lang w:eastAsia="en-GB"/>
          </w:rPr>
          <w:t>https://www.oecd-ilibrary.org/docserver/82129230-en.pdf?expires=1609875620&amp;id=id&amp;accname=guest&amp;checksum=3E772FAFF506D5A2AD6535E12BD82CC7</w:t>
        </w:r>
      </w:hyperlink>
      <w:r w:rsidR="00771E45" w:rsidRPr="00771E45">
        <w:t xml:space="preserve">, accesat la </w:t>
      </w:r>
      <w:r w:rsidR="000C557B">
        <w:t xml:space="preserve">12 mai </w:t>
      </w:r>
      <w:r w:rsidR="00771E45" w:rsidRPr="00771E45">
        <w:t>2021</w:t>
      </w:r>
    </w:p>
    <w:p w14:paraId="2C78758F" w14:textId="26E2BCB0" w:rsidR="00EB0384" w:rsidRDefault="00EB0384" w:rsidP="004D42A7">
      <w:pPr>
        <w:spacing w:after="120" w:line="240" w:lineRule="auto"/>
        <w:jc w:val="both"/>
        <w:rPr>
          <w:rFonts w:ascii="Calibri" w:hAnsi="Calibri" w:cs="Calibri"/>
          <w:noProof/>
        </w:rPr>
      </w:pPr>
      <w:r w:rsidRPr="00EB0384">
        <w:rPr>
          <w:rFonts w:ascii="Calibri" w:hAnsi="Calibri" w:cs="Calibri"/>
          <w:noProof/>
        </w:rPr>
        <w:t>Strategia națională privind incluziunea socială și reducerea sărăciei 2015 – 2020, România</w:t>
      </w:r>
      <w:r w:rsidR="0009156B">
        <w:rPr>
          <w:rFonts w:ascii="Calibri" w:hAnsi="Calibri" w:cs="Calibri"/>
          <w:noProof/>
        </w:rPr>
        <w:t xml:space="preserve">, disponibilă la </w:t>
      </w:r>
      <w:hyperlink r:id="rId14" w:history="1">
        <w:r w:rsidR="0009156B" w:rsidRPr="00265136">
          <w:rPr>
            <w:rStyle w:val="Hyperlink"/>
            <w:rFonts w:ascii="Calibri" w:hAnsi="Calibri" w:cs="Calibri"/>
            <w:noProof/>
          </w:rPr>
          <w:t>http://www.mmuncii.ro/j33/images/Documente/Familie/2016/StrategyVol1RO_web.pdf</w:t>
        </w:r>
      </w:hyperlink>
      <w:r w:rsidR="0009156B">
        <w:rPr>
          <w:rFonts w:ascii="Calibri" w:hAnsi="Calibri" w:cs="Calibri"/>
          <w:noProof/>
        </w:rPr>
        <w:t>, accesat la 25 octombrie 2021</w:t>
      </w:r>
    </w:p>
    <w:p w14:paraId="0685A679" w14:textId="44C4AE7F" w:rsidR="00771E45" w:rsidRPr="00771E45" w:rsidRDefault="00E502FA" w:rsidP="00E502FA">
      <w:pPr>
        <w:rPr>
          <w:color w:val="48B9D5" w:themeColor="hyperlink"/>
          <w:u w:val="single"/>
        </w:rPr>
      </w:pPr>
      <w:r w:rsidRPr="00CD67B3">
        <w:t>Wilderink L</w:t>
      </w:r>
      <w:r>
        <w:t>.</w:t>
      </w:r>
      <w:r w:rsidRPr="00CD67B3">
        <w:t>, Bakker I</w:t>
      </w:r>
      <w:r>
        <w:t>.</w:t>
      </w:r>
      <w:r w:rsidRPr="00CD67B3">
        <w:t>, Schuit A</w:t>
      </w:r>
      <w:r>
        <w:t>.</w:t>
      </w:r>
      <w:r w:rsidRPr="00CD67B3">
        <w:t>J</w:t>
      </w:r>
      <w:r>
        <w:t>.</w:t>
      </w:r>
      <w:r w:rsidRPr="00CD67B3">
        <w:t>, Seidell J</w:t>
      </w:r>
      <w:r>
        <w:t>.</w:t>
      </w:r>
      <w:r w:rsidRPr="00CD67B3">
        <w:t>C</w:t>
      </w:r>
      <w:r>
        <w:t>.</w:t>
      </w:r>
      <w:r w:rsidRPr="00CD67B3">
        <w:t>, Renders C</w:t>
      </w:r>
      <w:r>
        <w:t>.</w:t>
      </w:r>
      <w:r w:rsidRPr="00CD67B3">
        <w:t>M</w:t>
      </w:r>
      <w:r>
        <w:t xml:space="preserve">. </w:t>
      </w:r>
      <w:r w:rsidRPr="00CD67B3">
        <w:t>2020</w:t>
      </w:r>
      <w:r>
        <w:t>.</w:t>
      </w:r>
      <w:r w:rsidRPr="00CD67B3">
        <w:t xml:space="preserve"> Key elements of a successful integrated community-based approach aimed at reducing socioeconomic health inequalities in the Netherlands: A qualitative study. </w:t>
      </w:r>
      <w:r w:rsidRPr="00CD67B3">
        <w:rPr>
          <w:i/>
        </w:rPr>
        <w:t>PLoS ONE</w:t>
      </w:r>
      <w:r w:rsidRPr="00CD67B3">
        <w:t xml:space="preserve"> 15(10)</w:t>
      </w:r>
      <w:r w:rsidR="00771E45">
        <w:t>, disponibil la</w:t>
      </w:r>
      <w:r w:rsidRPr="00CD67B3">
        <w:t xml:space="preserve"> </w:t>
      </w:r>
      <w:hyperlink r:id="rId15" w:history="1">
        <w:r w:rsidRPr="00DE0121">
          <w:rPr>
            <w:rStyle w:val="Hyperlink"/>
          </w:rPr>
          <w:t>https://doi.org/10.1371/journal.pone.0240757</w:t>
        </w:r>
      </w:hyperlink>
      <w:r w:rsidR="00771E45">
        <w:rPr>
          <w:rStyle w:val="Hyperlink"/>
        </w:rPr>
        <w:t xml:space="preserve">, </w:t>
      </w:r>
      <w:r w:rsidR="00771E45" w:rsidRPr="00771E45">
        <w:t xml:space="preserve">accesat la </w:t>
      </w:r>
      <w:r w:rsidR="0009156B">
        <w:t>12</w:t>
      </w:r>
      <w:r w:rsidR="000C557B">
        <w:t xml:space="preserve"> mai </w:t>
      </w:r>
      <w:r w:rsidR="00771E45" w:rsidRPr="00771E45">
        <w:t>2021</w:t>
      </w:r>
    </w:p>
    <w:p w14:paraId="65DD9A89" w14:textId="1082BBA7" w:rsidR="00E502FA" w:rsidRPr="00E502FA" w:rsidRDefault="00E502FA" w:rsidP="00E502FA">
      <w:r w:rsidRPr="00E502FA">
        <w:t>World Health Organization &amp; United Nations Children's Fund (‎‎UNICEF)‎‎. ‎2020‎. Operational framework for primary health care: transforming vision into action</w:t>
      </w:r>
    </w:p>
    <w:p w14:paraId="017E7674" w14:textId="09C57452" w:rsidR="00E502FA" w:rsidRPr="00E502FA" w:rsidRDefault="00E502FA" w:rsidP="00E502FA">
      <w:r w:rsidRPr="00E502FA">
        <w:t>World Health Organization</w:t>
      </w:r>
      <w:r>
        <w:t xml:space="preserve">. </w:t>
      </w:r>
      <w:r w:rsidRPr="00E502FA">
        <w:t xml:space="preserve">2016. </w:t>
      </w:r>
      <w:r w:rsidRPr="006F57C7">
        <w:rPr>
          <w:i/>
          <w:iCs/>
        </w:rPr>
        <w:t>Community health workers: a strategy to ensure access to primary health care</w:t>
      </w:r>
      <w:r w:rsidRPr="006F57C7">
        <w:rPr>
          <w:i/>
          <w:iCs/>
        </w:rPr>
        <w:t xml:space="preserve"> </w:t>
      </w:r>
      <w:r w:rsidRPr="006F57C7">
        <w:rPr>
          <w:i/>
          <w:iCs/>
        </w:rPr>
        <w:t>services. World Health Organization</w:t>
      </w:r>
    </w:p>
    <w:p w14:paraId="0707657E" w14:textId="42960915" w:rsidR="006F57C7" w:rsidRDefault="006F57C7" w:rsidP="006F57C7">
      <w:pPr>
        <w:spacing w:after="120" w:line="240" w:lineRule="auto"/>
        <w:jc w:val="both"/>
        <w:rPr>
          <w:rFonts w:ascii="Calibri" w:hAnsi="Calibri" w:cs="Calibri"/>
          <w:i/>
          <w:iCs/>
          <w:noProof/>
        </w:rPr>
      </w:pPr>
      <w:r w:rsidRPr="00473E73">
        <w:rPr>
          <w:rFonts w:ascii="Calibri" w:hAnsi="Calibri" w:cs="Calibri"/>
          <w:noProof/>
        </w:rPr>
        <w:t>World Health Organization</w:t>
      </w:r>
      <w:r>
        <w:rPr>
          <w:rFonts w:ascii="Calibri" w:hAnsi="Calibri" w:cs="Calibri"/>
          <w:noProof/>
        </w:rPr>
        <w:t xml:space="preserve">, </w:t>
      </w:r>
      <w:r w:rsidRPr="00473E73">
        <w:rPr>
          <w:rFonts w:ascii="Calibri" w:hAnsi="Calibri" w:cs="Calibri"/>
          <w:noProof/>
        </w:rPr>
        <w:t xml:space="preserve">Regional Office </w:t>
      </w:r>
      <w:r>
        <w:rPr>
          <w:rFonts w:ascii="Calibri" w:hAnsi="Calibri" w:cs="Calibri"/>
          <w:noProof/>
        </w:rPr>
        <w:t>f</w:t>
      </w:r>
      <w:r w:rsidRPr="00473E73">
        <w:rPr>
          <w:rFonts w:ascii="Calibri" w:hAnsi="Calibri" w:cs="Calibri"/>
          <w:noProof/>
        </w:rPr>
        <w:t>or Europe</w:t>
      </w:r>
      <w:r>
        <w:rPr>
          <w:rFonts w:ascii="Calibri" w:hAnsi="Calibri" w:cs="Calibri"/>
          <w:noProof/>
        </w:rPr>
        <w:t xml:space="preserve">. 2019. </w:t>
      </w:r>
      <w:r w:rsidRPr="00473E73">
        <w:rPr>
          <w:rFonts w:ascii="Calibri" w:hAnsi="Calibri" w:cs="Calibri"/>
          <w:i/>
          <w:iCs/>
          <w:noProof/>
        </w:rPr>
        <w:t>Medical screening: key concepts for policy-makers</w:t>
      </w:r>
    </w:p>
    <w:p w14:paraId="41CD3FA8" w14:textId="2AAE120B" w:rsidR="006F57C7" w:rsidRDefault="006F57C7" w:rsidP="006F57C7">
      <w:pPr>
        <w:spacing w:after="120" w:line="240" w:lineRule="auto"/>
        <w:jc w:val="both"/>
        <w:rPr>
          <w:rFonts w:ascii="Calibri" w:hAnsi="Calibri" w:cs="Calibri"/>
          <w:i/>
          <w:iCs/>
          <w:noProof/>
        </w:rPr>
      </w:pPr>
      <w:r w:rsidRPr="00473E73">
        <w:rPr>
          <w:rFonts w:ascii="Calibri" w:hAnsi="Calibri" w:cs="Calibri"/>
          <w:noProof/>
        </w:rPr>
        <w:t>World Health Organization</w:t>
      </w:r>
      <w:r>
        <w:rPr>
          <w:rFonts w:ascii="Calibri" w:hAnsi="Calibri" w:cs="Calibri"/>
          <w:noProof/>
        </w:rPr>
        <w:t xml:space="preserve">, </w:t>
      </w:r>
      <w:r w:rsidRPr="00473E73">
        <w:rPr>
          <w:rFonts w:ascii="Calibri" w:hAnsi="Calibri" w:cs="Calibri"/>
          <w:noProof/>
        </w:rPr>
        <w:t xml:space="preserve">Regional Office </w:t>
      </w:r>
      <w:r>
        <w:rPr>
          <w:rFonts w:ascii="Calibri" w:hAnsi="Calibri" w:cs="Calibri"/>
          <w:noProof/>
        </w:rPr>
        <w:t>f</w:t>
      </w:r>
      <w:r w:rsidRPr="00473E73">
        <w:rPr>
          <w:rFonts w:ascii="Calibri" w:hAnsi="Calibri" w:cs="Calibri"/>
          <w:noProof/>
        </w:rPr>
        <w:t>or Europe</w:t>
      </w:r>
      <w:r>
        <w:rPr>
          <w:rFonts w:ascii="Calibri" w:hAnsi="Calibri" w:cs="Calibri"/>
          <w:noProof/>
        </w:rPr>
        <w:t xml:space="preserve">. 2020. </w:t>
      </w:r>
      <w:r w:rsidRPr="00473E73">
        <w:rPr>
          <w:rFonts w:ascii="Calibri" w:hAnsi="Calibri" w:cs="Calibri"/>
          <w:i/>
          <w:iCs/>
          <w:noProof/>
        </w:rPr>
        <w:t>Screening programmes:</w:t>
      </w:r>
      <w:r>
        <w:rPr>
          <w:rFonts w:ascii="Calibri" w:hAnsi="Calibri" w:cs="Calibri"/>
          <w:i/>
          <w:iCs/>
          <w:noProof/>
        </w:rPr>
        <w:t xml:space="preserve"> </w:t>
      </w:r>
      <w:r w:rsidRPr="00473E73">
        <w:rPr>
          <w:rFonts w:ascii="Calibri" w:hAnsi="Calibri" w:cs="Calibri"/>
          <w:i/>
          <w:iCs/>
          <w:noProof/>
        </w:rPr>
        <w:t>a short guide</w:t>
      </w:r>
    </w:p>
    <w:p w14:paraId="72F6F7F5" w14:textId="1DE0384E" w:rsidR="00771E45" w:rsidRPr="00771E45" w:rsidRDefault="00771E45" w:rsidP="006F57C7">
      <w:pPr>
        <w:spacing w:after="120" w:line="240" w:lineRule="auto"/>
        <w:jc w:val="both"/>
        <w:rPr>
          <w:rFonts w:ascii="Calibri" w:hAnsi="Calibri" w:cs="Calibri"/>
          <w:noProof/>
        </w:rPr>
      </w:pPr>
      <w:r w:rsidRPr="00473E73">
        <w:rPr>
          <w:rFonts w:ascii="Calibri" w:hAnsi="Calibri" w:cs="Calibri"/>
          <w:noProof/>
        </w:rPr>
        <w:t>World Health Organization</w:t>
      </w:r>
      <w:r>
        <w:rPr>
          <w:rFonts w:ascii="Calibri" w:hAnsi="Calibri" w:cs="Calibri"/>
          <w:noProof/>
        </w:rPr>
        <w:t xml:space="preserve">. </w:t>
      </w:r>
      <w:r w:rsidRPr="00771E45">
        <w:rPr>
          <w:rFonts w:ascii="Calibri" w:hAnsi="Calibri" w:cs="Calibri"/>
          <w:i/>
          <w:iCs/>
          <w:noProof/>
        </w:rPr>
        <w:t>Primary health care</w:t>
      </w:r>
      <w:r>
        <w:rPr>
          <w:rFonts w:ascii="Calibri" w:hAnsi="Calibri" w:cs="Calibri"/>
          <w:i/>
          <w:iCs/>
          <w:noProof/>
        </w:rPr>
        <w:t xml:space="preserve">, </w:t>
      </w:r>
      <w:r w:rsidRPr="00771E45">
        <w:rPr>
          <w:rFonts w:ascii="Calibri" w:hAnsi="Calibri" w:cs="Calibri"/>
          <w:noProof/>
        </w:rPr>
        <w:t xml:space="preserve">disponibil la </w:t>
      </w:r>
      <w:hyperlink r:id="rId16" w:history="1">
        <w:r w:rsidRPr="00265136">
          <w:rPr>
            <w:rStyle w:val="Hyperlink"/>
            <w:rFonts w:ascii="Calibri" w:hAnsi="Calibri" w:cs="Calibri"/>
            <w:noProof/>
          </w:rPr>
          <w:t>https://www.who.int/health-topics/primary-health-care#tab=tab_1</w:t>
        </w:r>
      </w:hyperlink>
      <w:r>
        <w:rPr>
          <w:rFonts w:ascii="Calibri" w:hAnsi="Calibri" w:cs="Calibri"/>
          <w:noProof/>
        </w:rPr>
        <w:t>, accesat la 26 octombrie 2021</w:t>
      </w:r>
    </w:p>
    <w:p w14:paraId="6EF55CDF" w14:textId="77777777" w:rsidR="00EB0384" w:rsidRPr="00F12AFC" w:rsidRDefault="00EB0384" w:rsidP="004D42A7">
      <w:pPr>
        <w:spacing w:after="120" w:line="240" w:lineRule="auto"/>
        <w:jc w:val="both"/>
        <w:rPr>
          <w:rFonts w:ascii="Calibri" w:hAnsi="Calibri" w:cs="Calibri"/>
          <w:noProof/>
        </w:rPr>
      </w:pPr>
    </w:p>
    <w:p w14:paraId="11AA75F7" w14:textId="77777777" w:rsidR="007E475E" w:rsidRDefault="007E475E" w:rsidP="004D42A7">
      <w:pPr>
        <w:spacing w:after="120" w:line="240" w:lineRule="auto"/>
        <w:jc w:val="both"/>
        <w:rPr>
          <w:rFonts w:ascii="Calibri" w:hAnsi="Calibri" w:cs="Calibri"/>
          <w:b/>
          <w:bCs/>
          <w:noProof/>
        </w:rPr>
      </w:pPr>
    </w:p>
    <w:p w14:paraId="63374FBB" w14:textId="77777777" w:rsidR="001567E6" w:rsidRPr="001567E6" w:rsidRDefault="001567E6" w:rsidP="004D42A7">
      <w:pPr>
        <w:spacing w:after="120" w:line="240" w:lineRule="auto"/>
        <w:jc w:val="both"/>
        <w:rPr>
          <w:rFonts w:ascii="Calibri" w:hAnsi="Calibri" w:cs="Calibri"/>
          <w:b/>
          <w:bCs/>
          <w:noProof/>
        </w:rPr>
      </w:pPr>
    </w:p>
    <w:p w14:paraId="6EDA6729" w14:textId="77777777" w:rsidR="00936E0F" w:rsidRDefault="00936E0F" w:rsidP="004D42A7">
      <w:pPr>
        <w:spacing w:after="120" w:line="240" w:lineRule="auto"/>
        <w:jc w:val="both"/>
        <w:rPr>
          <w:rFonts w:ascii="Calibri" w:hAnsi="Calibri" w:cs="Calibri"/>
          <w:noProof/>
        </w:rPr>
      </w:pPr>
    </w:p>
    <w:bookmarkEnd w:id="1"/>
    <w:sectPr w:rsidR="00936E0F" w:rsidSect="000B6683">
      <w:headerReference w:type="default" r:id="rId17"/>
      <w:footerReference w:type="default" r:id="rId18"/>
      <w:pgSz w:w="11906" w:h="16838" w:code="9"/>
      <w:pgMar w:top="1440" w:right="107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5B99" w14:textId="77777777" w:rsidR="00D739B2" w:rsidRDefault="00D739B2" w:rsidP="00FA5401">
      <w:pPr>
        <w:spacing w:after="0" w:line="240" w:lineRule="auto"/>
      </w:pPr>
      <w:r>
        <w:separator/>
      </w:r>
    </w:p>
  </w:endnote>
  <w:endnote w:type="continuationSeparator" w:id="0">
    <w:p w14:paraId="21C546DB" w14:textId="77777777" w:rsidR="00D739B2" w:rsidRDefault="00D739B2" w:rsidP="00FA5401">
      <w:pPr>
        <w:spacing w:after="0" w:line="240" w:lineRule="auto"/>
      </w:pPr>
      <w:r>
        <w:continuationSeparator/>
      </w:r>
    </w:p>
  </w:endnote>
  <w:endnote w:type="continuationNotice" w:id="1">
    <w:p w14:paraId="22120D79" w14:textId="77777777" w:rsidR="00D739B2" w:rsidRDefault="00D73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SansRegular">
    <w:altName w:val="Calibri"/>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33C6" w14:textId="586C2E08" w:rsidR="00B25AAF" w:rsidRPr="009F750F" w:rsidRDefault="00B25AAF" w:rsidP="00D36FE1">
    <w:pPr>
      <w:pBdr>
        <w:top w:val="single" w:sz="4" w:space="1" w:color="auto"/>
      </w:pBdr>
      <w:tabs>
        <w:tab w:val="left" w:pos="1843"/>
      </w:tabs>
      <w:ind w:right="-180"/>
      <w:jc w:val="both"/>
      <w:rPr>
        <w:color w:val="31849B"/>
        <w:sz w:val="16"/>
        <w:szCs w:val="16"/>
      </w:rPr>
    </w:pPr>
    <w:r w:rsidRPr="003847C8">
      <w:rPr>
        <w:rStyle w:val="Strong"/>
        <w:rFonts w:cs="Calibri"/>
        <w:b w:val="0"/>
        <w:i/>
        <w:color w:val="3CA1BC"/>
        <w:sz w:val="16"/>
      </w:rPr>
      <w:t>„Implementarea Planului de Evaluare a Programului Operațional Capital Uman 2014-2020 -</w:t>
    </w:r>
    <w:r w:rsidR="008C3B34" w:rsidRPr="008C3B34">
      <w:t xml:space="preserve"> </w:t>
    </w:r>
    <w:r w:rsidR="008C3B34" w:rsidRPr="008C3B34">
      <w:rPr>
        <w:rStyle w:val="Strong"/>
        <w:rFonts w:cs="Calibri"/>
        <w:b w:val="0"/>
        <w:i/>
        <w:color w:val="3CA1BC"/>
        <w:sz w:val="16"/>
      </w:rPr>
      <w:t>Primul exercițiu de evaluare a Programului Operațional Capital Uman 2014-2020 ”, Contract nr. 36273 / 05.05.2020</w:t>
    </w:r>
    <w:r w:rsidR="008C3B34" w:rsidRPr="008C3B34">
      <w:rPr>
        <w:rStyle w:val="Strong"/>
        <w:rFonts w:cs="Calibri"/>
        <w:b w:val="0"/>
        <w:i/>
        <w:color w:val="3CA1BC"/>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rStyle w:val="Strong"/>
        <w:rFonts w:cs="Calibri"/>
        <w:b w:val="0"/>
        <w:i/>
        <w:color w:val="4F81BD"/>
        <w:sz w:val="16"/>
      </w:rPr>
      <w:tab/>
    </w:r>
    <w:r w:rsidRPr="009F750F">
      <w:rPr>
        <w:sz w:val="16"/>
        <w:szCs w:val="16"/>
      </w:rPr>
      <w:fldChar w:fldCharType="begin"/>
    </w:r>
    <w:r w:rsidRPr="009F750F">
      <w:rPr>
        <w:sz w:val="16"/>
        <w:szCs w:val="16"/>
      </w:rPr>
      <w:instrText xml:space="preserve"> PAGE   \* MERGEFORMAT </w:instrText>
    </w:r>
    <w:r w:rsidRPr="009F750F">
      <w:rPr>
        <w:sz w:val="16"/>
        <w:szCs w:val="16"/>
      </w:rPr>
      <w:fldChar w:fldCharType="separate"/>
    </w:r>
    <w:r>
      <w:rPr>
        <w:noProof/>
        <w:sz w:val="16"/>
        <w:szCs w:val="16"/>
      </w:rPr>
      <w:t>24</w:t>
    </w:r>
    <w:r w:rsidRPr="009F750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3DA9" w14:textId="77777777" w:rsidR="00D739B2" w:rsidRDefault="00D739B2" w:rsidP="00FA5401">
      <w:pPr>
        <w:spacing w:after="0" w:line="240" w:lineRule="auto"/>
      </w:pPr>
      <w:bookmarkStart w:id="0" w:name="_Hlk59011357"/>
      <w:bookmarkEnd w:id="0"/>
      <w:r>
        <w:separator/>
      </w:r>
    </w:p>
  </w:footnote>
  <w:footnote w:type="continuationSeparator" w:id="0">
    <w:p w14:paraId="689FC0AE" w14:textId="77777777" w:rsidR="00D739B2" w:rsidRDefault="00D739B2" w:rsidP="00FA5401">
      <w:pPr>
        <w:spacing w:after="0" w:line="240" w:lineRule="auto"/>
      </w:pPr>
      <w:r>
        <w:continuationSeparator/>
      </w:r>
    </w:p>
  </w:footnote>
  <w:footnote w:type="continuationNotice" w:id="1">
    <w:p w14:paraId="1896BA7B" w14:textId="77777777" w:rsidR="00D739B2" w:rsidRDefault="00D739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0565" w14:textId="77777777" w:rsidR="00B25AAF" w:rsidRPr="006923CA" w:rsidRDefault="00B25AAF" w:rsidP="00F330B7">
    <w:pPr>
      <w:pStyle w:val="Header"/>
      <w:rPr>
        <w:lang w:val="en-GB"/>
      </w:rPr>
    </w:pPr>
    <w:r>
      <w:rPr>
        <w:noProof/>
        <w:lang w:val="en-US"/>
      </w:rPr>
      <w:drawing>
        <wp:inline distT="0" distB="0" distL="0" distR="0" wp14:anchorId="7682D7DE" wp14:editId="14A05A4F">
          <wp:extent cx="800100" cy="6705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66B54983" wp14:editId="53D20500">
          <wp:extent cx="670560" cy="640080"/>
          <wp:effectExtent l="0" t="0" r="0" b="762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3B16A5BF" wp14:editId="6EE15492">
          <wp:extent cx="693420" cy="69342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70BAAA82" w14:textId="77777777" w:rsidR="00B25AAF" w:rsidRPr="009F750F" w:rsidRDefault="00B25AAF" w:rsidP="009F7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A9C"/>
    <w:multiLevelType w:val="hybridMultilevel"/>
    <w:tmpl w:val="4610423A"/>
    <w:lvl w:ilvl="0" w:tplc="3D844D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C22C5"/>
    <w:multiLevelType w:val="hybridMultilevel"/>
    <w:tmpl w:val="E2EE7428"/>
    <w:lvl w:ilvl="0" w:tplc="80A4925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D019F"/>
    <w:multiLevelType w:val="hybridMultilevel"/>
    <w:tmpl w:val="213C55B2"/>
    <w:lvl w:ilvl="0" w:tplc="5DD42A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52903"/>
    <w:multiLevelType w:val="multilevel"/>
    <w:tmpl w:val="FD787E1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782" w:hanging="357"/>
      </w:pPr>
      <w:rPr>
        <w:rFonts w:hint="default"/>
      </w:rPr>
    </w:lvl>
    <w:lvl w:ilvl="3">
      <w:start w:val="1"/>
      <w:numFmt w:val="decimal"/>
      <w:pStyle w:val="headingno4"/>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3834700C"/>
    <w:multiLevelType w:val="hybridMultilevel"/>
    <w:tmpl w:val="64161F38"/>
    <w:lvl w:ilvl="0" w:tplc="FD0A18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3350F"/>
    <w:multiLevelType w:val="hybridMultilevel"/>
    <w:tmpl w:val="D702E08A"/>
    <w:lvl w:ilvl="0" w:tplc="6A083C9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520EB"/>
    <w:multiLevelType w:val="hybridMultilevel"/>
    <w:tmpl w:val="9098AFF4"/>
    <w:lvl w:ilvl="0" w:tplc="04180005">
      <w:start w:val="1"/>
      <w:numFmt w:val="bullet"/>
      <w:lvlText w:val=""/>
      <w:lvlJc w:val="left"/>
      <w:pPr>
        <w:ind w:left="1211"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5579580D"/>
    <w:multiLevelType w:val="multilevel"/>
    <w:tmpl w:val="859E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DC1B09"/>
    <w:multiLevelType w:val="multilevel"/>
    <w:tmpl w:val="FD787E10"/>
    <w:numStyleLink w:val="Headings"/>
  </w:abstractNum>
  <w:abstractNum w:abstractNumId="9" w15:restartNumberingAfterBreak="0">
    <w:nsid w:val="5A250E4C"/>
    <w:multiLevelType w:val="hybridMultilevel"/>
    <w:tmpl w:val="402A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71EA5"/>
    <w:multiLevelType w:val="hybridMultilevel"/>
    <w:tmpl w:val="B1AEE96A"/>
    <w:styleLink w:val="WWOutlineListStyle5"/>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5B6EFF"/>
    <w:multiLevelType w:val="hybridMultilevel"/>
    <w:tmpl w:val="0F6CF1E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lvl w:ilvl="0">
        <w:start w:val="1"/>
        <w:numFmt w:val="upperLetter"/>
        <w:pStyle w:val="Heading1"/>
        <w:lvlText w:val="%1."/>
        <w:lvlJc w:val="left"/>
        <w:pPr>
          <w:ind w:left="357" w:hanging="357"/>
        </w:pPr>
        <w:rPr>
          <w:rFonts w:hint="default"/>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782" w:hanging="357"/>
        </w:pPr>
        <w:rPr>
          <w:rFonts w:hint="default"/>
        </w:rPr>
      </w:lvl>
    </w:lvlOverride>
    <w:lvlOverride w:ilvl="3">
      <w:lvl w:ilvl="3">
        <w:start w:val="1"/>
        <w:numFmt w:val="decimal"/>
        <w:pStyle w:val="headingno4"/>
        <w:lvlText w:val="%1.%2.%3.%4."/>
        <w:lvlJc w:val="left"/>
        <w:pPr>
          <w:ind w:left="1634"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abstractNumId w:val="10"/>
  </w:num>
  <w:num w:numId="4">
    <w:abstractNumId w:val="4"/>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6"/>
  </w:num>
  <w:num w:numId="12">
    <w:abstractNumId w:val="11"/>
  </w:num>
  <w:num w:numId="13">
    <w:abstractNumId w:val="0"/>
  </w:num>
  <w:num w:numId="14">
    <w:abstractNumId w:val="1"/>
  </w:num>
  <w:num w:numId="15">
    <w:abstractNumId w:val="5"/>
  </w:num>
  <w:num w:numId="16">
    <w:abstractNumId w:val="1"/>
  </w:num>
  <w:num w:numId="17">
    <w:abstractNumId w:val="9"/>
  </w:num>
  <w:num w:numId="18">
    <w:abstractNumId w:val="7"/>
  </w:num>
  <w:num w:numId="19">
    <w:abstractNumId w:val="2"/>
  </w:num>
  <w:num w:numId="20">
    <w:abstractNumId w:val="1"/>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WzsDAytTQxtDBT0lEKTi0uzszPAykwrgUAZA18ASwAAAA="/>
  </w:docVars>
  <w:rsids>
    <w:rsidRoot w:val="00F316D7"/>
    <w:rsid w:val="000033C4"/>
    <w:rsid w:val="00003E98"/>
    <w:rsid w:val="0000663E"/>
    <w:rsid w:val="00016D55"/>
    <w:rsid w:val="0002015C"/>
    <w:rsid w:val="0002092E"/>
    <w:rsid w:val="000217E1"/>
    <w:rsid w:val="000232CE"/>
    <w:rsid w:val="000261E3"/>
    <w:rsid w:val="0002750D"/>
    <w:rsid w:val="00035909"/>
    <w:rsid w:val="000400E6"/>
    <w:rsid w:val="00041444"/>
    <w:rsid w:val="00044E8A"/>
    <w:rsid w:val="00044F09"/>
    <w:rsid w:val="0004752F"/>
    <w:rsid w:val="000478E6"/>
    <w:rsid w:val="000524ED"/>
    <w:rsid w:val="00053C68"/>
    <w:rsid w:val="00063250"/>
    <w:rsid w:val="00064DC6"/>
    <w:rsid w:val="00064F4D"/>
    <w:rsid w:val="00070D91"/>
    <w:rsid w:val="0007384A"/>
    <w:rsid w:val="00080AF6"/>
    <w:rsid w:val="0008317F"/>
    <w:rsid w:val="00083D51"/>
    <w:rsid w:val="00090727"/>
    <w:rsid w:val="00090955"/>
    <w:rsid w:val="0009156B"/>
    <w:rsid w:val="00093F67"/>
    <w:rsid w:val="00094475"/>
    <w:rsid w:val="00094F23"/>
    <w:rsid w:val="00095A87"/>
    <w:rsid w:val="00097CCA"/>
    <w:rsid w:val="000A1294"/>
    <w:rsid w:val="000A1E00"/>
    <w:rsid w:val="000A22A9"/>
    <w:rsid w:val="000A2FFE"/>
    <w:rsid w:val="000A341A"/>
    <w:rsid w:val="000B4BEF"/>
    <w:rsid w:val="000B5DEA"/>
    <w:rsid w:val="000B6683"/>
    <w:rsid w:val="000B6E5B"/>
    <w:rsid w:val="000C24D0"/>
    <w:rsid w:val="000C3CFD"/>
    <w:rsid w:val="000C435A"/>
    <w:rsid w:val="000C4A5A"/>
    <w:rsid w:val="000C557B"/>
    <w:rsid w:val="000D21BD"/>
    <w:rsid w:val="000D3D51"/>
    <w:rsid w:val="000D601F"/>
    <w:rsid w:val="000E2EB9"/>
    <w:rsid w:val="000E3321"/>
    <w:rsid w:val="000E3A80"/>
    <w:rsid w:val="000E4BA4"/>
    <w:rsid w:val="000E7EBE"/>
    <w:rsid w:val="000F2347"/>
    <w:rsid w:val="000F32B4"/>
    <w:rsid w:val="000F3AA0"/>
    <w:rsid w:val="000F57D4"/>
    <w:rsid w:val="0010030D"/>
    <w:rsid w:val="00100597"/>
    <w:rsid w:val="00100833"/>
    <w:rsid w:val="00100D61"/>
    <w:rsid w:val="0010290A"/>
    <w:rsid w:val="00102C2A"/>
    <w:rsid w:val="00104EEA"/>
    <w:rsid w:val="00112549"/>
    <w:rsid w:val="00116126"/>
    <w:rsid w:val="00116B81"/>
    <w:rsid w:val="00117097"/>
    <w:rsid w:val="001202B3"/>
    <w:rsid w:val="001228D7"/>
    <w:rsid w:val="0012428B"/>
    <w:rsid w:val="00125237"/>
    <w:rsid w:val="00126416"/>
    <w:rsid w:val="001273E3"/>
    <w:rsid w:val="001332D2"/>
    <w:rsid w:val="00135817"/>
    <w:rsid w:val="00136F11"/>
    <w:rsid w:val="00137C9C"/>
    <w:rsid w:val="00141BFB"/>
    <w:rsid w:val="001424AD"/>
    <w:rsid w:val="0014393F"/>
    <w:rsid w:val="0014642B"/>
    <w:rsid w:val="001567E6"/>
    <w:rsid w:val="00157559"/>
    <w:rsid w:val="00162A7C"/>
    <w:rsid w:val="00162DE3"/>
    <w:rsid w:val="001661BB"/>
    <w:rsid w:val="00173047"/>
    <w:rsid w:val="00174A11"/>
    <w:rsid w:val="00176D2A"/>
    <w:rsid w:val="001809BC"/>
    <w:rsid w:val="001836BD"/>
    <w:rsid w:val="00186E6C"/>
    <w:rsid w:val="00187985"/>
    <w:rsid w:val="00192787"/>
    <w:rsid w:val="0019376B"/>
    <w:rsid w:val="00193C4C"/>
    <w:rsid w:val="001A132C"/>
    <w:rsid w:val="001A6442"/>
    <w:rsid w:val="001A6557"/>
    <w:rsid w:val="001A7E38"/>
    <w:rsid w:val="001B151D"/>
    <w:rsid w:val="001B72D7"/>
    <w:rsid w:val="001C1A29"/>
    <w:rsid w:val="001C305E"/>
    <w:rsid w:val="001C4B4F"/>
    <w:rsid w:val="001C5E02"/>
    <w:rsid w:val="001C75F9"/>
    <w:rsid w:val="001D1733"/>
    <w:rsid w:val="001D385D"/>
    <w:rsid w:val="001D4652"/>
    <w:rsid w:val="001D5356"/>
    <w:rsid w:val="001D5CE2"/>
    <w:rsid w:val="001E6108"/>
    <w:rsid w:val="001E66D1"/>
    <w:rsid w:val="001F056F"/>
    <w:rsid w:val="001F250B"/>
    <w:rsid w:val="001F5901"/>
    <w:rsid w:val="00206396"/>
    <w:rsid w:val="00210B60"/>
    <w:rsid w:val="00210F6F"/>
    <w:rsid w:val="00212746"/>
    <w:rsid w:val="00220C04"/>
    <w:rsid w:val="00224FCA"/>
    <w:rsid w:val="00225763"/>
    <w:rsid w:val="00226216"/>
    <w:rsid w:val="0023485C"/>
    <w:rsid w:val="002370D6"/>
    <w:rsid w:val="002400E2"/>
    <w:rsid w:val="00240A3F"/>
    <w:rsid w:val="00240DAE"/>
    <w:rsid w:val="002411A1"/>
    <w:rsid w:val="00241F7E"/>
    <w:rsid w:val="00243544"/>
    <w:rsid w:val="00245E2A"/>
    <w:rsid w:val="00250059"/>
    <w:rsid w:val="0025042F"/>
    <w:rsid w:val="00253D9D"/>
    <w:rsid w:val="00254346"/>
    <w:rsid w:val="0027002A"/>
    <w:rsid w:val="00270462"/>
    <w:rsid w:val="00274BF6"/>
    <w:rsid w:val="00275C43"/>
    <w:rsid w:val="00277855"/>
    <w:rsid w:val="00281804"/>
    <w:rsid w:val="0028574E"/>
    <w:rsid w:val="00287C6A"/>
    <w:rsid w:val="002910C3"/>
    <w:rsid w:val="00291B67"/>
    <w:rsid w:val="0029509D"/>
    <w:rsid w:val="002957C3"/>
    <w:rsid w:val="002965E0"/>
    <w:rsid w:val="002A2C7A"/>
    <w:rsid w:val="002A5969"/>
    <w:rsid w:val="002A7B6F"/>
    <w:rsid w:val="002B328A"/>
    <w:rsid w:val="002B3876"/>
    <w:rsid w:val="002C2E5E"/>
    <w:rsid w:val="002C3EE7"/>
    <w:rsid w:val="002C4A61"/>
    <w:rsid w:val="002C652B"/>
    <w:rsid w:val="002C68AB"/>
    <w:rsid w:val="002C7F36"/>
    <w:rsid w:val="002D196E"/>
    <w:rsid w:val="002D6085"/>
    <w:rsid w:val="002D63BB"/>
    <w:rsid w:val="002E1AD7"/>
    <w:rsid w:val="002E30C8"/>
    <w:rsid w:val="002E4763"/>
    <w:rsid w:val="002E7D5A"/>
    <w:rsid w:val="002F4E55"/>
    <w:rsid w:val="002F5CC9"/>
    <w:rsid w:val="002F6335"/>
    <w:rsid w:val="00301DF4"/>
    <w:rsid w:val="00302685"/>
    <w:rsid w:val="00305077"/>
    <w:rsid w:val="0030644B"/>
    <w:rsid w:val="00306509"/>
    <w:rsid w:val="003101DE"/>
    <w:rsid w:val="0031091D"/>
    <w:rsid w:val="00311AC3"/>
    <w:rsid w:val="00312F10"/>
    <w:rsid w:val="00313CC4"/>
    <w:rsid w:val="003222B6"/>
    <w:rsid w:val="003241D8"/>
    <w:rsid w:val="003348C4"/>
    <w:rsid w:val="00335F89"/>
    <w:rsid w:val="00337556"/>
    <w:rsid w:val="0034007D"/>
    <w:rsid w:val="003421C9"/>
    <w:rsid w:val="00344895"/>
    <w:rsid w:val="003468DC"/>
    <w:rsid w:val="0035076D"/>
    <w:rsid w:val="00351E7D"/>
    <w:rsid w:val="0035238E"/>
    <w:rsid w:val="00354FF6"/>
    <w:rsid w:val="0035532A"/>
    <w:rsid w:val="00366E43"/>
    <w:rsid w:val="003724EB"/>
    <w:rsid w:val="00377DEA"/>
    <w:rsid w:val="00380660"/>
    <w:rsid w:val="003847C8"/>
    <w:rsid w:val="003860CF"/>
    <w:rsid w:val="00386869"/>
    <w:rsid w:val="003877F4"/>
    <w:rsid w:val="00394DBB"/>
    <w:rsid w:val="003A042A"/>
    <w:rsid w:val="003A342B"/>
    <w:rsid w:val="003A4EBD"/>
    <w:rsid w:val="003A5C5A"/>
    <w:rsid w:val="003A79BF"/>
    <w:rsid w:val="003B2060"/>
    <w:rsid w:val="003B6618"/>
    <w:rsid w:val="003C11FA"/>
    <w:rsid w:val="003C3019"/>
    <w:rsid w:val="003C3968"/>
    <w:rsid w:val="003C4B02"/>
    <w:rsid w:val="003C4EA1"/>
    <w:rsid w:val="003C57A3"/>
    <w:rsid w:val="003E0E72"/>
    <w:rsid w:val="003E2EA8"/>
    <w:rsid w:val="003E62CF"/>
    <w:rsid w:val="003F1937"/>
    <w:rsid w:val="003F2E59"/>
    <w:rsid w:val="004029FC"/>
    <w:rsid w:val="004041E7"/>
    <w:rsid w:val="00407836"/>
    <w:rsid w:val="00407E0F"/>
    <w:rsid w:val="0041048B"/>
    <w:rsid w:val="00410B8A"/>
    <w:rsid w:val="00412F02"/>
    <w:rsid w:val="004131A1"/>
    <w:rsid w:val="004157B0"/>
    <w:rsid w:val="00415BEA"/>
    <w:rsid w:val="00416713"/>
    <w:rsid w:val="00420551"/>
    <w:rsid w:val="00423347"/>
    <w:rsid w:val="00423509"/>
    <w:rsid w:val="004238C4"/>
    <w:rsid w:val="00423B26"/>
    <w:rsid w:val="0042625B"/>
    <w:rsid w:val="00432F2B"/>
    <w:rsid w:val="00433726"/>
    <w:rsid w:val="00437C7B"/>
    <w:rsid w:val="00442168"/>
    <w:rsid w:val="00442277"/>
    <w:rsid w:val="004424A6"/>
    <w:rsid w:val="00442E9F"/>
    <w:rsid w:val="004462A6"/>
    <w:rsid w:val="004467E6"/>
    <w:rsid w:val="00446C7A"/>
    <w:rsid w:val="00450108"/>
    <w:rsid w:val="004517B0"/>
    <w:rsid w:val="00455F9C"/>
    <w:rsid w:val="00456434"/>
    <w:rsid w:val="004662CC"/>
    <w:rsid w:val="00466F26"/>
    <w:rsid w:val="00466F61"/>
    <w:rsid w:val="0047030C"/>
    <w:rsid w:val="00470C40"/>
    <w:rsid w:val="00473E73"/>
    <w:rsid w:val="00474623"/>
    <w:rsid w:val="00474EDC"/>
    <w:rsid w:val="0047604E"/>
    <w:rsid w:val="004777A5"/>
    <w:rsid w:val="0048217E"/>
    <w:rsid w:val="004822DB"/>
    <w:rsid w:val="00484820"/>
    <w:rsid w:val="00486DDA"/>
    <w:rsid w:val="00490903"/>
    <w:rsid w:val="00492368"/>
    <w:rsid w:val="00494BD2"/>
    <w:rsid w:val="004975F2"/>
    <w:rsid w:val="004A4620"/>
    <w:rsid w:val="004B255B"/>
    <w:rsid w:val="004B2C10"/>
    <w:rsid w:val="004C45AB"/>
    <w:rsid w:val="004C53B5"/>
    <w:rsid w:val="004D0C12"/>
    <w:rsid w:val="004D0D65"/>
    <w:rsid w:val="004D2197"/>
    <w:rsid w:val="004D4268"/>
    <w:rsid w:val="004D42A7"/>
    <w:rsid w:val="004D4FFE"/>
    <w:rsid w:val="004D5A74"/>
    <w:rsid w:val="004D6B1C"/>
    <w:rsid w:val="004D72AE"/>
    <w:rsid w:val="004D76C2"/>
    <w:rsid w:val="004E3BFF"/>
    <w:rsid w:val="004E48C3"/>
    <w:rsid w:val="004E4B70"/>
    <w:rsid w:val="004E51B8"/>
    <w:rsid w:val="004F2C80"/>
    <w:rsid w:val="004F7980"/>
    <w:rsid w:val="005017E4"/>
    <w:rsid w:val="005074D5"/>
    <w:rsid w:val="00507984"/>
    <w:rsid w:val="00511815"/>
    <w:rsid w:val="005125D6"/>
    <w:rsid w:val="00513D68"/>
    <w:rsid w:val="00515C53"/>
    <w:rsid w:val="00527342"/>
    <w:rsid w:val="00530568"/>
    <w:rsid w:val="00530E4F"/>
    <w:rsid w:val="00532FBA"/>
    <w:rsid w:val="00534887"/>
    <w:rsid w:val="005348B2"/>
    <w:rsid w:val="005356A7"/>
    <w:rsid w:val="00540B29"/>
    <w:rsid w:val="00540D69"/>
    <w:rsid w:val="005414A8"/>
    <w:rsid w:val="00547028"/>
    <w:rsid w:val="0054762E"/>
    <w:rsid w:val="0055112B"/>
    <w:rsid w:val="005550E6"/>
    <w:rsid w:val="0055590E"/>
    <w:rsid w:val="00556C36"/>
    <w:rsid w:val="00561EF6"/>
    <w:rsid w:val="005622D8"/>
    <w:rsid w:val="0056354F"/>
    <w:rsid w:val="00574F10"/>
    <w:rsid w:val="00576644"/>
    <w:rsid w:val="00577BE9"/>
    <w:rsid w:val="00582A28"/>
    <w:rsid w:val="005847E7"/>
    <w:rsid w:val="005848FA"/>
    <w:rsid w:val="00587472"/>
    <w:rsid w:val="0059041F"/>
    <w:rsid w:val="00596064"/>
    <w:rsid w:val="0059766B"/>
    <w:rsid w:val="005A183D"/>
    <w:rsid w:val="005A42B0"/>
    <w:rsid w:val="005A75BE"/>
    <w:rsid w:val="005B1823"/>
    <w:rsid w:val="005B254A"/>
    <w:rsid w:val="005B3C59"/>
    <w:rsid w:val="005B3DE9"/>
    <w:rsid w:val="005B45BB"/>
    <w:rsid w:val="005B65FB"/>
    <w:rsid w:val="005C0F94"/>
    <w:rsid w:val="005C1BC5"/>
    <w:rsid w:val="005C64F2"/>
    <w:rsid w:val="005C692E"/>
    <w:rsid w:val="005D5188"/>
    <w:rsid w:val="005E2B0D"/>
    <w:rsid w:val="005E32AD"/>
    <w:rsid w:val="005E3904"/>
    <w:rsid w:val="005E60AC"/>
    <w:rsid w:val="005E721D"/>
    <w:rsid w:val="005F2217"/>
    <w:rsid w:val="005F2BA1"/>
    <w:rsid w:val="005F3F3B"/>
    <w:rsid w:val="005F4826"/>
    <w:rsid w:val="005F4890"/>
    <w:rsid w:val="005F61D8"/>
    <w:rsid w:val="005F62ED"/>
    <w:rsid w:val="006019DC"/>
    <w:rsid w:val="006073A8"/>
    <w:rsid w:val="00612211"/>
    <w:rsid w:val="00613FE9"/>
    <w:rsid w:val="0061530C"/>
    <w:rsid w:val="00633A55"/>
    <w:rsid w:val="0063489C"/>
    <w:rsid w:val="00640199"/>
    <w:rsid w:val="00640B00"/>
    <w:rsid w:val="00641199"/>
    <w:rsid w:val="00642EA8"/>
    <w:rsid w:val="006455C9"/>
    <w:rsid w:val="00647ABA"/>
    <w:rsid w:val="00647F28"/>
    <w:rsid w:val="006507AC"/>
    <w:rsid w:val="006534DC"/>
    <w:rsid w:val="00657CCA"/>
    <w:rsid w:val="006603B4"/>
    <w:rsid w:val="0066535A"/>
    <w:rsid w:val="006678CE"/>
    <w:rsid w:val="00677EE7"/>
    <w:rsid w:val="00684EEB"/>
    <w:rsid w:val="00685511"/>
    <w:rsid w:val="00685E9E"/>
    <w:rsid w:val="00693D2C"/>
    <w:rsid w:val="00695B69"/>
    <w:rsid w:val="00696100"/>
    <w:rsid w:val="006A1EAE"/>
    <w:rsid w:val="006A23B1"/>
    <w:rsid w:val="006A265D"/>
    <w:rsid w:val="006A2C92"/>
    <w:rsid w:val="006A3BAF"/>
    <w:rsid w:val="006A664C"/>
    <w:rsid w:val="006B3262"/>
    <w:rsid w:val="006B3D0F"/>
    <w:rsid w:val="006C1C79"/>
    <w:rsid w:val="006C1C8E"/>
    <w:rsid w:val="006D2834"/>
    <w:rsid w:val="006D3048"/>
    <w:rsid w:val="006D4DF3"/>
    <w:rsid w:val="006D4EDB"/>
    <w:rsid w:val="006D74F9"/>
    <w:rsid w:val="006E2C71"/>
    <w:rsid w:val="006F2680"/>
    <w:rsid w:val="006F2E21"/>
    <w:rsid w:val="006F51C9"/>
    <w:rsid w:val="006F57C7"/>
    <w:rsid w:val="006F71C3"/>
    <w:rsid w:val="00703C04"/>
    <w:rsid w:val="00704250"/>
    <w:rsid w:val="0070672E"/>
    <w:rsid w:val="00711849"/>
    <w:rsid w:val="00716466"/>
    <w:rsid w:val="0072022E"/>
    <w:rsid w:val="00723BBF"/>
    <w:rsid w:val="0072423A"/>
    <w:rsid w:val="00725C0D"/>
    <w:rsid w:val="00727296"/>
    <w:rsid w:val="0073076A"/>
    <w:rsid w:val="00737D54"/>
    <w:rsid w:val="0074159A"/>
    <w:rsid w:val="00742334"/>
    <w:rsid w:val="00745842"/>
    <w:rsid w:val="0074678C"/>
    <w:rsid w:val="0075431A"/>
    <w:rsid w:val="00754E33"/>
    <w:rsid w:val="007634E4"/>
    <w:rsid w:val="00763CAC"/>
    <w:rsid w:val="00764E7D"/>
    <w:rsid w:val="0076745E"/>
    <w:rsid w:val="00771A68"/>
    <w:rsid w:val="00771E45"/>
    <w:rsid w:val="007746EC"/>
    <w:rsid w:val="00774B43"/>
    <w:rsid w:val="007774FC"/>
    <w:rsid w:val="00777F4F"/>
    <w:rsid w:val="00782F2D"/>
    <w:rsid w:val="007864B8"/>
    <w:rsid w:val="00790166"/>
    <w:rsid w:val="0079105D"/>
    <w:rsid w:val="00791490"/>
    <w:rsid w:val="00794069"/>
    <w:rsid w:val="007946F6"/>
    <w:rsid w:val="007A4671"/>
    <w:rsid w:val="007A472A"/>
    <w:rsid w:val="007A503D"/>
    <w:rsid w:val="007B2393"/>
    <w:rsid w:val="007C259E"/>
    <w:rsid w:val="007C34D2"/>
    <w:rsid w:val="007C4727"/>
    <w:rsid w:val="007D1993"/>
    <w:rsid w:val="007D383B"/>
    <w:rsid w:val="007D4C21"/>
    <w:rsid w:val="007D7EE9"/>
    <w:rsid w:val="007E2208"/>
    <w:rsid w:val="007E475E"/>
    <w:rsid w:val="007E4D66"/>
    <w:rsid w:val="007E672F"/>
    <w:rsid w:val="007F05D4"/>
    <w:rsid w:val="007F1DFE"/>
    <w:rsid w:val="007F5058"/>
    <w:rsid w:val="007F51CA"/>
    <w:rsid w:val="007F715D"/>
    <w:rsid w:val="008005B1"/>
    <w:rsid w:val="00804DA4"/>
    <w:rsid w:val="0080788E"/>
    <w:rsid w:val="00807B5B"/>
    <w:rsid w:val="00807D70"/>
    <w:rsid w:val="00811165"/>
    <w:rsid w:val="0081681D"/>
    <w:rsid w:val="00822AE8"/>
    <w:rsid w:val="008233A7"/>
    <w:rsid w:val="008236E9"/>
    <w:rsid w:val="00826CED"/>
    <w:rsid w:val="0083027B"/>
    <w:rsid w:val="00830433"/>
    <w:rsid w:val="00831573"/>
    <w:rsid w:val="00835056"/>
    <w:rsid w:val="00836C69"/>
    <w:rsid w:val="0083793D"/>
    <w:rsid w:val="00837FC6"/>
    <w:rsid w:val="0084134C"/>
    <w:rsid w:val="0084159D"/>
    <w:rsid w:val="008416BF"/>
    <w:rsid w:val="0084339A"/>
    <w:rsid w:val="00846B8E"/>
    <w:rsid w:val="008502ED"/>
    <w:rsid w:val="00851549"/>
    <w:rsid w:val="008534C5"/>
    <w:rsid w:val="00856636"/>
    <w:rsid w:val="00857E91"/>
    <w:rsid w:val="00866AC8"/>
    <w:rsid w:val="00871185"/>
    <w:rsid w:val="0087430B"/>
    <w:rsid w:val="00875389"/>
    <w:rsid w:val="00876D73"/>
    <w:rsid w:val="008810B9"/>
    <w:rsid w:val="00881951"/>
    <w:rsid w:val="008843F0"/>
    <w:rsid w:val="00890151"/>
    <w:rsid w:val="00897579"/>
    <w:rsid w:val="00897CA0"/>
    <w:rsid w:val="008A2009"/>
    <w:rsid w:val="008A32DA"/>
    <w:rsid w:val="008A60F4"/>
    <w:rsid w:val="008B2433"/>
    <w:rsid w:val="008B4DB9"/>
    <w:rsid w:val="008B5DEC"/>
    <w:rsid w:val="008B7EB1"/>
    <w:rsid w:val="008C3B34"/>
    <w:rsid w:val="008C3C77"/>
    <w:rsid w:val="008C5504"/>
    <w:rsid w:val="008C5863"/>
    <w:rsid w:val="008E05EA"/>
    <w:rsid w:val="008E28F7"/>
    <w:rsid w:val="008E2956"/>
    <w:rsid w:val="008E4C79"/>
    <w:rsid w:val="008E5575"/>
    <w:rsid w:val="008E76FD"/>
    <w:rsid w:val="008F0162"/>
    <w:rsid w:val="008F1EA3"/>
    <w:rsid w:val="008F647D"/>
    <w:rsid w:val="008F6E0C"/>
    <w:rsid w:val="008F78AE"/>
    <w:rsid w:val="009023BA"/>
    <w:rsid w:val="00903A29"/>
    <w:rsid w:val="00904795"/>
    <w:rsid w:val="00906FB8"/>
    <w:rsid w:val="009116A6"/>
    <w:rsid w:val="00912373"/>
    <w:rsid w:val="00913E47"/>
    <w:rsid w:val="00915D91"/>
    <w:rsid w:val="009162C0"/>
    <w:rsid w:val="00917032"/>
    <w:rsid w:val="00917F75"/>
    <w:rsid w:val="00920602"/>
    <w:rsid w:val="00925681"/>
    <w:rsid w:val="0092603B"/>
    <w:rsid w:val="00931878"/>
    <w:rsid w:val="00936E0F"/>
    <w:rsid w:val="00937BD7"/>
    <w:rsid w:val="00940EA8"/>
    <w:rsid w:val="00945151"/>
    <w:rsid w:val="00947C9E"/>
    <w:rsid w:val="00952953"/>
    <w:rsid w:val="00953460"/>
    <w:rsid w:val="0095347D"/>
    <w:rsid w:val="00955511"/>
    <w:rsid w:val="00955B8E"/>
    <w:rsid w:val="009561DA"/>
    <w:rsid w:val="009563BC"/>
    <w:rsid w:val="0095731F"/>
    <w:rsid w:val="009605C4"/>
    <w:rsid w:val="009648F7"/>
    <w:rsid w:val="00964B75"/>
    <w:rsid w:val="00966D6C"/>
    <w:rsid w:val="0097287C"/>
    <w:rsid w:val="009730D6"/>
    <w:rsid w:val="0097341C"/>
    <w:rsid w:val="009768E9"/>
    <w:rsid w:val="00982754"/>
    <w:rsid w:val="00982B08"/>
    <w:rsid w:val="0098342D"/>
    <w:rsid w:val="00990BFF"/>
    <w:rsid w:val="009911F4"/>
    <w:rsid w:val="00991E05"/>
    <w:rsid w:val="009928EF"/>
    <w:rsid w:val="009956A0"/>
    <w:rsid w:val="0099600F"/>
    <w:rsid w:val="00996705"/>
    <w:rsid w:val="009975F4"/>
    <w:rsid w:val="00997E5D"/>
    <w:rsid w:val="009A3E0B"/>
    <w:rsid w:val="009A59DE"/>
    <w:rsid w:val="009A5D89"/>
    <w:rsid w:val="009B06B4"/>
    <w:rsid w:val="009B1D43"/>
    <w:rsid w:val="009B46DD"/>
    <w:rsid w:val="009B544B"/>
    <w:rsid w:val="009B6B34"/>
    <w:rsid w:val="009C0CFA"/>
    <w:rsid w:val="009C2953"/>
    <w:rsid w:val="009C396E"/>
    <w:rsid w:val="009C3B61"/>
    <w:rsid w:val="009C703D"/>
    <w:rsid w:val="009C72B8"/>
    <w:rsid w:val="009D01B0"/>
    <w:rsid w:val="009D0415"/>
    <w:rsid w:val="009E0BAE"/>
    <w:rsid w:val="009E3C41"/>
    <w:rsid w:val="009E4B45"/>
    <w:rsid w:val="009E638F"/>
    <w:rsid w:val="009E65C4"/>
    <w:rsid w:val="009E736B"/>
    <w:rsid w:val="009F0BA0"/>
    <w:rsid w:val="009F10E2"/>
    <w:rsid w:val="009F2782"/>
    <w:rsid w:val="009F750F"/>
    <w:rsid w:val="00A035B8"/>
    <w:rsid w:val="00A04051"/>
    <w:rsid w:val="00A115C7"/>
    <w:rsid w:val="00A12127"/>
    <w:rsid w:val="00A13850"/>
    <w:rsid w:val="00A149CB"/>
    <w:rsid w:val="00A174A3"/>
    <w:rsid w:val="00A21233"/>
    <w:rsid w:val="00A23BDD"/>
    <w:rsid w:val="00A24304"/>
    <w:rsid w:val="00A30010"/>
    <w:rsid w:val="00A3215B"/>
    <w:rsid w:val="00A329EF"/>
    <w:rsid w:val="00A357CF"/>
    <w:rsid w:val="00A375AD"/>
    <w:rsid w:val="00A51CFE"/>
    <w:rsid w:val="00A5278D"/>
    <w:rsid w:val="00A557FA"/>
    <w:rsid w:val="00A576CA"/>
    <w:rsid w:val="00A60D49"/>
    <w:rsid w:val="00A615BA"/>
    <w:rsid w:val="00A64926"/>
    <w:rsid w:val="00A6739D"/>
    <w:rsid w:val="00A73D12"/>
    <w:rsid w:val="00A74675"/>
    <w:rsid w:val="00A759E9"/>
    <w:rsid w:val="00A76B86"/>
    <w:rsid w:val="00A80E9B"/>
    <w:rsid w:val="00A81450"/>
    <w:rsid w:val="00A86B70"/>
    <w:rsid w:val="00A86F24"/>
    <w:rsid w:val="00A90CF7"/>
    <w:rsid w:val="00A90D6B"/>
    <w:rsid w:val="00A97375"/>
    <w:rsid w:val="00AA0311"/>
    <w:rsid w:val="00AA2F2C"/>
    <w:rsid w:val="00AA7A2E"/>
    <w:rsid w:val="00AB61EB"/>
    <w:rsid w:val="00AB641C"/>
    <w:rsid w:val="00AC2D94"/>
    <w:rsid w:val="00AC37ED"/>
    <w:rsid w:val="00AC47C7"/>
    <w:rsid w:val="00AC7A11"/>
    <w:rsid w:val="00AD2F9C"/>
    <w:rsid w:val="00AD4F34"/>
    <w:rsid w:val="00AD741D"/>
    <w:rsid w:val="00AE1EA2"/>
    <w:rsid w:val="00AE1F3B"/>
    <w:rsid w:val="00AE2DEC"/>
    <w:rsid w:val="00AE2E2A"/>
    <w:rsid w:val="00AE7BFD"/>
    <w:rsid w:val="00AF1522"/>
    <w:rsid w:val="00AF2F03"/>
    <w:rsid w:val="00AF38A8"/>
    <w:rsid w:val="00AF4EDF"/>
    <w:rsid w:val="00B00021"/>
    <w:rsid w:val="00B03AE9"/>
    <w:rsid w:val="00B043CA"/>
    <w:rsid w:val="00B04598"/>
    <w:rsid w:val="00B06353"/>
    <w:rsid w:val="00B1076C"/>
    <w:rsid w:val="00B20902"/>
    <w:rsid w:val="00B22AD1"/>
    <w:rsid w:val="00B24413"/>
    <w:rsid w:val="00B25AAF"/>
    <w:rsid w:val="00B2747F"/>
    <w:rsid w:val="00B332C5"/>
    <w:rsid w:val="00B35A04"/>
    <w:rsid w:val="00B42680"/>
    <w:rsid w:val="00B4627F"/>
    <w:rsid w:val="00B46B56"/>
    <w:rsid w:val="00B46C68"/>
    <w:rsid w:val="00B47ABB"/>
    <w:rsid w:val="00B518D8"/>
    <w:rsid w:val="00B52BCD"/>
    <w:rsid w:val="00B55B31"/>
    <w:rsid w:val="00B62DE7"/>
    <w:rsid w:val="00B648C4"/>
    <w:rsid w:val="00B656E5"/>
    <w:rsid w:val="00B65F76"/>
    <w:rsid w:val="00B712B9"/>
    <w:rsid w:val="00B714A2"/>
    <w:rsid w:val="00B72E52"/>
    <w:rsid w:val="00B750CC"/>
    <w:rsid w:val="00B75BD4"/>
    <w:rsid w:val="00B775BC"/>
    <w:rsid w:val="00B83BBE"/>
    <w:rsid w:val="00B8714C"/>
    <w:rsid w:val="00B90877"/>
    <w:rsid w:val="00B93AE4"/>
    <w:rsid w:val="00BA099E"/>
    <w:rsid w:val="00BA11EC"/>
    <w:rsid w:val="00BA65BE"/>
    <w:rsid w:val="00BA75C6"/>
    <w:rsid w:val="00BB0569"/>
    <w:rsid w:val="00BB16CC"/>
    <w:rsid w:val="00BB175D"/>
    <w:rsid w:val="00BB51E7"/>
    <w:rsid w:val="00BB6CE3"/>
    <w:rsid w:val="00BB730F"/>
    <w:rsid w:val="00BB7827"/>
    <w:rsid w:val="00BC0C2A"/>
    <w:rsid w:val="00BC373B"/>
    <w:rsid w:val="00BC4742"/>
    <w:rsid w:val="00BD0E3C"/>
    <w:rsid w:val="00BD3BA9"/>
    <w:rsid w:val="00BD402D"/>
    <w:rsid w:val="00BE4265"/>
    <w:rsid w:val="00BE5579"/>
    <w:rsid w:val="00BE5B65"/>
    <w:rsid w:val="00BF1101"/>
    <w:rsid w:val="00BF47C7"/>
    <w:rsid w:val="00C048EB"/>
    <w:rsid w:val="00C054CE"/>
    <w:rsid w:val="00C1043C"/>
    <w:rsid w:val="00C1106E"/>
    <w:rsid w:val="00C127EB"/>
    <w:rsid w:val="00C168DA"/>
    <w:rsid w:val="00C16E64"/>
    <w:rsid w:val="00C20294"/>
    <w:rsid w:val="00C210AF"/>
    <w:rsid w:val="00C23FAE"/>
    <w:rsid w:val="00C318F7"/>
    <w:rsid w:val="00C341C1"/>
    <w:rsid w:val="00C350B3"/>
    <w:rsid w:val="00C456FD"/>
    <w:rsid w:val="00C46BBC"/>
    <w:rsid w:val="00C47F07"/>
    <w:rsid w:val="00C5149D"/>
    <w:rsid w:val="00C5371C"/>
    <w:rsid w:val="00C53878"/>
    <w:rsid w:val="00C559AC"/>
    <w:rsid w:val="00C55C8E"/>
    <w:rsid w:val="00C57FE1"/>
    <w:rsid w:val="00C6165D"/>
    <w:rsid w:val="00C61E15"/>
    <w:rsid w:val="00C62958"/>
    <w:rsid w:val="00C63867"/>
    <w:rsid w:val="00C6522A"/>
    <w:rsid w:val="00C66B56"/>
    <w:rsid w:val="00C67D43"/>
    <w:rsid w:val="00C816E9"/>
    <w:rsid w:val="00C81E36"/>
    <w:rsid w:val="00C82028"/>
    <w:rsid w:val="00C85281"/>
    <w:rsid w:val="00C9127B"/>
    <w:rsid w:val="00C9176F"/>
    <w:rsid w:val="00C944AC"/>
    <w:rsid w:val="00C94DFA"/>
    <w:rsid w:val="00CA4226"/>
    <w:rsid w:val="00CA62A4"/>
    <w:rsid w:val="00CA63F2"/>
    <w:rsid w:val="00CB2ACE"/>
    <w:rsid w:val="00CB505C"/>
    <w:rsid w:val="00CB77E0"/>
    <w:rsid w:val="00CB786D"/>
    <w:rsid w:val="00CC3971"/>
    <w:rsid w:val="00CD01D0"/>
    <w:rsid w:val="00CD64A4"/>
    <w:rsid w:val="00CE20F9"/>
    <w:rsid w:val="00CE304D"/>
    <w:rsid w:val="00CE383F"/>
    <w:rsid w:val="00CE3B78"/>
    <w:rsid w:val="00CE5189"/>
    <w:rsid w:val="00CE67CE"/>
    <w:rsid w:val="00CE7067"/>
    <w:rsid w:val="00CF7046"/>
    <w:rsid w:val="00CF7C24"/>
    <w:rsid w:val="00D00DF7"/>
    <w:rsid w:val="00D04B06"/>
    <w:rsid w:val="00D05AA0"/>
    <w:rsid w:val="00D06DB6"/>
    <w:rsid w:val="00D1413B"/>
    <w:rsid w:val="00D21950"/>
    <w:rsid w:val="00D243F1"/>
    <w:rsid w:val="00D26D43"/>
    <w:rsid w:val="00D32FC7"/>
    <w:rsid w:val="00D33716"/>
    <w:rsid w:val="00D36607"/>
    <w:rsid w:val="00D36FE1"/>
    <w:rsid w:val="00D372FC"/>
    <w:rsid w:val="00D37773"/>
    <w:rsid w:val="00D41AA3"/>
    <w:rsid w:val="00D463A6"/>
    <w:rsid w:val="00D47DBA"/>
    <w:rsid w:val="00D503AD"/>
    <w:rsid w:val="00D510AA"/>
    <w:rsid w:val="00D5218B"/>
    <w:rsid w:val="00D52C9F"/>
    <w:rsid w:val="00D54CFA"/>
    <w:rsid w:val="00D54F9D"/>
    <w:rsid w:val="00D600BD"/>
    <w:rsid w:val="00D60A60"/>
    <w:rsid w:val="00D61516"/>
    <w:rsid w:val="00D618B7"/>
    <w:rsid w:val="00D635ED"/>
    <w:rsid w:val="00D64551"/>
    <w:rsid w:val="00D70BD9"/>
    <w:rsid w:val="00D7316C"/>
    <w:rsid w:val="00D739B2"/>
    <w:rsid w:val="00D75965"/>
    <w:rsid w:val="00D764FC"/>
    <w:rsid w:val="00D76D8E"/>
    <w:rsid w:val="00D8029D"/>
    <w:rsid w:val="00D81F54"/>
    <w:rsid w:val="00D83272"/>
    <w:rsid w:val="00D8757D"/>
    <w:rsid w:val="00D93221"/>
    <w:rsid w:val="00D952DA"/>
    <w:rsid w:val="00D96562"/>
    <w:rsid w:val="00D97403"/>
    <w:rsid w:val="00DA2904"/>
    <w:rsid w:val="00DA3DAF"/>
    <w:rsid w:val="00DB0B6B"/>
    <w:rsid w:val="00DB3B32"/>
    <w:rsid w:val="00DB3BB5"/>
    <w:rsid w:val="00DB4D5E"/>
    <w:rsid w:val="00DB7283"/>
    <w:rsid w:val="00DC2464"/>
    <w:rsid w:val="00DC56E6"/>
    <w:rsid w:val="00DC5FE2"/>
    <w:rsid w:val="00DD1715"/>
    <w:rsid w:val="00DD2129"/>
    <w:rsid w:val="00DD5D9E"/>
    <w:rsid w:val="00DE0D08"/>
    <w:rsid w:val="00DE4415"/>
    <w:rsid w:val="00DE5807"/>
    <w:rsid w:val="00DE67FE"/>
    <w:rsid w:val="00DF1025"/>
    <w:rsid w:val="00DF3EEC"/>
    <w:rsid w:val="00DF5D22"/>
    <w:rsid w:val="00DF5E03"/>
    <w:rsid w:val="00DF6348"/>
    <w:rsid w:val="00DF6915"/>
    <w:rsid w:val="00DF6A50"/>
    <w:rsid w:val="00DF76C2"/>
    <w:rsid w:val="00E02FF8"/>
    <w:rsid w:val="00E1132F"/>
    <w:rsid w:val="00E116BD"/>
    <w:rsid w:val="00E11FBD"/>
    <w:rsid w:val="00E12B17"/>
    <w:rsid w:val="00E12BB4"/>
    <w:rsid w:val="00E16AEA"/>
    <w:rsid w:val="00E22027"/>
    <w:rsid w:val="00E23FFB"/>
    <w:rsid w:val="00E26B5D"/>
    <w:rsid w:val="00E31293"/>
    <w:rsid w:val="00E35C9C"/>
    <w:rsid w:val="00E36AD6"/>
    <w:rsid w:val="00E37620"/>
    <w:rsid w:val="00E43CF3"/>
    <w:rsid w:val="00E45339"/>
    <w:rsid w:val="00E458B5"/>
    <w:rsid w:val="00E501A9"/>
    <w:rsid w:val="00E502FA"/>
    <w:rsid w:val="00E50DF1"/>
    <w:rsid w:val="00E512B9"/>
    <w:rsid w:val="00E5308B"/>
    <w:rsid w:val="00E61F84"/>
    <w:rsid w:val="00E62AE1"/>
    <w:rsid w:val="00E64462"/>
    <w:rsid w:val="00E661DC"/>
    <w:rsid w:val="00E669D6"/>
    <w:rsid w:val="00E66C7F"/>
    <w:rsid w:val="00E7227A"/>
    <w:rsid w:val="00E73678"/>
    <w:rsid w:val="00E7512A"/>
    <w:rsid w:val="00E828F5"/>
    <w:rsid w:val="00E83498"/>
    <w:rsid w:val="00E83D66"/>
    <w:rsid w:val="00E84711"/>
    <w:rsid w:val="00E92120"/>
    <w:rsid w:val="00E9358C"/>
    <w:rsid w:val="00E96196"/>
    <w:rsid w:val="00EA012D"/>
    <w:rsid w:val="00EA0268"/>
    <w:rsid w:val="00EA176F"/>
    <w:rsid w:val="00EA1D3B"/>
    <w:rsid w:val="00EA2691"/>
    <w:rsid w:val="00EA2D67"/>
    <w:rsid w:val="00EA4073"/>
    <w:rsid w:val="00EA660C"/>
    <w:rsid w:val="00EA77CA"/>
    <w:rsid w:val="00EB0384"/>
    <w:rsid w:val="00EB78ED"/>
    <w:rsid w:val="00EC1504"/>
    <w:rsid w:val="00ED3168"/>
    <w:rsid w:val="00EE07B4"/>
    <w:rsid w:val="00EE53A9"/>
    <w:rsid w:val="00EE622F"/>
    <w:rsid w:val="00EE650F"/>
    <w:rsid w:val="00EF0416"/>
    <w:rsid w:val="00EF0CD2"/>
    <w:rsid w:val="00EF14D1"/>
    <w:rsid w:val="00EF41AF"/>
    <w:rsid w:val="00EF4525"/>
    <w:rsid w:val="00EF6946"/>
    <w:rsid w:val="00F00DA9"/>
    <w:rsid w:val="00F012EE"/>
    <w:rsid w:val="00F062A2"/>
    <w:rsid w:val="00F10289"/>
    <w:rsid w:val="00F12AFC"/>
    <w:rsid w:val="00F1549E"/>
    <w:rsid w:val="00F24D06"/>
    <w:rsid w:val="00F27592"/>
    <w:rsid w:val="00F316D7"/>
    <w:rsid w:val="00F330B7"/>
    <w:rsid w:val="00F33BF2"/>
    <w:rsid w:val="00F34242"/>
    <w:rsid w:val="00F378A8"/>
    <w:rsid w:val="00F418B2"/>
    <w:rsid w:val="00F42A48"/>
    <w:rsid w:val="00F636B9"/>
    <w:rsid w:val="00F75E12"/>
    <w:rsid w:val="00F7642D"/>
    <w:rsid w:val="00F7715F"/>
    <w:rsid w:val="00F83BD2"/>
    <w:rsid w:val="00F841CE"/>
    <w:rsid w:val="00F86FAF"/>
    <w:rsid w:val="00FA5401"/>
    <w:rsid w:val="00FA54E9"/>
    <w:rsid w:val="00FA6856"/>
    <w:rsid w:val="00FA78E0"/>
    <w:rsid w:val="00FB14D7"/>
    <w:rsid w:val="00FB3243"/>
    <w:rsid w:val="00FB5085"/>
    <w:rsid w:val="00FB5768"/>
    <w:rsid w:val="00FB655B"/>
    <w:rsid w:val="00FB693C"/>
    <w:rsid w:val="00FB705C"/>
    <w:rsid w:val="00FC3688"/>
    <w:rsid w:val="00FC3E7A"/>
    <w:rsid w:val="00FD718C"/>
    <w:rsid w:val="00FE0353"/>
    <w:rsid w:val="00FE4E31"/>
    <w:rsid w:val="00FE5DE8"/>
    <w:rsid w:val="00FE7444"/>
    <w:rsid w:val="00FE7815"/>
    <w:rsid w:val="00FF0429"/>
    <w:rsid w:val="00FF1F15"/>
    <w:rsid w:val="00FF69CE"/>
    <w:rsid w:val="00FF6BA5"/>
    <w:rsid w:val="00FF72CC"/>
    <w:rsid w:val="00FF7809"/>
    <w:rsid w:val="0583FCF6"/>
    <w:rsid w:val="1FEC6327"/>
    <w:rsid w:val="215A7DA1"/>
    <w:rsid w:val="21B76DFD"/>
    <w:rsid w:val="3543F0B4"/>
    <w:rsid w:val="398E8B32"/>
    <w:rsid w:val="4051BB58"/>
    <w:rsid w:val="4434E7DD"/>
    <w:rsid w:val="451F68E4"/>
    <w:rsid w:val="49EC04EF"/>
    <w:rsid w:val="4B6034A3"/>
    <w:rsid w:val="588B76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671C2"/>
  <w15:chartTrackingRefBased/>
  <w15:docId w15:val="{29C89981-CE2B-449C-8627-88BA609B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2B0"/>
    <w:rPr>
      <w:sz w:val="20"/>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uiPriority w:val="9"/>
    <w:qFormat/>
    <w:rsid w:val="00DE0D08"/>
    <w:pPr>
      <w:keepNext/>
      <w:numPr>
        <w:numId w:val="2"/>
      </w:numPr>
      <w:spacing w:after="600" w:line="240" w:lineRule="auto"/>
      <w:outlineLvl w:val="0"/>
    </w:pPr>
    <w:rPr>
      <w:rFonts w:eastAsia="SimSun" w:cs="Cambria"/>
      <w:b/>
      <w:bCs/>
      <w:caps/>
      <w:color w:val="ABCD3A" w:themeColor="text2"/>
      <w:sz w:val="40"/>
      <w:szCs w:val="40"/>
      <w:lang w:val="lt-LT"/>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Heading1"/>
    <w:next w:val="Normal"/>
    <w:link w:val="Heading2Char"/>
    <w:uiPriority w:val="9"/>
    <w:qFormat/>
    <w:rsid w:val="00DE0D08"/>
    <w:pPr>
      <w:numPr>
        <w:ilvl w:val="1"/>
      </w:numPr>
      <w:spacing w:before="360" w:after="240"/>
      <w:outlineLvl w:val="1"/>
    </w:pPr>
    <w:rPr>
      <w:rFonts w:ascii="Trebuchet MS" w:hAnsi="Trebuchet MS"/>
      <w:color w:val="BFBFBF" w:themeColor="background2"/>
      <w:sz w:val="22"/>
      <w:szCs w:val="22"/>
      <w:lang w:val="ro-RO"/>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Heading2"/>
    <w:next w:val="Normal"/>
    <w:link w:val="Heading3Char"/>
    <w:uiPriority w:val="9"/>
    <w:qFormat/>
    <w:rsid w:val="00DE0D08"/>
    <w:pPr>
      <w:numPr>
        <w:ilvl w:val="2"/>
      </w:numPr>
      <w:spacing w:before="180" w:after="180"/>
      <w:outlineLvl w:val="2"/>
    </w:pPr>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C21"/>
    <w:rPr>
      <w:rFonts w:asciiTheme="majorHAnsi" w:eastAsiaTheme="majorEastAsia" w:hAnsiTheme="majorHAnsi" w:cstheme="majorBidi"/>
      <w:spacing w:val="-10"/>
      <w:kern w:val="28"/>
      <w:sz w:val="56"/>
      <w:szCs w:val="56"/>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autoRedefine/>
    <w:uiPriority w:val="34"/>
    <w:qFormat/>
    <w:rsid w:val="006534DC"/>
    <w:pPr>
      <w:numPr>
        <w:numId w:val="14"/>
      </w:numPr>
      <w:spacing w:before="120" w:after="60" w:line="240" w:lineRule="auto"/>
      <w:jc w:val="both"/>
    </w:pPr>
    <w:rPr>
      <w:rFonts w:eastAsia="SimSun" w:cstheme="minorHAnsi"/>
      <w:color w:val="000000" w:themeColor="text1"/>
      <w:lang w:eastAsia="ro-RO" w:bidi="ne-NP"/>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6534DC"/>
    <w:rPr>
      <w:rFonts w:eastAsia="SimSun" w:cstheme="minorHAnsi"/>
      <w:color w:val="000000" w:themeColor="text1"/>
      <w:sz w:val="20"/>
      <w:lang w:val="ro-RO" w:eastAsia="ro-RO" w:bidi="ne-NP"/>
    </w:rPr>
  </w:style>
  <w:style w:type="paragraph" w:styleId="CommentText">
    <w:name w:val="annotation text"/>
    <w:basedOn w:val="Normal"/>
    <w:link w:val="CommentTextChar"/>
    <w:uiPriority w:val="99"/>
    <w:semiHidden/>
    <w:unhideWhenUsed/>
    <w:rsid w:val="00FB5768"/>
    <w:pPr>
      <w:spacing w:after="120" w:line="240" w:lineRule="auto"/>
      <w:jc w:val="both"/>
    </w:pPr>
    <w:rPr>
      <w:rFonts w:eastAsia="SimSun" w:cs="Cambria"/>
      <w:szCs w:val="20"/>
      <w:lang w:val="lt-LT"/>
    </w:rPr>
  </w:style>
  <w:style w:type="character" w:customStyle="1" w:styleId="CommentTextChar">
    <w:name w:val="Comment Text Char"/>
    <w:basedOn w:val="DefaultParagraphFont"/>
    <w:link w:val="CommentText"/>
    <w:uiPriority w:val="99"/>
    <w:rsid w:val="00FB5768"/>
    <w:rPr>
      <w:rFonts w:eastAsia="SimSun" w:cs="Cambria"/>
      <w:sz w:val="20"/>
      <w:szCs w:val="20"/>
      <w:lang w:val="lt-LT"/>
    </w:rPr>
  </w:style>
  <w:style w:type="table" w:styleId="TableGrid">
    <w:name w:val="Table Grid"/>
    <w:aliases w:val="ECORYS Tabela"/>
    <w:basedOn w:val="TableNormal"/>
    <w:uiPriority w:val="39"/>
    <w:rsid w:val="00FB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DE0D08"/>
    <w:rPr>
      <w:rFonts w:eastAsia="SimSun" w:cs="Cambria"/>
      <w:b/>
      <w:bCs/>
      <w:caps/>
      <w:color w:val="ABCD3A" w:themeColor="text2"/>
      <w:sz w:val="40"/>
      <w:szCs w:val="40"/>
      <w:lang w:val="lt-LT"/>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uiPriority w:val="9"/>
    <w:rsid w:val="00DE0D08"/>
    <w:rPr>
      <w:rFonts w:ascii="Trebuchet MS" w:eastAsia="SimSun" w:hAnsi="Trebuchet MS" w:cs="Cambria"/>
      <w:b/>
      <w:bCs/>
      <w:caps/>
      <w:color w:val="BFBFBF" w:themeColor="background2"/>
      <w:lang w:val="ro-RO"/>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DE0D08"/>
    <w:rPr>
      <w:rFonts w:ascii="Trebuchet MS" w:eastAsia="SimSun" w:hAnsi="Trebuchet MS" w:cs="Cambria"/>
      <w:b/>
      <w:caps/>
      <w:color w:val="BFBFBF" w:themeColor="background2"/>
      <w:sz w:val="20"/>
      <w:szCs w:val="20"/>
      <w:lang w:val="ro-RO"/>
    </w:rPr>
  </w:style>
  <w:style w:type="numbering" w:customStyle="1" w:styleId="Headings">
    <w:name w:val="Headings"/>
    <w:uiPriority w:val="99"/>
    <w:rsid w:val="00DE0D08"/>
    <w:pPr>
      <w:numPr>
        <w:numId w:val="1"/>
      </w:numPr>
    </w:pPr>
  </w:style>
  <w:style w:type="paragraph" w:customStyle="1" w:styleId="headingno4">
    <w:name w:val="heading no 4"/>
    <w:basedOn w:val="Heading3"/>
    <w:qFormat/>
    <w:rsid w:val="00DE0D08"/>
    <w:pPr>
      <w:numPr>
        <w:ilvl w:val="3"/>
      </w:numPr>
    </w:pPr>
    <w:rPr>
      <w:lang w:eastAsia="ro-RO" w:bidi="ne-NP"/>
    </w:rPr>
  </w:style>
  <w:style w:type="paragraph" w:styleId="BodyText">
    <w:name w:val="Body Text"/>
    <w:basedOn w:val="Normal"/>
    <w:link w:val="BodyTextChar"/>
    <w:semiHidden/>
    <w:rsid w:val="00410B8A"/>
    <w:pPr>
      <w:widowControl w:val="0"/>
      <w:suppressAutoHyphens/>
      <w:spacing w:after="120" w:line="240" w:lineRule="auto"/>
    </w:pPr>
    <w:rPr>
      <w:rFonts w:ascii="Times New Roman" w:eastAsia="SimSun" w:hAnsi="Times New Roman" w:cs="SimSun"/>
      <w:kern w:val="1"/>
      <w:sz w:val="24"/>
      <w:szCs w:val="24"/>
      <w:lang w:eastAsia="hi-IN" w:bidi="hi-IN"/>
    </w:rPr>
  </w:style>
  <w:style w:type="character" w:customStyle="1" w:styleId="BodyTextChar">
    <w:name w:val="Body Text Char"/>
    <w:basedOn w:val="DefaultParagraphFont"/>
    <w:link w:val="BodyText"/>
    <w:semiHidden/>
    <w:rsid w:val="00410B8A"/>
    <w:rPr>
      <w:rFonts w:ascii="Times New Roman" w:eastAsia="SimSun" w:hAnsi="Times New Roman" w:cs="SimSun"/>
      <w:kern w:val="1"/>
      <w:sz w:val="24"/>
      <w:szCs w:val="24"/>
      <w:lang w:eastAsia="hi-IN" w:bidi="hi-IN"/>
    </w:rPr>
  </w:style>
  <w:style w:type="paragraph" w:styleId="Header">
    <w:name w:val="header"/>
    <w:basedOn w:val="Normal"/>
    <w:link w:val="HeaderChar"/>
    <w:uiPriority w:val="99"/>
    <w:unhideWhenUsed/>
    <w:rsid w:val="00FA5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401"/>
  </w:style>
  <w:style w:type="paragraph" w:styleId="Footer">
    <w:name w:val="footer"/>
    <w:basedOn w:val="Normal"/>
    <w:link w:val="FooterChar"/>
    <w:uiPriority w:val="99"/>
    <w:unhideWhenUsed/>
    <w:rsid w:val="00FA5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401"/>
  </w:style>
  <w:style w:type="character" w:styleId="CommentReference">
    <w:name w:val="annotation reference"/>
    <w:basedOn w:val="DefaultParagraphFont"/>
    <w:uiPriority w:val="99"/>
    <w:semiHidden/>
    <w:unhideWhenUsed/>
    <w:rsid w:val="002957C3"/>
    <w:rPr>
      <w:sz w:val="16"/>
      <w:szCs w:val="16"/>
    </w:rPr>
  </w:style>
  <w:style w:type="paragraph" w:styleId="CommentSubject">
    <w:name w:val="annotation subject"/>
    <w:basedOn w:val="CommentText"/>
    <w:next w:val="CommentText"/>
    <w:link w:val="CommentSubjectChar"/>
    <w:uiPriority w:val="99"/>
    <w:semiHidden/>
    <w:unhideWhenUsed/>
    <w:rsid w:val="002957C3"/>
    <w:pPr>
      <w:spacing w:after="160"/>
      <w:jc w:val="left"/>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2957C3"/>
    <w:rPr>
      <w:rFonts w:eastAsia="SimSun" w:cs="Cambria"/>
      <w:b/>
      <w:bCs/>
      <w:sz w:val="20"/>
      <w:szCs w:val="20"/>
      <w:lang w:val="lt-LT"/>
    </w:rPr>
  </w:style>
  <w:style w:type="paragraph" w:styleId="BalloonText">
    <w:name w:val="Balloon Text"/>
    <w:basedOn w:val="Normal"/>
    <w:link w:val="BalloonTextChar"/>
    <w:uiPriority w:val="99"/>
    <w:semiHidden/>
    <w:unhideWhenUsed/>
    <w:rsid w:val="0029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C3"/>
    <w:rPr>
      <w:rFonts w:ascii="Segoe UI" w:hAnsi="Segoe UI" w:cs="Segoe UI"/>
      <w:sz w:val="18"/>
      <w:szCs w:val="18"/>
    </w:rPr>
  </w:style>
  <w:style w:type="paragraph" w:styleId="TOCHeading">
    <w:name w:val="TOC Heading"/>
    <w:basedOn w:val="Heading1"/>
    <w:next w:val="Normal"/>
    <w:uiPriority w:val="39"/>
    <w:unhideWhenUsed/>
    <w:qFormat/>
    <w:rsid w:val="00B8714C"/>
    <w:pPr>
      <w:keepLines/>
      <w:numPr>
        <w:numId w:val="0"/>
      </w:numPr>
      <w:spacing w:before="240" w:after="0" w:line="259" w:lineRule="auto"/>
      <w:outlineLvl w:val="9"/>
    </w:pPr>
    <w:rPr>
      <w:rFonts w:asciiTheme="majorHAnsi" w:eastAsiaTheme="majorEastAsia" w:hAnsiTheme="majorHAnsi" w:cstheme="majorBidi"/>
      <w:b w:val="0"/>
      <w:bCs w:val="0"/>
      <w:caps w:val="0"/>
      <w:color w:val="0E353E" w:themeColor="accent1" w:themeShade="BF"/>
      <w:sz w:val="32"/>
      <w:szCs w:val="32"/>
      <w:lang w:val="en-US"/>
    </w:rPr>
  </w:style>
  <w:style w:type="paragraph" w:styleId="TOC1">
    <w:name w:val="toc 1"/>
    <w:basedOn w:val="Normal"/>
    <w:next w:val="Normal"/>
    <w:autoRedefine/>
    <w:uiPriority w:val="39"/>
    <w:unhideWhenUsed/>
    <w:rsid w:val="00D37773"/>
    <w:pPr>
      <w:tabs>
        <w:tab w:val="left" w:pos="360"/>
        <w:tab w:val="right" w:leader="dot" w:pos="9016"/>
      </w:tabs>
      <w:spacing w:after="100"/>
    </w:pPr>
    <w:rPr>
      <w:rFonts w:eastAsia="Times New Roman" w:cstheme="minorHAnsi"/>
      <w:b/>
      <w:bCs/>
      <w:noProof/>
      <w:kern w:val="1"/>
      <w:lang w:eastAsia="ar-SA"/>
    </w:rPr>
  </w:style>
  <w:style w:type="character" w:styleId="Hyperlink">
    <w:name w:val="Hyperlink"/>
    <w:basedOn w:val="DefaultParagraphFont"/>
    <w:uiPriority w:val="99"/>
    <w:unhideWhenUsed/>
    <w:rsid w:val="00B8714C"/>
    <w:rPr>
      <w:color w:val="48B9D5" w:themeColor="hyperlink"/>
      <w:u w:val="single"/>
    </w:rPr>
  </w:style>
  <w:style w:type="paragraph" w:styleId="Subtitle">
    <w:name w:val="Subtitle"/>
    <w:basedOn w:val="Normal"/>
    <w:next w:val="Normal"/>
    <w:link w:val="SubtitleChar"/>
    <w:uiPriority w:val="11"/>
    <w:qFormat/>
    <w:rsid w:val="00B871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714C"/>
    <w:rPr>
      <w:rFonts w:eastAsiaTheme="minorEastAsia"/>
      <w:color w:val="5A5A5A" w:themeColor="text1" w:themeTint="A5"/>
      <w:spacing w:val="15"/>
    </w:rPr>
  </w:style>
  <w:style w:type="paragraph" w:customStyle="1" w:styleId="Bullet">
    <w:name w:val="Bullet"/>
    <w:basedOn w:val="ListParagraph"/>
    <w:link w:val="BulletChar"/>
    <w:qFormat/>
    <w:rsid w:val="00540B29"/>
    <w:pPr>
      <w:spacing w:line="276" w:lineRule="auto"/>
      <w:ind w:left="0"/>
    </w:pPr>
    <w:rPr>
      <w:rFonts w:ascii="Trebuchet MS" w:eastAsia="MS Gothic" w:hAnsi="Trebuchet MS"/>
      <w:bCs/>
      <w:szCs w:val="32"/>
      <w:lang w:eastAsia="en-GB"/>
    </w:rPr>
  </w:style>
  <w:style w:type="paragraph" w:customStyle="1" w:styleId="Textbullet">
    <w:name w:val="Text bullet"/>
    <w:basedOn w:val="Bullet"/>
    <w:link w:val="TextbulletChar"/>
    <w:qFormat/>
    <w:rsid w:val="00540B29"/>
  </w:style>
  <w:style w:type="character" w:customStyle="1" w:styleId="TextbulletChar">
    <w:name w:val="Text bullet Char"/>
    <w:basedOn w:val="DefaultParagraphFont"/>
    <w:link w:val="Textbullet"/>
    <w:rsid w:val="00540B29"/>
    <w:rPr>
      <w:rFonts w:ascii="Trebuchet MS" w:eastAsia="MS Gothic" w:hAnsi="Trebuchet MS" w:cstheme="minorHAnsi"/>
      <w:bCs/>
      <w:color w:val="000000" w:themeColor="text1"/>
      <w:szCs w:val="32"/>
      <w:lang w:val="ro-RO" w:eastAsia="en-GB" w:bidi="ne-NP"/>
    </w:rPr>
  </w:style>
  <w:style w:type="paragraph" w:customStyle="1" w:styleId="Default">
    <w:name w:val="Default"/>
    <w:rsid w:val="00C559AC"/>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C559AC"/>
    <w:pPr>
      <w:spacing w:after="0" w:line="240" w:lineRule="auto"/>
    </w:pPr>
    <w:rPr>
      <w:lang w:val="en-US"/>
    </w:rPr>
  </w:style>
  <w:style w:type="table" w:styleId="ListTable6Colorful-Accent1">
    <w:name w:val="List Table 6 Colorful Accent 1"/>
    <w:basedOn w:val="TableNormal"/>
    <w:uiPriority w:val="51"/>
    <w:rsid w:val="000B5DEA"/>
    <w:pPr>
      <w:spacing w:after="0" w:line="240" w:lineRule="auto"/>
      <w:jc w:val="both"/>
    </w:pPr>
    <w:rPr>
      <w:color w:val="0E353E" w:themeColor="accent1" w:themeShade="BF"/>
    </w:rPr>
    <w:tblPr>
      <w:tblStyleRowBandSize w:val="1"/>
      <w:tblStyleColBandSize w:val="1"/>
      <w:tblBorders>
        <w:top w:val="single" w:sz="4" w:space="0" w:color="134753" w:themeColor="accent1"/>
        <w:bottom w:val="single" w:sz="4" w:space="0" w:color="134753" w:themeColor="accent1"/>
      </w:tblBorders>
    </w:tblPr>
    <w:tblStylePr w:type="firstRow">
      <w:rPr>
        <w:b/>
        <w:bCs/>
      </w:rPr>
      <w:tblPr/>
      <w:tcPr>
        <w:tcBorders>
          <w:bottom w:val="single" w:sz="4" w:space="0" w:color="134753" w:themeColor="accent1"/>
        </w:tcBorders>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ListTable3-Accent1">
    <w:name w:val="List Table 3 Accent 1"/>
    <w:basedOn w:val="TableNormal"/>
    <w:uiPriority w:val="48"/>
    <w:rsid w:val="000B5DEA"/>
    <w:pPr>
      <w:spacing w:after="0" w:line="240" w:lineRule="auto"/>
    </w:pPr>
    <w:rPr>
      <w:lang w:val="ro-RO"/>
    </w:rPr>
    <w:tblPr>
      <w:tblStyleRowBandSize w:val="1"/>
      <w:tblStyleColBandSize w:val="1"/>
      <w:tblBorders>
        <w:top w:val="single" w:sz="4" w:space="0" w:color="134753" w:themeColor="accent1"/>
        <w:left w:val="single" w:sz="4" w:space="0" w:color="134753" w:themeColor="accent1"/>
        <w:bottom w:val="single" w:sz="4" w:space="0" w:color="134753" w:themeColor="accent1"/>
        <w:right w:val="single" w:sz="4" w:space="0" w:color="134753" w:themeColor="accent1"/>
      </w:tblBorders>
    </w:tblPr>
    <w:tblStylePr w:type="firstRow">
      <w:rPr>
        <w:b/>
        <w:bCs/>
        <w:color w:val="FFFFFF" w:themeColor="background1"/>
      </w:rPr>
      <w:tblPr/>
      <w:tcPr>
        <w:shd w:val="clear" w:color="auto" w:fill="134753" w:themeFill="accent1"/>
      </w:tcPr>
    </w:tblStylePr>
    <w:tblStylePr w:type="lastRow">
      <w:rPr>
        <w:b/>
        <w:bCs/>
      </w:rPr>
      <w:tblPr/>
      <w:tcPr>
        <w:tcBorders>
          <w:top w:val="double" w:sz="4" w:space="0" w:color="1347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4753" w:themeColor="accent1"/>
          <w:right w:val="single" w:sz="4" w:space="0" w:color="134753" w:themeColor="accent1"/>
        </w:tcBorders>
      </w:tcPr>
    </w:tblStylePr>
    <w:tblStylePr w:type="band1Horz">
      <w:tblPr/>
      <w:tcPr>
        <w:tcBorders>
          <w:top w:val="single" w:sz="4" w:space="0" w:color="134753" w:themeColor="accent1"/>
          <w:bottom w:val="single" w:sz="4" w:space="0" w:color="1347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themeColor="accent1"/>
          <w:left w:val="nil"/>
        </w:tcBorders>
      </w:tcPr>
    </w:tblStylePr>
    <w:tblStylePr w:type="swCell">
      <w:tblPr/>
      <w:tcPr>
        <w:tcBorders>
          <w:top w:val="double" w:sz="4" w:space="0" w:color="134753" w:themeColor="accent1"/>
          <w:right w:val="nil"/>
        </w:tcBorders>
      </w:tcPr>
    </w:tblStylePr>
  </w:style>
  <w:style w:type="table" w:styleId="GridTable6Colorful-Accent3">
    <w:name w:val="Grid Table 6 Colorful Accent 3"/>
    <w:basedOn w:val="TableNormal"/>
    <w:uiPriority w:val="51"/>
    <w:rsid w:val="001D385D"/>
    <w:pPr>
      <w:spacing w:after="0" w:line="240" w:lineRule="auto"/>
    </w:pPr>
    <w:rPr>
      <w:color w:val="5F5F5F" w:themeColor="accent3" w:themeShade="BF"/>
      <w:lang w:val="ro-RO"/>
    </w:r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1Light-Accent11">
    <w:name w:val="Grid Table 1 Light - Accent 11"/>
    <w:basedOn w:val="TableNormal"/>
    <w:uiPriority w:val="46"/>
    <w:rsid w:val="00B4627F"/>
    <w:pPr>
      <w:spacing w:after="0" w:line="240" w:lineRule="auto"/>
    </w:p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Strong">
    <w:name w:val="Strong"/>
    <w:aliases w:val="Bold"/>
    <w:qFormat/>
    <w:rsid w:val="009F750F"/>
    <w:rPr>
      <w:rFonts w:cs="Times New Roman"/>
      <w:b/>
    </w:rPr>
  </w:style>
  <w:style w:type="numbering" w:customStyle="1" w:styleId="WWOutlineListStyle5">
    <w:name w:val="WW_OutlineListStyle_5"/>
    <w:rsid w:val="00DF6348"/>
    <w:pPr>
      <w:numPr>
        <w:numId w:val="3"/>
      </w:numPr>
    </w:pPr>
  </w:style>
  <w:style w:type="table" w:styleId="GridTable4-Accent1">
    <w:name w:val="Grid Table 4 Accent 1"/>
    <w:basedOn w:val="TableNormal"/>
    <w:uiPriority w:val="49"/>
    <w:rsid w:val="00B04598"/>
    <w:pPr>
      <w:spacing w:after="0" w:line="240" w:lineRule="auto"/>
    </w:pPr>
    <w:rPr>
      <w:lang w:val="en-US"/>
    </w:r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customStyle="1" w:styleId="GridTable2-Accent11">
    <w:name w:val="Grid Table 2 - Accent 11"/>
    <w:basedOn w:val="TableNormal"/>
    <w:uiPriority w:val="47"/>
    <w:rsid w:val="006B3D0F"/>
    <w:pPr>
      <w:spacing w:after="0" w:line="240" w:lineRule="auto"/>
      <w:jc w:val="both"/>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character" w:customStyle="1" w:styleId="BulletChar">
    <w:name w:val="Bullet Char"/>
    <w:basedOn w:val="ListParagraphChar"/>
    <w:link w:val="Bullet"/>
    <w:rsid w:val="00FE4E31"/>
    <w:rPr>
      <w:rFonts w:ascii="Trebuchet MS" w:eastAsia="MS Gothic" w:hAnsi="Trebuchet MS" w:cstheme="minorHAnsi"/>
      <w:bCs/>
      <w:color w:val="000000" w:themeColor="text1"/>
      <w:sz w:val="20"/>
      <w:szCs w:val="32"/>
      <w:lang w:val="ro-RO" w:eastAsia="en-GB" w:bidi="ne-NP"/>
    </w:rPr>
  </w:style>
  <w:style w:type="paragraph" w:customStyle="1" w:styleId="Focus">
    <w:name w:val="Focus"/>
    <w:basedOn w:val="Normal"/>
    <w:link w:val="FocusChar"/>
    <w:qFormat/>
    <w:rsid w:val="00407836"/>
    <w:pPr>
      <w:keepNext/>
      <w:spacing w:after="120" w:line="240" w:lineRule="auto"/>
      <w:jc w:val="both"/>
    </w:pPr>
    <w:rPr>
      <w:rFonts w:eastAsia="SimSun" w:cs="Cambria"/>
      <w:b/>
      <w:caps/>
      <w:color w:val="ABCD3A" w:themeColor="text2"/>
      <w:lang w:val="lt-LT"/>
    </w:rPr>
  </w:style>
  <w:style w:type="character" w:customStyle="1" w:styleId="FocusChar">
    <w:name w:val="Focus Char"/>
    <w:basedOn w:val="DefaultParagraphFont"/>
    <w:link w:val="Focus"/>
    <w:rsid w:val="00407836"/>
    <w:rPr>
      <w:rFonts w:eastAsia="SimSun" w:cs="Cambria"/>
      <w:b/>
      <w:caps/>
      <w:color w:val="ABCD3A" w:themeColor="text2"/>
      <w:lang w:val="lt-LT"/>
    </w:rPr>
  </w:style>
  <w:style w:type="table" w:customStyle="1" w:styleId="Civittatable">
    <w:name w:val="Civitta table"/>
    <w:basedOn w:val="TableNormal"/>
    <w:uiPriority w:val="99"/>
    <w:rsid w:val="00D463A6"/>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ABCD3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LidPara">
    <w:name w:val="LidPara"/>
    <w:basedOn w:val="Normal"/>
    <w:link w:val="LidParaCaracter"/>
    <w:autoRedefine/>
    <w:qFormat/>
    <w:rsid w:val="00737D54"/>
    <w:pPr>
      <w:shd w:val="clear" w:color="auto" w:fill="F2F2F2" w:themeFill="accent5" w:themeFillTint="33"/>
      <w:spacing w:after="0" w:line="280" w:lineRule="atLeast"/>
    </w:pPr>
    <w:rPr>
      <w:rFonts w:ascii="Arial" w:hAnsi="Arial"/>
      <w:sz w:val="18"/>
      <w:lang w:val="en-GB"/>
    </w:rPr>
  </w:style>
  <w:style w:type="character" w:customStyle="1" w:styleId="LidParaCaracter">
    <w:name w:val="LidPara Caracter"/>
    <w:basedOn w:val="DefaultParagraphFont"/>
    <w:link w:val="LidPara"/>
    <w:rsid w:val="00737D54"/>
    <w:rPr>
      <w:rFonts w:ascii="Arial" w:hAnsi="Arial"/>
      <w:sz w:val="18"/>
      <w:shd w:val="clear" w:color="auto" w:fill="F2F2F2" w:themeFill="accent5" w:themeFillTint="33"/>
    </w:rPr>
  </w:style>
  <w:style w:type="table" w:styleId="PlainTable1">
    <w:name w:val="Plain Table 1"/>
    <w:basedOn w:val="TableNormal"/>
    <w:uiPriority w:val="41"/>
    <w:rsid w:val="00210F6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E9358C"/>
    <w:pPr>
      <w:spacing w:after="0" w:line="240" w:lineRule="auto"/>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GridTable1Light-Accent1">
    <w:name w:val="Grid Table 1 Light Accent 1"/>
    <w:basedOn w:val="TableNormal"/>
    <w:uiPriority w:val="46"/>
    <w:rsid w:val="00A557FA"/>
    <w:pPr>
      <w:spacing w:after="0" w:line="240" w:lineRule="auto"/>
    </w:pPr>
    <w:tblPr>
      <w:tblStyleRowBandSize w:val="1"/>
      <w:tblStyleColBandSize w:val="1"/>
      <w:tblBorders>
        <w:top w:val="single" w:sz="4" w:space="0" w:color="7ACDE0" w:themeColor="accent1" w:themeTint="66"/>
        <w:left w:val="single" w:sz="4" w:space="0" w:color="7ACDE0" w:themeColor="accent1" w:themeTint="66"/>
        <w:bottom w:val="single" w:sz="4" w:space="0" w:color="7ACDE0" w:themeColor="accent1" w:themeTint="66"/>
        <w:right w:val="single" w:sz="4" w:space="0" w:color="7ACDE0" w:themeColor="accent1" w:themeTint="66"/>
        <w:insideH w:val="single" w:sz="4" w:space="0" w:color="7ACDE0" w:themeColor="accent1" w:themeTint="66"/>
        <w:insideV w:val="single" w:sz="4" w:space="0" w:color="7ACDE0" w:themeColor="accent1" w:themeTint="66"/>
      </w:tblBorders>
    </w:tblPr>
    <w:tblStylePr w:type="firstRow">
      <w:rPr>
        <w:b/>
        <w:bCs/>
      </w:rPr>
      <w:tblPr/>
      <w:tcPr>
        <w:tcBorders>
          <w:bottom w:val="single" w:sz="12" w:space="0" w:color="37B4D1" w:themeColor="accent1" w:themeTint="99"/>
        </w:tcBorders>
      </w:tcPr>
    </w:tblStylePr>
    <w:tblStylePr w:type="lastRow">
      <w:rPr>
        <w:b/>
        <w:bCs/>
      </w:rPr>
      <w:tblPr/>
      <w:tcPr>
        <w:tcBorders>
          <w:top w:val="double" w:sz="2" w:space="0" w:color="37B4D1"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1F5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qFormat/>
    <w:rsid w:val="00CB77E0"/>
    <w:pPr>
      <w:spacing w:after="0" w:line="240" w:lineRule="auto"/>
      <w:jc w:val="both"/>
    </w:pPr>
    <w:rPr>
      <w:rFonts w:eastAsia="SimSun" w:cs="Cambria"/>
      <w:bCs/>
      <w:szCs w:val="20"/>
      <w:lang w:val="en-US" w:eastAsia="ja-JP"/>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CB77E0"/>
    <w:rPr>
      <w:rFonts w:eastAsia="SimSun" w:cs="Cambria"/>
      <w:bCs/>
      <w:sz w:val="20"/>
      <w:szCs w:val="20"/>
      <w:lang w:val="en-US" w:eastAsia="ja-JP"/>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
    <w:basedOn w:val="DefaultParagraphFont"/>
    <w:link w:val="FootnotesymbolCharCaracterChar"/>
    <w:uiPriority w:val="99"/>
    <w:qFormat/>
    <w:rsid w:val="00CB77E0"/>
    <w:rPr>
      <w:vertAlign w:val="superscript"/>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CB77E0"/>
    <w:pPr>
      <w:spacing w:line="240" w:lineRule="exact"/>
    </w:pPr>
    <w:rPr>
      <w:vertAlign w:val="superscript"/>
      <w:lang w:val="en-GB"/>
    </w:rPr>
  </w:style>
  <w:style w:type="paragraph" w:customStyle="1" w:styleId="demo-img">
    <w:name w:val="demo-img"/>
    <w:basedOn w:val="Normal"/>
    <w:rsid w:val="00CB77E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9">
    <w:name w:val="A9"/>
    <w:uiPriority w:val="99"/>
    <w:rsid w:val="00AF1522"/>
    <w:rPr>
      <w:rFonts w:cs="UniSansRegular"/>
      <w:color w:val="555554"/>
      <w:sz w:val="11"/>
      <w:szCs w:val="11"/>
    </w:rPr>
  </w:style>
  <w:style w:type="character" w:styleId="UnresolvedMention">
    <w:name w:val="Unresolved Mention"/>
    <w:basedOn w:val="DefaultParagraphFont"/>
    <w:uiPriority w:val="99"/>
    <w:semiHidden/>
    <w:unhideWhenUsed/>
    <w:rsid w:val="00771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6278">
      <w:bodyDiv w:val="1"/>
      <w:marLeft w:val="0"/>
      <w:marRight w:val="0"/>
      <w:marTop w:val="0"/>
      <w:marBottom w:val="0"/>
      <w:divBdr>
        <w:top w:val="none" w:sz="0" w:space="0" w:color="auto"/>
        <w:left w:val="none" w:sz="0" w:space="0" w:color="auto"/>
        <w:bottom w:val="none" w:sz="0" w:space="0" w:color="auto"/>
        <w:right w:val="none" w:sz="0" w:space="0" w:color="auto"/>
      </w:divBdr>
    </w:div>
    <w:div w:id="518356187">
      <w:bodyDiv w:val="1"/>
      <w:marLeft w:val="0"/>
      <w:marRight w:val="0"/>
      <w:marTop w:val="0"/>
      <w:marBottom w:val="0"/>
      <w:divBdr>
        <w:top w:val="none" w:sz="0" w:space="0" w:color="auto"/>
        <w:left w:val="none" w:sz="0" w:space="0" w:color="auto"/>
        <w:bottom w:val="none" w:sz="0" w:space="0" w:color="auto"/>
        <w:right w:val="none" w:sz="0" w:space="0" w:color="auto"/>
      </w:divBdr>
    </w:div>
    <w:div w:id="773134973">
      <w:bodyDiv w:val="1"/>
      <w:marLeft w:val="0"/>
      <w:marRight w:val="0"/>
      <w:marTop w:val="0"/>
      <w:marBottom w:val="0"/>
      <w:divBdr>
        <w:top w:val="none" w:sz="0" w:space="0" w:color="auto"/>
        <w:left w:val="none" w:sz="0" w:space="0" w:color="auto"/>
        <w:bottom w:val="none" w:sz="0" w:space="0" w:color="auto"/>
        <w:right w:val="none" w:sz="0" w:space="0" w:color="auto"/>
      </w:divBdr>
    </w:div>
    <w:div w:id="1001931917">
      <w:bodyDiv w:val="1"/>
      <w:marLeft w:val="0"/>
      <w:marRight w:val="0"/>
      <w:marTop w:val="0"/>
      <w:marBottom w:val="0"/>
      <w:divBdr>
        <w:top w:val="none" w:sz="0" w:space="0" w:color="auto"/>
        <w:left w:val="none" w:sz="0" w:space="0" w:color="auto"/>
        <w:bottom w:val="none" w:sz="0" w:space="0" w:color="auto"/>
        <w:right w:val="none" w:sz="0" w:space="0" w:color="auto"/>
      </w:divBdr>
    </w:div>
    <w:div w:id="1068188308">
      <w:bodyDiv w:val="1"/>
      <w:marLeft w:val="0"/>
      <w:marRight w:val="0"/>
      <w:marTop w:val="0"/>
      <w:marBottom w:val="0"/>
      <w:divBdr>
        <w:top w:val="none" w:sz="0" w:space="0" w:color="auto"/>
        <w:left w:val="none" w:sz="0" w:space="0" w:color="auto"/>
        <w:bottom w:val="none" w:sz="0" w:space="0" w:color="auto"/>
        <w:right w:val="none" w:sz="0" w:space="0" w:color="auto"/>
      </w:divBdr>
    </w:div>
    <w:div w:id="1653832986">
      <w:bodyDiv w:val="1"/>
      <w:marLeft w:val="0"/>
      <w:marRight w:val="0"/>
      <w:marTop w:val="0"/>
      <w:marBottom w:val="0"/>
      <w:divBdr>
        <w:top w:val="none" w:sz="0" w:space="0" w:color="auto"/>
        <w:left w:val="none" w:sz="0" w:space="0" w:color="auto"/>
        <w:bottom w:val="none" w:sz="0" w:space="0" w:color="auto"/>
        <w:right w:val="none" w:sz="0" w:space="0" w:color="auto"/>
      </w:divBdr>
    </w:div>
    <w:div w:id="1810173514">
      <w:bodyDiv w:val="1"/>
      <w:marLeft w:val="0"/>
      <w:marRight w:val="0"/>
      <w:marTop w:val="0"/>
      <w:marBottom w:val="0"/>
      <w:divBdr>
        <w:top w:val="none" w:sz="0" w:space="0" w:color="auto"/>
        <w:left w:val="none" w:sz="0" w:space="0" w:color="auto"/>
        <w:bottom w:val="none" w:sz="0" w:space="0" w:color="auto"/>
        <w:right w:val="none" w:sz="0" w:space="0" w:color="auto"/>
      </w:divBdr>
    </w:div>
    <w:div w:id="1956061701">
      <w:bodyDiv w:val="1"/>
      <w:marLeft w:val="0"/>
      <w:marRight w:val="0"/>
      <w:marTop w:val="0"/>
      <w:marBottom w:val="0"/>
      <w:divBdr>
        <w:top w:val="none" w:sz="0" w:space="0" w:color="auto"/>
        <w:left w:val="none" w:sz="0" w:space="0" w:color="auto"/>
        <w:bottom w:val="none" w:sz="0" w:space="0" w:color="auto"/>
        <w:right w:val="none" w:sz="0" w:space="0" w:color="auto"/>
      </w:divBdr>
    </w:div>
    <w:div w:id="2000427314">
      <w:bodyDiv w:val="1"/>
      <w:marLeft w:val="0"/>
      <w:marRight w:val="0"/>
      <w:marTop w:val="0"/>
      <w:marBottom w:val="0"/>
      <w:divBdr>
        <w:top w:val="none" w:sz="0" w:space="0" w:color="auto"/>
        <w:left w:val="none" w:sz="0" w:space="0" w:color="auto"/>
        <w:bottom w:val="none" w:sz="0" w:space="0" w:color="auto"/>
        <w:right w:val="none" w:sz="0" w:space="0" w:color="auto"/>
      </w:divBdr>
    </w:div>
    <w:div w:id="20058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cd-ilibrary.org/docserver/82129230-en.pdf?expires=1609875620&amp;id=id&amp;accname=guest&amp;checksum=3E772FAFF506D5A2AD6535E12BD82CC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787/82129230-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ho.int/health-topics/primary-health-care#tab=tab_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who.int/iris/bitstream/handle/10665/42456/9241545534.pdf?sequence=1&amp;isAllowed=y" TargetMode="External"/><Relationship Id="rId5" Type="http://schemas.openxmlformats.org/officeDocument/2006/relationships/numbering" Target="numbering.xml"/><Relationship Id="rId15" Type="http://schemas.openxmlformats.org/officeDocument/2006/relationships/hyperlink" Target="https://doi.org/10.1371/journal.pone.024075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muncii.ro/j33/images/Documente/Familie/2016/StrategyVol1RO_web.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ți un document nou." ma:contentTypeScope="" ma:versionID="b769ce894ac0beba22d2c81baf63d661">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306a387333dc4cf87562f8c6051b78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98761-F7D5-4EF8-9236-D05211706B6B}">
  <ds:schemaRefs>
    <ds:schemaRef ds:uri="http://schemas.microsoft.com/sharepoint/v3/contenttype/forms"/>
  </ds:schemaRefs>
</ds:datastoreItem>
</file>

<file path=customXml/itemProps2.xml><?xml version="1.0" encoding="utf-8"?>
<ds:datastoreItem xmlns:ds="http://schemas.openxmlformats.org/officeDocument/2006/customXml" ds:itemID="{253D55EA-8DB5-42C0-8B76-9FEFC32C57B7}">
  <ds:schemaRefs>
    <ds:schemaRef ds:uri="http://schemas.openxmlformats.org/officeDocument/2006/bibliography"/>
  </ds:schemaRefs>
</ds:datastoreItem>
</file>

<file path=customXml/itemProps3.xml><?xml version="1.0" encoding="utf-8"?>
<ds:datastoreItem xmlns:ds="http://schemas.openxmlformats.org/officeDocument/2006/customXml" ds:itemID="{49AD8014-5C22-487F-9005-A36DC91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33805-CCC5-4766-90EC-9E20C8C51A51}">
  <ds:schemaRefs>
    <ds:schemaRef ds:uri="bb03434f-1c44-4812-8878-7288edb94d38"/>
    <ds:schemaRef ds:uri="025c4d69-e2cb-41d0-b1d7-b41d2bc2d5ce"/>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6</Pages>
  <Words>2940</Words>
  <Characters>16759</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19660</CharactersWithSpaces>
  <SharedDoc>false</SharedDoc>
  <HLinks>
    <vt:vector size="144" baseType="variant">
      <vt:variant>
        <vt:i4>3997727</vt:i4>
      </vt:variant>
      <vt:variant>
        <vt:i4>141</vt:i4>
      </vt:variant>
      <vt:variant>
        <vt:i4>0</vt:i4>
      </vt:variant>
      <vt:variant>
        <vt:i4>5</vt:i4>
      </vt:variant>
      <vt:variant>
        <vt:lpwstr>mailto:gdpr@lideea.eu</vt:lpwstr>
      </vt:variant>
      <vt:variant>
        <vt:lpwstr/>
      </vt:variant>
      <vt:variant>
        <vt:i4>1572915</vt:i4>
      </vt:variant>
      <vt:variant>
        <vt:i4>134</vt:i4>
      </vt:variant>
      <vt:variant>
        <vt:i4>0</vt:i4>
      </vt:variant>
      <vt:variant>
        <vt:i4>5</vt:i4>
      </vt:variant>
      <vt:variant>
        <vt:lpwstr/>
      </vt:variant>
      <vt:variant>
        <vt:lpwstr>_Toc65493320</vt:lpwstr>
      </vt:variant>
      <vt:variant>
        <vt:i4>1114160</vt:i4>
      </vt:variant>
      <vt:variant>
        <vt:i4>128</vt:i4>
      </vt:variant>
      <vt:variant>
        <vt:i4>0</vt:i4>
      </vt:variant>
      <vt:variant>
        <vt:i4>5</vt:i4>
      </vt:variant>
      <vt:variant>
        <vt:lpwstr/>
      </vt:variant>
      <vt:variant>
        <vt:lpwstr>_Toc65493319</vt:lpwstr>
      </vt:variant>
      <vt:variant>
        <vt:i4>1048624</vt:i4>
      </vt:variant>
      <vt:variant>
        <vt:i4>122</vt:i4>
      </vt:variant>
      <vt:variant>
        <vt:i4>0</vt:i4>
      </vt:variant>
      <vt:variant>
        <vt:i4>5</vt:i4>
      </vt:variant>
      <vt:variant>
        <vt:lpwstr/>
      </vt:variant>
      <vt:variant>
        <vt:lpwstr>_Toc65493318</vt:lpwstr>
      </vt:variant>
      <vt:variant>
        <vt:i4>2031664</vt:i4>
      </vt:variant>
      <vt:variant>
        <vt:i4>116</vt:i4>
      </vt:variant>
      <vt:variant>
        <vt:i4>0</vt:i4>
      </vt:variant>
      <vt:variant>
        <vt:i4>5</vt:i4>
      </vt:variant>
      <vt:variant>
        <vt:lpwstr/>
      </vt:variant>
      <vt:variant>
        <vt:lpwstr>_Toc65493317</vt:lpwstr>
      </vt:variant>
      <vt:variant>
        <vt:i4>1966128</vt:i4>
      </vt:variant>
      <vt:variant>
        <vt:i4>110</vt:i4>
      </vt:variant>
      <vt:variant>
        <vt:i4>0</vt:i4>
      </vt:variant>
      <vt:variant>
        <vt:i4>5</vt:i4>
      </vt:variant>
      <vt:variant>
        <vt:lpwstr/>
      </vt:variant>
      <vt:variant>
        <vt:lpwstr>_Toc65493316</vt:lpwstr>
      </vt:variant>
      <vt:variant>
        <vt:i4>1900592</vt:i4>
      </vt:variant>
      <vt:variant>
        <vt:i4>104</vt:i4>
      </vt:variant>
      <vt:variant>
        <vt:i4>0</vt:i4>
      </vt:variant>
      <vt:variant>
        <vt:i4>5</vt:i4>
      </vt:variant>
      <vt:variant>
        <vt:lpwstr/>
      </vt:variant>
      <vt:variant>
        <vt:lpwstr>_Toc65493315</vt:lpwstr>
      </vt:variant>
      <vt:variant>
        <vt:i4>1835056</vt:i4>
      </vt:variant>
      <vt:variant>
        <vt:i4>98</vt:i4>
      </vt:variant>
      <vt:variant>
        <vt:i4>0</vt:i4>
      </vt:variant>
      <vt:variant>
        <vt:i4>5</vt:i4>
      </vt:variant>
      <vt:variant>
        <vt:lpwstr/>
      </vt:variant>
      <vt:variant>
        <vt:lpwstr>_Toc65493314</vt:lpwstr>
      </vt:variant>
      <vt:variant>
        <vt:i4>1769520</vt:i4>
      </vt:variant>
      <vt:variant>
        <vt:i4>92</vt:i4>
      </vt:variant>
      <vt:variant>
        <vt:i4>0</vt:i4>
      </vt:variant>
      <vt:variant>
        <vt:i4>5</vt:i4>
      </vt:variant>
      <vt:variant>
        <vt:lpwstr/>
      </vt:variant>
      <vt:variant>
        <vt:lpwstr>_Toc65493313</vt:lpwstr>
      </vt:variant>
      <vt:variant>
        <vt:i4>1703984</vt:i4>
      </vt:variant>
      <vt:variant>
        <vt:i4>86</vt:i4>
      </vt:variant>
      <vt:variant>
        <vt:i4>0</vt:i4>
      </vt:variant>
      <vt:variant>
        <vt:i4>5</vt:i4>
      </vt:variant>
      <vt:variant>
        <vt:lpwstr/>
      </vt:variant>
      <vt:variant>
        <vt:lpwstr>_Toc65493312</vt:lpwstr>
      </vt:variant>
      <vt:variant>
        <vt:i4>1638448</vt:i4>
      </vt:variant>
      <vt:variant>
        <vt:i4>80</vt:i4>
      </vt:variant>
      <vt:variant>
        <vt:i4>0</vt:i4>
      </vt:variant>
      <vt:variant>
        <vt:i4>5</vt:i4>
      </vt:variant>
      <vt:variant>
        <vt:lpwstr/>
      </vt:variant>
      <vt:variant>
        <vt:lpwstr>_Toc65493311</vt:lpwstr>
      </vt:variant>
      <vt:variant>
        <vt:i4>1572912</vt:i4>
      </vt:variant>
      <vt:variant>
        <vt:i4>74</vt:i4>
      </vt:variant>
      <vt:variant>
        <vt:i4>0</vt:i4>
      </vt:variant>
      <vt:variant>
        <vt:i4>5</vt:i4>
      </vt:variant>
      <vt:variant>
        <vt:lpwstr/>
      </vt:variant>
      <vt:variant>
        <vt:lpwstr>_Toc65493310</vt:lpwstr>
      </vt:variant>
      <vt:variant>
        <vt:i4>1114161</vt:i4>
      </vt:variant>
      <vt:variant>
        <vt:i4>68</vt:i4>
      </vt:variant>
      <vt:variant>
        <vt:i4>0</vt:i4>
      </vt:variant>
      <vt:variant>
        <vt:i4>5</vt:i4>
      </vt:variant>
      <vt:variant>
        <vt:lpwstr/>
      </vt:variant>
      <vt:variant>
        <vt:lpwstr>_Toc65493309</vt:lpwstr>
      </vt:variant>
      <vt:variant>
        <vt:i4>1048625</vt:i4>
      </vt:variant>
      <vt:variant>
        <vt:i4>62</vt:i4>
      </vt:variant>
      <vt:variant>
        <vt:i4>0</vt:i4>
      </vt:variant>
      <vt:variant>
        <vt:i4>5</vt:i4>
      </vt:variant>
      <vt:variant>
        <vt:lpwstr/>
      </vt:variant>
      <vt:variant>
        <vt:lpwstr>_Toc65493308</vt:lpwstr>
      </vt:variant>
      <vt:variant>
        <vt:i4>2031665</vt:i4>
      </vt:variant>
      <vt:variant>
        <vt:i4>56</vt:i4>
      </vt:variant>
      <vt:variant>
        <vt:i4>0</vt:i4>
      </vt:variant>
      <vt:variant>
        <vt:i4>5</vt:i4>
      </vt:variant>
      <vt:variant>
        <vt:lpwstr/>
      </vt:variant>
      <vt:variant>
        <vt:lpwstr>_Toc65493307</vt:lpwstr>
      </vt:variant>
      <vt:variant>
        <vt:i4>1966129</vt:i4>
      </vt:variant>
      <vt:variant>
        <vt:i4>50</vt:i4>
      </vt:variant>
      <vt:variant>
        <vt:i4>0</vt:i4>
      </vt:variant>
      <vt:variant>
        <vt:i4>5</vt:i4>
      </vt:variant>
      <vt:variant>
        <vt:lpwstr/>
      </vt:variant>
      <vt:variant>
        <vt:lpwstr>_Toc65493306</vt:lpwstr>
      </vt:variant>
      <vt:variant>
        <vt:i4>1900593</vt:i4>
      </vt:variant>
      <vt:variant>
        <vt:i4>44</vt:i4>
      </vt:variant>
      <vt:variant>
        <vt:i4>0</vt:i4>
      </vt:variant>
      <vt:variant>
        <vt:i4>5</vt:i4>
      </vt:variant>
      <vt:variant>
        <vt:lpwstr/>
      </vt:variant>
      <vt:variant>
        <vt:lpwstr>_Toc65493305</vt:lpwstr>
      </vt:variant>
      <vt:variant>
        <vt:i4>1835057</vt:i4>
      </vt:variant>
      <vt:variant>
        <vt:i4>38</vt:i4>
      </vt:variant>
      <vt:variant>
        <vt:i4>0</vt:i4>
      </vt:variant>
      <vt:variant>
        <vt:i4>5</vt:i4>
      </vt:variant>
      <vt:variant>
        <vt:lpwstr/>
      </vt:variant>
      <vt:variant>
        <vt:lpwstr>_Toc65493304</vt:lpwstr>
      </vt:variant>
      <vt:variant>
        <vt:i4>1769521</vt:i4>
      </vt:variant>
      <vt:variant>
        <vt:i4>32</vt:i4>
      </vt:variant>
      <vt:variant>
        <vt:i4>0</vt:i4>
      </vt:variant>
      <vt:variant>
        <vt:i4>5</vt:i4>
      </vt:variant>
      <vt:variant>
        <vt:lpwstr/>
      </vt:variant>
      <vt:variant>
        <vt:lpwstr>_Toc65493303</vt:lpwstr>
      </vt:variant>
      <vt:variant>
        <vt:i4>1703985</vt:i4>
      </vt:variant>
      <vt:variant>
        <vt:i4>26</vt:i4>
      </vt:variant>
      <vt:variant>
        <vt:i4>0</vt:i4>
      </vt:variant>
      <vt:variant>
        <vt:i4>5</vt:i4>
      </vt:variant>
      <vt:variant>
        <vt:lpwstr/>
      </vt:variant>
      <vt:variant>
        <vt:lpwstr>_Toc65493302</vt:lpwstr>
      </vt:variant>
      <vt:variant>
        <vt:i4>1638449</vt:i4>
      </vt:variant>
      <vt:variant>
        <vt:i4>20</vt:i4>
      </vt:variant>
      <vt:variant>
        <vt:i4>0</vt:i4>
      </vt:variant>
      <vt:variant>
        <vt:i4>5</vt:i4>
      </vt:variant>
      <vt:variant>
        <vt:lpwstr/>
      </vt:variant>
      <vt:variant>
        <vt:lpwstr>_Toc65493301</vt:lpwstr>
      </vt:variant>
      <vt:variant>
        <vt:i4>1572913</vt:i4>
      </vt:variant>
      <vt:variant>
        <vt:i4>14</vt:i4>
      </vt:variant>
      <vt:variant>
        <vt:i4>0</vt:i4>
      </vt:variant>
      <vt:variant>
        <vt:i4>5</vt:i4>
      </vt:variant>
      <vt:variant>
        <vt:lpwstr/>
      </vt:variant>
      <vt:variant>
        <vt:lpwstr>_Toc65493300</vt:lpwstr>
      </vt:variant>
      <vt:variant>
        <vt:i4>1048632</vt:i4>
      </vt:variant>
      <vt:variant>
        <vt:i4>8</vt:i4>
      </vt:variant>
      <vt:variant>
        <vt:i4>0</vt:i4>
      </vt:variant>
      <vt:variant>
        <vt:i4>5</vt:i4>
      </vt:variant>
      <vt:variant>
        <vt:lpwstr/>
      </vt:variant>
      <vt:variant>
        <vt:lpwstr>_Toc65493299</vt:lpwstr>
      </vt:variant>
      <vt:variant>
        <vt:i4>1114168</vt:i4>
      </vt:variant>
      <vt:variant>
        <vt:i4>2</vt:i4>
      </vt:variant>
      <vt:variant>
        <vt:i4>0</vt:i4>
      </vt:variant>
      <vt:variant>
        <vt:i4>5</vt:i4>
      </vt:variant>
      <vt:variant>
        <vt:lpwstr/>
      </vt:variant>
      <vt:variant>
        <vt:lpwstr>_Toc65493298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Alexandra Salcudean</cp:lastModifiedBy>
  <cp:revision>88</cp:revision>
  <cp:lastPrinted>2020-07-29T06:16:00Z</cp:lastPrinted>
  <dcterms:created xsi:type="dcterms:W3CDTF">2021-03-03T06:21:00Z</dcterms:created>
  <dcterms:modified xsi:type="dcterms:W3CDTF">2021-11-29T09:45:00Z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