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8357C" w14:textId="77777777" w:rsidR="00A94BEE" w:rsidRPr="00FF74C0" w:rsidRDefault="00A94BEE" w:rsidP="00A94BEE">
      <w:pPr>
        <w:ind w:right="-2"/>
        <w:jc w:val="center"/>
        <w:rPr>
          <w:rFonts w:ascii="Calibri" w:hAnsi="Calibri" w:cs="Calibri"/>
          <w:b/>
          <w:color w:val="000000"/>
          <w:sz w:val="28"/>
        </w:rPr>
      </w:pPr>
      <w:bookmarkStart w:id="0" w:name="_Toc19183410"/>
    </w:p>
    <w:p w14:paraId="3EA896B6" w14:textId="77777777" w:rsidR="00A94BEE" w:rsidRPr="00FF74C0" w:rsidRDefault="00A94BEE" w:rsidP="00A94BEE">
      <w:pPr>
        <w:ind w:right="-2"/>
        <w:jc w:val="center"/>
        <w:rPr>
          <w:rFonts w:ascii="Calibri" w:hAnsi="Calibri" w:cs="Calibri"/>
          <w:b/>
          <w:color w:val="000000"/>
          <w:sz w:val="28"/>
        </w:rPr>
      </w:pPr>
    </w:p>
    <w:p w14:paraId="7F1341D7" w14:textId="7DF34733" w:rsidR="00A94BEE" w:rsidRPr="00FF74C0" w:rsidRDefault="00A94BEE" w:rsidP="00A94BEE">
      <w:pPr>
        <w:ind w:right="-2"/>
        <w:jc w:val="center"/>
        <w:rPr>
          <w:rFonts w:ascii="Calibri" w:hAnsi="Calibri" w:cs="Calibri"/>
          <w:b/>
          <w:color w:val="000000"/>
          <w:sz w:val="28"/>
        </w:rPr>
      </w:pPr>
    </w:p>
    <w:p w14:paraId="78FF5E7E" w14:textId="398F9E87" w:rsidR="00A33182" w:rsidRPr="00FF74C0" w:rsidRDefault="00A33182" w:rsidP="00A94BEE">
      <w:pPr>
        <w:ind w:right="-2"/>
        <w:jc w:val="center"/>
        <w:rPr>
          <w:rFonts w:ascii="Calibri" w:hAnsi="Calibri" w:cs="Calibri"/>
          <w:b/>
          <w:color w:val="000000"/>
          <w:sz w:val="28"/>
        </w:rPr>
      </w:pPr>
    </w:p>
    <w:p w14:paraId="55C1624E" w14:textId="76E52C30" w:rsidR="00A33182" w:rsidRPr="00FF74C0" w:rsidRDefault="00A33182" w:rsidP="00A94BEE">
      <w:pPr>
        <w:ind w:right="-2"/>
        <w:jc w:val="center"/>
        <w:rPr>
          <w:rFonts w:ascii="Calibri" w:hAnsi="Calibri" w:cs="Calibri"/>
          <w:b/>
          <w:color w:val="000000"/>
          <w:sz w:val="28"/>
        </w:rPr>
      </w:pPr>
    </w:p>
    <w:p w14:paraId="50DD362E" w14:textId="51746F95" w:rsidR="00A33182" w:rsidRPr="00FF74C0" w:rsidRDefault="00A33182" w:rsidP="00A94BEE">
      <w:pPr>
        <w:ind w:right="-2"/>
        <w:jc w:val="center"/>
        <w:rPr>
          <w:rFonts w:ascii="Calibri" w:hAnsi="Calibri" w:cs="Calibri"/>
          <w:b/>
          <w:color w:val="000000"/>
          <w:sz w:val="28"/>
        </w:rPr>
      </w:pPr>
    </w:p>
    <w:p w14:paraId="7AE97E0B" w14:textId="77777777" w:rsidR="00A33182" w:rsidRPr="00FF74C0" w:rsidRDefault="00A33182" w:rsidP="00A33182">
      <w:pPr>
        <w:ind w:right="-2"/>
        <w:rPr>
          <w:rFonts w:ascii="Calibri" w:hAnsi="Calibri" w:cs="Calibri"/>
          <w:b/>
          <w:color w:val="000000"/>
          <w:sz w:val="28"/>
        </w:rPr>
      </w:pPr>
    </w:p>
    <w:p w14:paraId="5C2512CA" w14:textId="484CA91F" w:rsidR="00A33182" w:rsidRPr="00FF74C0" w:rsidRDefault="00A33182" w:rsidP="00A94BEE">
      <w:pPr>
        <w:ind w:right="-2"/>
        <w:jc w:val="center"/>
        <w:rPr>
          <w:rFonts w:ascii="Calibri" w:hAnsi="Calibri" w:cs="Calibri"/>
          <w:b/>
          <w:color w:val="000000"/>
          <w:sz w:val="28"/>
        </w:rPr>
      </w:pPr>
    </w:p>
    <w:p w14:paraId="7C839364" w14:textId="39F8671B" w:rsidR="00A33182" w:rsidRPr="00286856" w:rsidRDefault="00A33182" w:rsidP="0015391C">
      <w:pPr>
        <w:spacing w:after="120" w:line="240" w:lineRule="auto"/>
        <w:jc w:val="center"/>
        <w:rPr>
          <w:rFonts w:ascii="Calibri" w:eastAsia="Times New Roman" w:hAnsi="Calibri" w:cs="Calibri"/>
          <w:b/>
          <w:bCs/>
          <w:color w:val="4F81BD"/>
          <w:kern w:val="1"/>
          <w:sz w:val="32"/>
          <w:szCs w:val="32"/>
          <w:lang w:eastAsia="ar-SA"/>
        </w:rPr>
      </w:pPr>
      <w:r w:rsidRPr="00286856">
        <w:rPr>
          <w:rFonts w:ascii="Calibri" w:eastAsia="Times New Roman" w:hAnsi="Calibri" w:cs="Calibri"/>
          <w:b/>
          <w:sz w:val="32"/>
          <w:szCs w:val="32"/>
        </w:rPr>
        <w:t>Evaluarea intervențiilor PO</w:t>
      </w:r>
      <w:r w:rsidR="003264D8">
        <w:rPr>
          <w:rFonts w:ascii="Calibri" w:eastAsia="Times New Roman" w:hAnsi="Calibri" w:cs="Calibri"/>
          <w:b/>
          <w:sz w:val="32"/>
          <w:szCs w:val="32"/>
        </w:rPr>
        <w:t xml:space="preserve">CU </w:t>
      </w:r>
      <w:r w:rsidRPr="00286856">
        <w:rPr>
          <w:rFonts w:ascii="Calibri" w:eastAsia="Times New Roman" w:hAnsi="Calibri" w:cs="Calibri"/>
          <w:b/>
          <w:sz w:val="32"/>
          <w:szCs w:val="32"/>
        </w:rPr>
        <w:t>în domeniul incluziunii sociale</w:t>
      </w:r>
    </w:p>
    <w:p w14:paraId="5E2DE5BB" w14:textId="4A330D01" w:rsidR="00286856" w:rsidRPr="00286856" w:rsidRDefault="00A33182" w:rsidP="0015391C">
      <w:pPr>
        <w:pBdr>
          <w:top w:val="single" w:sz="4" w:space="10" w:color="4F81BD"/>
          <w:bottom w:val="single" w:sz="4" w:space="10" w:color="4F81BD"/>
        </w:pBdr>
        <w:spacing w:before="360" w:after="120" w:line="240" w:lineRule="auto"/>
        <w:ind w:left="862" w:right="862"/>
        <w:contextualSpacing/>
        <w:jc w:val="center"/>
        <w:rPr>
          <w:rFonts w:ascii="Calibri" w:eastAsia="Calibri" w:hAnsi="Calibri" w:cs="Calibri"/>
          <w:b/>
          <w:color w:val="3CA1BC"/>
          <w:sz w:val="32"/>
          <w:szCs w:val="32"/>
          <w:lang w:eastAsia="ar-SA"/>
        </w:rPr>
      </w:pPr>
      <w:r w:rsidRPr="00286856">
        <w:rPr>
          <w:rFonts w:ascii="Calibri" w:eastAsia="Calibri" w:hAnsi="Calibri" w:cs="Calibri"/>
          <w:b/>
          <w:color w:val="3CA1BC"/>
          <w:sz w:val="32"/>
          <w:szCs w:val="32"/>
          <w:lang w:eastAsia="ar-SA"/>
        </w:rPr>
        <w:t>(</w:t>
      </w:r>
      <w:r w:rsidR="005A58AD">
        <w:rPr>
          <w:rFonts w:ascii="Calibri" w:eastAsia="Calibri" w:hAnsi="Calibri" w:cs="Calibri"/>
          <w:b/>
          <w:color w:val="3CA1BC"/>
          <w:sz w:val="32"/>
          <w:szCs w:val="32"/>
          <w:lang w:eastAsia="ar-SA"/>
        </w:rPr>
        <w:t>TE 4</w:t>
      </w:r>
      <w:r w:rsidRPr="00286856">
        <w:rPr>
          <w:rFonts w:ascii="Calibri" w:eastAsia="Calibri" w:hAnsi="Calibri" w:cs="Calibri"/>
          <w:b/>
          <w:color w:val="3CA1BC"/>
          <w:sz w:val="32"/>
          <w:szCs w:val="32"/>
          <w:lang w:eastAsia="ar-SA"/>
        </w:rPr>
        <w:t>)</w:t>
      </w:r>
      <w:r w:rsidR="00744D01">
        <w:rPr>
          <w:rFonts w:ascii="Calibri" w:eastAsia="Calibri" w:hAnsi="Calibri" w:cs="Calibri"/>
          <w:b/>
          <w:color w:val="3CA1BC"/>
          <w:sz w:val="32"/>
          <w:szCs w:val="32"/>
          <w:lang w:eastAsia="ar-SA"/>
        </w:rPr>
        <w:t>.</w:t>
      </w:r>
      <w:r w:rsidRPr="00286856">
        <w:rPr>
          <w:rFonts w:ascii="Calibri" w:eastAsia="Calibri" w:hAnsi="Calibri" w:cs="Calibri"/>
          <w:b/>
          <w:color w:val="3CA1BC"/>
          <w:sz w:val="32"/>
          <w:szCs w:val="32"/>
          <w:lang w:eastAsia="ar-SA"/>
        </w:rPr>
        <w:t xml:space="preserve"> </w:t>
      </w:r>
      <w:r w:rsidR="00744D01" w:rsidRPr="00286856">
        <w:rPr>
          <w:rFonts w:ascii="Calibri" w:eastAsia="Calibri" w:hAnsi="Calibri" w:cs="Calibri"/>
          <w:b/>
          <w:color w:val="3CA1BC"/>
          <w:sz w:val="32"/>
          <w:szCs w:val="32"/>
          <w:lang w:eastAsia="ar-SA"/>
        </w:rPr>
        <w:t>Anexa 3</w:t>
      </w:r>
      <w:r w:rsidR="00744D01">
        <w:rPr>
          <w:rFonts w:ascii="Calibri" w:eastAsia="Calibri" w:hAnsi="Calibri" w:cs="Calibri"/>
          <w:b/>
          <w:color w:val="3CA1BC"/>
          <w:sz w:val="32"/>
          <w:szCs w:val="32"/>
          <w:lang w:eastAsia="ar-SA"/>
        </w:rPr>
        <w:t>. A</w:t>
      </w:r>
      <w:r w:rsidR="00744D01" w:rsidRPr="00286856">
        <w:rPr>
          <w:rFonts w:ascii="Calibri" w:eastAsia="Calibri" w:hAnsi="Calibri" w:cs="Calibri"/>
          <w:b/>
          <w:color w:val="3CA1BC"/>
          <w:sz w:val="32"/>
          <w:szCs w:val="32"/>
          <w:lang w:eastAsia="ar-SA"/>
        </w:rPr>
        <w:t>naliza sectorială</w:t>
      </w:r>
    </w:p>
    <w:p w14:paraId="1B81CD2E" w14:textId="5DA91010" w:rsidR="00A33182" w:rsidRPr="00FF74C0" w:rsidRDefault="00A33182" w:rsidP="00A33182">
      <w:pPr>
        <w:rPr>
          <w:rFonts w:ascii="Calibri" w:hAnsi="Calibri" w:cs="Calibri"/>
          <w:lang w:eastAsia="ar-SA"/>
        </w:rPr>
      </w:pPr>
    </w:p>
    <w:p w14:paraId="39DA120D" w14:textId="77777777" w:rsidR="00A33182" w:rsidRPr="00FF74C0" w:rsidRDefault="00A33182" w:rsidP="00A33182">
      <w:pPr>
        <w:rPr>
          <w:rFonts w:ascii="Calibri" w:hAnsi="Calibri" w:cs="Calibri"/>
          <w:lang w:eastAsia="ar-SA"/>
        </w:rPr>
      </w:pPr>
    </w:p>
    <w:p w14:paraId="3A29D929" w14:textId="77777777" w:rsidR="00A33182" w:rsidRPr="00FF74C0" w:rsidRDefault="00A33182" w:rsidP="00A33182">
      <w:pPr>
        <w:rPr>
          <w:rFonts w:ascii="Calibri" w:hAnsi="Calibri" w:cs="Calibri"/>
          <w:lang w:eastAsia="ar-SA"/>
        </w:rPr>
      </w:pPr>
    </w:p>
    <w:p w14:paraId="6F2B15E0" w14:textId="77777777" w:rsidR="00A94BEE" w:rsidRPr="00FF74C0" w:rsidRDefault="00A94BEE" w:rsidP="00A94BEE">
      <w:pPr>
        <w:rPr>
          <w:rFonts w:ascii="Calibri" w:hAnsi="Calibri" w:cs="Calibri"/>
        </w:rPr>
      </w:pPr>
    </w:p>
    <w:p w14:paraId="2627921B" w14:textId="77777777" w:rsidR="00A94BEE" w:rsidRPr="00FF74C0" w:rsidRDefault="00A94BEE" w:rsidP="00A94BEE">
      <w:pPr>
        <w:ind w:right="-2"/>
        <w:jc w:val="center"/>
        <w:rPr>
          <w:rFonts w:ascii="Calibri" w:hAnsi="Calibri" w:cs="Calibri"/>
          <w:b/>
          <w:color w:val="000000"/>
          <w:sz w:val="28"/>
        </w:rPr>
      </w:pPr>
    </w:p>
    <w:p w14:paraId="571CD067" w14:textId="77777777" w:rsidR="00A94BEE" w:rsidRPr="00FF74C0" w:rsidRDefault="00A94BEE" w:rsidP="00A94BEE">
      <w:pPr>
        <w:ind w:right="-2"/>
        <w:jc w:val="center"/>
        <w:rPr>
          <w:rFonts w:ascii="Calibri" w:hAnsi="Calibri" w:cs="Calibri"/>
          <w:b/>
          <w:color w:val="000000"/>
          <w:sz w:val="28"/>
        </w:rPr>
      </w:pPr>
    </w:p>
    <w:p w14:paraId="0773DAE9" w14:textId="57AD1E63" w:rsidR="00A94BEE" w:rsidRPr="00FF74C0" w:rsidRDefault="00A94BEE" w:rsidP="00A94BEE">
      <w:pPr>
        <w:ind w:right="-2"/>
        <w:jc w:val="center"/>
        <w:rPr>
          <w:rFonts w:ascii="Calibri" w:hAnsi="Calibri" w:cs="Calibri"/>
          <w:b/>
          <w:color w:val="000000"/>
          <w:sz w:val="28"/>
        </w:rPr>
      </w:pPr>
    </w:p>
    <w:p w14:paraId="27739368" w14:textId="77777777" w:rsidR="00591FCC" w:rsidRPr="00FF74C0" w:rsidRDefault="00591FCC" w:rsidP="00A94BEE">
      <w:pPr>
        <w:ind w:right="-2"/>
        <w:jc w:val="center"/>
        <w:rPr>
          <w:rFonts w:ascii="Calibri" w:hAnsi="Calibri" w:cs="Calibri"/>
          <w:b/>
          <w:color w:val="000000"/>
          <w:sz w:val="28"/>
        </w:rPr>
      </w:pPr>
    </w:p>
    <w:p w14:paraId="02A1C7CF" w14:textId="77777777" w:rsidR="00A94BEE" w:rsidRPr="00FF74C0" w:rsidRDefault="00A94BEE" w:rsidP="00A94BEE">
      <w:pPr>
        <w:ind w:right="-2"/>
        <w:jc w:val="center"/>
        <w:rPr>
          <w:rFonts w:ascii="Calibri" w:hAnsi="Calibri" w:cs="Calibri"/>
          <w:b/>
          <w:color w:val="000000"/>
          <w:sz w:val="28"/>
        </w:rPr>
      </w:pPr>
    </w:p>
    <w:p w14:paraId="137AF54B" w14:textId="285DECBB" w:rsidR="00A94BEE" w:rsidRPr="00FF74C0" w:rsidRDefault="00A94BEE" w:rsidP="00A94BEE">
      <w:pPr>
        <w:ind w:right="-2"/>
        <w:jc w:val="center"/>
        <w:rPr>
          <w:rFonts w:ascii="Calibri" w:hAnsi="Calibri" w:cs="Calibri"/>
          <w:b/>
          <w:color w:val="000000"/>
          <w:sz w:val="28"/>
        </w:rPr>
      </w:pPr>
    </w:p>
    <w:p w14:paraId="6753D48C" w14:textId="0E657CA4" w:rsidR="00744D01" w:rsidRDefault="00744D01">
      <w:pPr>
        <w:jc w:val="left"/>
        <w:rPr>
          <w:rFonts w:ascii="Calibri" w:hAnsi="Calibri" w:cs="Calibri"/>
          <w:b/>
          <w:color w:val="000000"/>
          <w:sz w:val="28"/>
        </w:rPr>
      </w:pPr>
      <w:r>
        <w:rPr>
          <w:rFonts w:ascii="Calibri" w:hAnsi="Calibri" w:cs="Calibri"/>
          <w:b/>
          <w:color w:val="000000"/>
          <w:sz w:val="28"/>
        </w:rPr>
        <w:br w:type="page"/>
      </w:r>
    </w:p>
    <w:p w14:paraId="666B5633" w14:textId="77777777" w:rsidR="00591FCC" w:rsidRPr="00FF74C0" w:rsidRDefault="00591FCC" w:rsidP="00A94BEE">
      <w:pPr>
        <w:ind w:right="-2"/>
        <w:jc w:val="center"/>
        <w:rPr>
          <w:rFonts w:ascii="Calibri" w:hAnsi="Calibri" w:cs="Calibri"/>
          <w:b/>
          <w:color w:val="000000"/>
          <w:sz w:val="28"/>
        </w:rPr>
      </w:pPr>
    </w:p>
    <w:sdt>
      <w:sdtPr>
        <w:rPr>
          <w:rFonts w:asciiTheme="minorHAnsi" w:eastAsiaTheme="minorHAnsi" w:hAnsiTheme="minorHAnsi" w:cstheme="minorBidi"/>
          <w:color w:val="auto"/>
          <w:szCs w:val="22"/>
          <w:lang w:val="en-US"/>
        </w:rPr>
        <w:id w:val="-1110976901"/>
        <w:docPartObj>
          <w:docPartGallery w:val="Table of Contents"/>
          <w:docPartUnique/>
        </w:docPartObj>
      </w:sdtPr>
      <w:sdtEndPr>
        <w:rPr>
          <w:b/>
          <w:bCs/>
          <w:sz w:val="24"/>
          <w:szCs w:val="24"/>
          <w:lang w:val="ro-RO"/>
        </w:rPr>
      </w:sdtEndPr>
      <w:sdtContent>
        <w:p w14:paraId="555380D3" w14:textId="61CCD6AE" w:rsidR="00A94BEE" w:rsidRPr="00BB662C" w:rsidRDefault="00A94BEE" w:rsidP="0015391C">
          <w:pPr>
            <w:pStyle w:val="TOCHeading"/>
            <w:rPr>
              <w:rFonts w:eastAsiaTheme="minorHAnsi"/>
            </w:rPr>
          </w:pPr>
          <w:r w:rsidRPr="00BB662C">
            <w:t>Cuprins</w:t>
          </w:r>
        </w:p>
        <w:p w14:paraId="354A2E1A" w14:textId="59BB5C20" w:rsidR="0014142A" w:rsidRPr="0014142A" w:rsidRDefault="00A94BEE">
          <w:pPr>
            <w:pStyle w:val="TOC1"/>
            <w:tabs>
              <w:tab w:val="left" w:pos="440"/>
              <w:tab w:val="right" w:leader="dot" w:pos="9016"/>
            </w:tabs>
            <w:rPr>
              <w:rFonts w:eastAsiaTheme="minorEastAsia"/>
              <w:b w:val="0"/>
              <w:bCs w:val="0"/>
              <w:i w:val="0"/>
              <w:iCs w:val="0"/>
              <w:noProof/>
              <w:sz w:val="20"/>
              <w:szCs w:val="20"/>
              <w:lang w:val="en-US"/>
            </w:rPr>
          </w:pPr>
          <w:r w:rsidRPr="00FF74C0">
            <w:rPr>
              <w:rFonts w:ascii="Calibri" w:hAnsi="Calibri" w:cs="Calibri"/>
              <w:b w:val="0"/>
              <w:sz w:val="22"/>
              <w:szCs w:val="22"/>
            </w:rPr>
            <w:fldChar w:fldCharType="begin"/>
          </w:r>
          <w:r w:rsidRPr="00FF74C0">
            <w:rPr>
              <w:rFonts w:ascii="Calibri" w:hAnsi="Calibri" w:cs="Calibri"/>
              <w:b w:val="0"/>
              <w:bCs w:val="0"/>
            </w:rPr>
            <w:instrText xml:space="preserve"> TOC \o "1-3" \h \z \u </w:instrText>
          </w:r>
          <w:r w:rsidRPr="00FF74C0">
            <w:rPr>
              <w:rFonts w:ascii="Calibri" w:hAnsi="Calibri" w:cs="Calibri"/>
              <w:b w:val="0"/>
              <w:sz w:val="22"/>
              <w:szCs w:val="22"/>
            </w:rPr>
            <w:fldChar w:fldCharType="separate"/>
          </w:r>
          <w:hyperlink w:anchor="_Toc86993581" w:history="1">
            <w:r w:rsidR="0014142A" w:rsidRPr="0014142A">
              <w:rPr>
                <w:rStyle w:val="Hyperlink"/>
                <w:b w:val="0"/>
                <w:bCs w:val="0"/>
                <w:noProof/>
                <w:sz w:val="20"/>
                <w:szCs w:val="20"/>
              </w:rPr>
              <w:t>1.</w:t>
            </w:r>
            <w:r w:rsidR="0014142A" w:rsidRPr="0014142A">
              <w:rPr>
                <w:rFonts w:eastAsiaTheme="minorEastAsia"/>
                <w:b w:val="0"/>
                <w:bCs w:val="0"/>
                <w:i w:val="0"/>
                <w:iCs w:val="0"/>
                <w:noProof/>
                <w:sz w:val="20"/>
                <w:szCs w:val="20"/>
                <w:lang w:val="en-US"/>
              </w:rPr>
              <w:tab/>
            </w:r>
            <w:r w:rsidR="0014142A" w:rsidRPr="0014142A">
              <w:rPr>
                <w:rStyle w:val="Hyperlink"/>
                <w:b w:val="0"/>
                <w:bCs w:val="0"/>
                <w:noProof/>
                <w:sz w:val="20"/>
                <w:szCs w:val="20"/>
              </w:rPr>
              <w:t>INTRODUCERE</w:t>
            </w:r>
            <w:r w:rsidR="0014142A" w:rsidRPr="0014142A">
              <w:rPr>
                <w:b w:val="0"/>
                <w:bCs w:val="0"/>
                <w:noProof/>
                <w:webHidden/>
                <w:sz w:val="20"/>
                <w:szCs w:val="20"/>
              </w:rPr>
              <w:tab/>
            </w:r>
            <w:r w:rsidR="0014142A" w:rsidRPr="0014142A">
              <w:rPr>
                <w:b w:val="0"/>
                <w:bCs w:val="0"/>
                <w:noProof/>
                <w:webHidden/>
                <w:sz w:val="20"/>
                <w:szCs w:val="20"/>
              </w:rPr>
              <w:fldChar w:fldCharType="begin"/>
            </w:r>
            <w:r w:rsidR="0014142A" w:rsidRPr="0014142A">
              <w:rPr>
                <w:b w:val="0"/>
                <w:bCs w:val="0"/>
                <w:noProof/>
                <w:webHidden/>
                <w:sz w:val="20"/>
                <w:szCs w:val="20"/>
              </w:rPr>
              <w:instrText xml:space="preserve"> PAGEREF _Toc86993581 \h </w:instrText>
            </w:r>
            <w:r w:rsidR="0014142A" w:rsidRPr="0014142A">
              <w:rPr>
                <w:b w:val="0"/>
                <w:bCs w:val="0"/>
                <w:noProof/>
                <w:webHidden/>
                <w:sz w:val="20"/>
                <w:szCs w:val="20"/>
              </w:rPr>
            </w:r>
            <w:r w:rsidR="0014142A" w:rsidRPr="0014142A">
              <w:rPr>
                <w:b w:val="0"/>
                <w:bCs w:val="0"/>
                <w:noProof/>
                <w:webHidden/>
                <w:sz w:val="20"/>
                <w:szCs w:val="20"/>
              </w:rPr>
              <w:fldChar w:fldCharType="separate"/>
            </w:r>
            <w:r w:rsidR="0014142A" w:rsidRPr="0014142A">
              <w:rPr>
                <w:b w:val="0"/>
                <w:bCs w:val="0"/>
                <w:noProof/>
                <w:webHidden/>
                <w:sz w:val="20"/>
                <w:szCs w:val="20"/>
              </w:rPr>
              <w:t>4</w:t>
            </w:r>
            <w:r w:rsidR="0014142A" w:rsidRPr="0014142A">
              <w:rPr>
                <w:b w:val="0"/>
                <w:bCs w:val="0"/>
                <w:noProof/>
                <w:webHidden/>
                <w:sz w:val="20"/>
                <w:szCs w:val="20"/>
              </w:rPr>
              <w:fldChar w:fldCharType="end"/>
            </w:r>
          </w:hyperlink>
        </w:p>
        <w:p w14:paraId="79D77E92" w14:textId="6472C460" w:rsidR="0014142A" w:rsidRPr="0014142A" w:rsidRDefault="0014142A">
          <w:pPr>
            <w:pStyle w:val="TOC1"/>
            <w:tabs>
              <w:tab w:val="left" w:pos="440"/>
              <w:tab w:val="right" w:leader="dot" w:pos="9016"/>
            </w:tabs>
            <w:rPr>
              <w:rFonts w:eastAsiaTheme="minorEastAsia"/>
              <w:b w:val="0"/>
              <w:bCs w:val="0"/>
              <w:i w:val="0"/>
              <w:iCs w:val="0"/>
              <w:noProof/>
              <w:sz w:val="20"/>
              <w:szCs w:val="20"/>
              <w:lang w:val="en-US"/>
            </w:rPr>
          </w:pPr>
          <w:hyperlink w:anchor="_Toc86993582" w:history="1">
            <w:r w:rsidRPr="0014142A">
              <w:rPr>
                <w:rStyle w:val="Hyperlink"/>
                <w:rFonts w:eastAsia="Times New Roman"/>
                <w:b w:val="0"/>
                <w:bCs w:val="0"/>
                <w:noProof/>
                <w:sz w:val="20"/>
                <w:szCs w:val="20"/>
                <w:lang w:eastAsia="ro-RO"/>
              </w:rPr>
              <w:t>2.</w:t>
            </w:r>
            <w:r w:rsidRPr="0014142A">
              <w:rPr>
                <w:rFonts w:eastAsiaTheme="minorEastAsia"/>
                <w:b w:val="0"/>
                <w:bCs w:val="0"/>
                <w:i w:val="0"/>
                <w:iCs w:val="0"/>
                <w:noProof/>
                <w:sz w:val="20"/>
                <w:szCs w:val="20"/>
                <w:lang w:val="en-US"/>
              </w:rPr>
              <w:tab/>
            </w:r>
            <w:r w:rsidRPr="0014142A">
              <w:rPr>
                <w:rStyle w:val="Hyperlink"/>
                <w:rFonts w:eastAsia="Times New Roman"/>
                <w:b w:val="0"/>
                <w:bCs w:val="0"/>
                <w:noProof/>
                <w:sz w:val="20"/>
                <w:szCs w:val="20"/>
                <w:lang w:eastAsia="ro-RO"/>
              </w:rPr>
              <w:t>EVOLUȚIA SITUAȚIEI GRUPURILOR VULNERABILE</w:t>
            </w:r>
            <w:r w:rsidRPr="0014142A">
              <w:rPr>
                <w:b w:val="0"/>
                <w:bCs w:val="0"/>
                <w:noProof/>
                <w:webHidden/>
                <w:sz w:val="20"/>
                <w:szCs w:val="20"/>
              </w:rPr>
              <w:tab/>
            </w:r>
            <w:r w:rsidRPr="0014142A">
              <w:rPr>
                <w:b w:val="0"/>
                <w:bCs w:val="0"/>
                <w:noProof/>
                <w:webHidden/>
                <w:sz w:val="20"/>
                <w:szCs w:val="20"/>
              </w:rPr>
              <w:fldChar w:fldCharType="begin"/>
            </w:r>
            <w:r w:rsidRPr="0014142A">
              <w:rPr>
                <w:b w:val="0"/>
                <w:bCs w:val="0"/>
                <w:noProof/>
                <w:webHidden/>
                <w:sz w:val="20"/>
                <w:szCs w:val="20"/>
              </w:rPr>
              <w:instrText xml:space="preserve"> PAGEREF _Toc86993582 \h </w:instrText>
            </w:r>
            <w:r w:rsidRPr="0014142A">
              <w:rPr>
                <w:b w:val="0"/>
                <w:bCs w:val="0"/>
                <w:noProof/>
                <w:webHidden/>
                <w:sz w:val="20"/>
                <w:szCs w:val="20"/>
              </w:rPr>
            </w:r>
            <w:r w:rsidRPr="0014142A">
              <w:rPr>
                <w:b w:val="0"/>
                <w:bCs w:val="0"/>
                <w:noProof/>
                <w:webHidden/>
                <w:sz w:val="20"/>
                <w:szCs w:val="20"/>
              </w:rPr>
              <w:fldChar w:fldCharType="separate"/>
            </w:r>
            <w:r w:rsidRPr="0014142A">
              <w:rPr>
                <w:b w:val="0"/>
                <w:bCs w:val="0"/>
                <w:noProof/>
                <w:webHidden/>
                <w:sz w:val="20"/>
                <w:szCs w:val="20"/>
              </w:rPr>
              <w:t>5</w:t>
            </w:r>
            <w:r w:rsidRPr="0014142A">
              <w:rPr>
                <w:b w:val="0"/>
                <w:bCs w:val="0"/>
                <w:noProof/>
                <w:webHidden/>
                <w:sz w:val="20"/>
                <w:szCs w:val="20"/>
              </w:rPr>
              <w:fldChar w:fldCharType="end"/>
            </w:r>
          </w:hyperlink>
        </w:p>
        <w:p w14:paraId="5B1FB327" w14:textId="35EC2E6E" w:rsidR="0014142A" w:rsidRPr="0014142A" w:rsidRDefault="0014142A">
          <w:pPr>
            <w:pStyle w:val="TOC2"/>
            <w:rPr>
              <w:rFonts w:asciiTheme="minorHAnsi" w:eastAsiaTheme="minorEastAsia" w:hAnsiTheme="minorHAnsi" w:cstheme="minorHAnsi"/>
              <w:szCs w:val="20"/>
              <w:lang w:val="en-US"/>
            </w:rPr>
          </w:pPr>
          <w:hyperlink w:anchor="_Toc86993583" w:history="1">
            <w:r w:rsidRPr="0014142A">
              <w:rPr>
                <w:rStyle w:val="Hyperlink"/>
                <w:rFonts w:asciiTheme="minorHAnsi" w:hAnsiTheme="minorHAnsi" w:cstheme="minorHAnsi"/>
                <w:szCs w:val="20"/>
                <w:lang w:eastAsia="ro-RO"/>
              </w:rPr>
              <w:t>2.1.</w:t>
            </w:r>
            <w:r w:rsidRPr="0014142A">
              <w:rPr>
                <w:rFonts w:asciiTheme="minorHAnsi" w:eastAsiaTheme="minorEastAsia" w:hAnsiTheme="minorHAnsi" w:cstheme="minorHAnsi"/>
                <w:szCs w:val="20"/>
                <w:lang w:val="en-US"/>
              </w:rPr>
              <w:tab/>
            </w:r>
            <w:r w:rsidRPr="0014142A">
              <w:rPr>
                <w:rStyle w:val="Hyperlink"/>
                <w:rFonts w:asciiTheme="minorHAnsi" w:hAnsiTheme="minorHAnsi" w:cstheme="minorHAnsi"/>
                <w:szCs w:val="20"/>
                <w:lang w:eastAsia="ro-RO"/>
              </w:rPr>
              <w:t>Sărăcie</w:t>
            </w:r>
            <w:r w:rsidRPr="0014142A">
              <w:rPr>
                <w:rFonts w:asciiTheme="minorHAnsi" w:hAnsiTheme="minorHAnsi" w:cstheme="minorHAnsi"/>
                <w:webHidden/>
                <w:szCs w:val="20"/>
              </w:rPr>
              <w:tab/>
            </w:r>
            <w:r w:rsidRPr="0014142A">
              <w:rPr>
                <w:rFonts w:asciiTheme="minorHAnsi" w:hAnsiTheme="minorHAnsi" w:cstheme="minorHAnsi"/>
                <w:webHidden/>
                <w:szCs w:val="20"/>
              </w:rPr>
              <w:fldChar w:fldCharType="begin"/>
            </w:r>
            <w:r w:rsidRPr="0014142A">
              <w:rPr>
                <w:rFonts w:asciiTheme="minorHAnsi" w:hAnsiTheme="minorHAnsi" w:cstheme="minorHAnsi"/>
                <w:webHidden/>
                <w:szCs w:val="20"/>
              </w:rPr>
              <w:instrText xml:space="preserve"> PAGEREF _Toc86993583 \h </w:instrText>
            </w:r>
            <w:r w:rsidRPr="0014142A">
              <w:rPr>
                <w:rFonts w:asciiTheme="minorHAnsi" w:hAnsiTheme="minorHAnsi" w:cstheme="minorHAnsi"/>
                <w:webHidden/>
                <w:szCs w:val="20"/>
              </w:rPr>
            </w:r>
            <w:r w:rsidRPr="0014142A">
              <w:rPr>
                <w:rFonts w:asciiTheme="minorHAnsi" w:hAnsiTheme="minorHAnsi" w:cstheme="minorHAnsi"/>
                <w:webHidden/>
                <w:szCs w:val="20"/>
              </w:rPr>
              <w:fldChar w:fldCharType="separate"/>
            </w:r>
            <w:r w:rsidRPr="0014142A">
              <w:rPr>
                <w:rFonts w:asciiTheme="minorHAnsi" w:hAnsiTheme="minorHAnsi" w:cstheme="minorHAnsi"/>
                <w:webHidden/>
                <w:szCs w:val="20"/>
              </w:rPr>
              <w:t>5</w:t>
            </w:r>
            <w:r w:rsidRPr="0014142A">
              <w:rPr>
                <w:rFonts w:asciiTheme="minorHAnsi" w:hAnsiTheme="minorHAnsi" w:cstheme="minorHAnsi"/>
                <w:webHidden/>
                <w:szCs w:val="20"/>
              </w:rPr>
              <w:fldChar w:fldCharType="end"/>
            </w:r>
          </w:hyperlink>
        </w:p>
        <w:p w14:paraId="6A28D2C8" w14:textId="2DDC7B47" w:rsidR="0014142A" w:rsidRPr="0014142A" w:rsidRDefault="0014142A">
          <w:pPr>
            <w:pStyle w:val="TOC3"/>
            <w:tabs>
              <w:tab w:val="left" w:pos="1100"/>
              <w:tab w:val="right" w:leader="dot" w:pos="9016"/>
            </w:tabs>
            <w:rPr>
              <w:rFonts w:eastAsiaTheme="minorEastAsia"/>
              <w:noProof/>
              <w:lang w:val="en-US"/>
            </w:rPr>
          </w:pPr>
          <w:hyperlink w:anchor="_Toc86993584" w:history="1">
            <w:r w:rsidRPr="0014142A">
              <w:rPr>
                <w:rStyle w:val="Hyperlink"/>
                <w:noProof/>
                <w:lang w:eastAsia="ro-RO"/>
              </w:rPr>
              <w:t>2.1.1</w:t>
            </w:r>
            <w:r w:rsidRPr="0014142A">
              <w:rPr>
                <w:rFonts w:eastAsiaTheme="minorEastAsia"/>
                <w:noProof/>
                <w:lang w:val="en-US"/>
              </w:rPr>
              <w:tab/>
            </w:r>
            <w:r w:rsidRPr="0014142A">
              <w:rPr>
                <w:rStyle w:val="Hyperlink"/>
                <w:noProof/>
                <w:lang w:eastAsia="ro-RO"/>
              </w:rPr>
              <w:t>Rata riscului de sărăcie și excluziune socială</w:t>
            </w:r>
            <w:r w:rsidRPr="0014142A">
              <w:rPr>
                <w:noProof/>
                <w:webHidden/>
              </w:rPr>
              <w:tab/>
            </w:r>
            <w:r w:rsidRPr="0014142A">
              <w:rPr>
                <w:noProof/>
                <w:webHidden/>
              </w:rPr>
              <w:fldChar w:fldCharType="begin"/>
            </w:r>
            <w:r w:rsidRPr="0014142A">
              <w:rPr>
                <w:noProof/>
                <w:webHidden/>
              </w:rPr>
              <w:instrText xml:space="preserve"> PAGEREF _Toc86993584 \h </w:instrText>
            </w:r>
            <w:r w:rsidRPr="0014142A">
              <w:rPr>
                <w:noProof/>
                <w:webHidden/>
              </w:rPr>
            </w:r>
            <w:r w:rsidRPr="0014142A">
              <w:rPr>
                <w:noProof/>
                <w:webHidden/>
              </w:rPr>
              <w:fldChar w:fldCharType="separate"/>
            </w:r>
            <w:r w:rsidRPr="0014142A">
              <w:rPr>
                <w:noProof/>
                <w:webHidden/>
              </w:rPr>
              <w:t>5</w:t>
            </w:r>
            <w:r w:rsidRPr="0014142A">
              <w:rPr>
                <w:noProof/>
                <w:webHidden/>
              </w:rPr>
              <w:fldChar w:fldCharType="end"/>
            </w:r>
          </w:hyperlink>
        </w:p>
        <w:p w14:paraId="3B2B26E9" w14:textId="6DC5882D" w:rsidR="0014142A" w:rsidRPr="0014142A" w:rsidRDefault="0014142A">
          <w:pPr>
            <w:pStyle w:val="TOC3"/>
            <w:tabs>
              <w:tab w:val="left" w:pos="1100"/>
              <w:tab w:val="right" w:leader="dot" w:pos="9016"/>
            </w:tabs>
            <w:rPr>
              <w:rFonts w:eastAsiaTheme="minorEastAsia"/>
              <w:noProof/>
              <w:lang w:val="en-US"/>
            </w:rPr>
          </w:pPr>
          <w:hyperlink w:anchor="_Toc86993585" w:history="1">
            <w:r w:rsidRPr="0014142A">
              <w:rPr>
                <w:rStyle w:val="Hyperlink"/>
                <w:noProof/>
                <w:lang w:eastAsia="ro-RO"/>
              </w:rPr>
              <w:t>2.1.2</w:t>
            </w:r>
            <w:r w:rsidRPr="0014142A">
              <w:rPr>
                <w:rFonts w:eastAsiaTheme="minorEastAsia"/>
                <w:noProof/>
                <w:lang w:val="en-US"/>
              </w:rPr>
              <w:tab/>
            </w:r>
            <w:r w:rsidRPr="0014142A">
              <w:rPr>
                <w:rStyle w:val="Hyperlink"/>
                <w:noProof/>
                <w:lang w:eastAsia="ro-RO"/>
              </w:rPr>
              <w:t>Rata deprivării materiale și sociale severe</w:t>
            </w:r>
            <w:r w:rsidRPr="0014142A">
              <w:rPr>
                <w:noProof/>
                <w:webHidden/>
              </w:rPr>
              <w:tab/>
            </w:r>
            <w:r w:rsidRPr="0014142A">
              <w:rPr>
                <w:noProof/>
                <w:webHidden/>
              </w:rPr>
              <w:fldChar w:fldCharType="begin"/>
            </w:r>
            <w:r w:rsidRPr="0014142A">
              <w:rPr>
                <w:noProof/>
                <w:webHidden/>
              </w:rPr>
              <w:instrText xml:space="preserve"> PAGEREF _Toc86993585 \h </w:instrText>
            </w:r>
            <w:r w:rsidRPr="0014142A">
              <w:rPr>
                <w:noProof/>
                <w:webHidden/>
              </w:rPr>
            </w:r>
            <w:r w:rsidRPr="0014142A">
              <w:rPr>
                <w:noProof/>
                <w:webHidden/>
              </w:rPr>
              <w:fldChar w:fldCharType="separate"/>
            </w:r>
            <w:r w:rsidRPr="0014142A">
              <w:rPr>
                <w:noProof/>
                <w:webHidden/>
              </w:rPr>
              <w:t>7</w:t>
            </w:r>
            <w:r w:rsidRPr="0014142A">
              <w:rPr>
                <w:noProof/>
                <w:webHidden/>
              </w:rPr>
              <w:fldChar w:fldCharType="end"/>
            </w:r>
          </w:hyperlink>
        </w:p>
        <w:p w14:paraId="018093D6" w14:textId="13072447" w:rsidR="0014142A" w:rsidRPr="0014142A" w:rsidRDefault="0014142A">
          <w:pPr>
            <w:pStyle w:val="TOC2"/>
            <w:rPr>
              <w:rFonts w:asciiTheme="minorHAnsi" w:eastAsiaTheme="minorEastAsia" w:hAnsiTheme="minorHAnsi" w:cstheme="minorHAnsi"/>
              <w:szCs w:val="20"/>
              <w:lang w:val="en-US"/>
            </w:rPr>
          </w:pPr>
          <w:hyperlink w:anchor="_Toc86993586" w:history="1">
            <w:r w:rsidRPr="0014142A">
              <w:rPr>
                <w:rStyle w:val="Hyperlink"/>
                <w:rFonts w:asciiTheme="minorHAnsi" w:hAnsiTheme="minorHAnsi" w:cstheme="minorHAnsi"/>
                <w:szCs w:val="20"/>
                <w:lang w:eastAsia="ro-RO"/>
              </w:rPr>
              <w:t>2.2.</w:t>
            </w:r>
            <w:r w:rsidRPr="0014142A">
              <w:rPr>
                <w:rFonts w:asciiTheme="minorHAnsi" w:eastAsiaTheme="minorEastAsia" w:hAnsiTheme="minorHAnsi" w:cstheme="minorHAnsi"/>
                <w:szCs w:val="20"/>
                <w:lang w:val="en-US"/>
              </w:rPr>
              <w:tab/>
            </w:r>
            <w:r w:rsidRPr="0014142A">
              <w:rPr>
                <w:rStyle w:val="Hyperlink"/>
                <w:rFonts w:asciiTheme="minorHAnsi" w:hAnsiTheme="minorHAnsi" w:cstheme="minorHAnsi"/>
                <w:szCs w:val="20"/>
                <w:lang w:eastAsia="ro-RO"/>
              </w:rPr>
              <w:t>Persoane fără adăpost</w:t>
            </w:r>
            <w:r w:rsidRPr="0014142A">
              <w:rPr>
                <w:rFonts w:asciiTheme="minorHAnsi" w:hAnsiTheme="minorHAnsi" w:cstheme="minorHAnsi"/>
                <w:webHidden/>
                <w:szCs w:val="20"/>
              </w:rPr>
              <w:tab/>
            </w:r>
            <w:r w:rsidRPr="0014142A">
              <w:rPr>
                <w:rFonts w:asciiTheme="minorHAnsi" w:hAnsiTheme="minorHAnsi" w:cstheme="minorHAnsi"/>
                <w:webHidden/>
                <w:szCs w:val="20"/>
              </w:rPr>
              <w:fldChar w:fldCharType="begin"/>
            </w:r>
            <w:r w:rsidRPr="0014142A">
              <w:rPr>
                <w:rFonts w:asciiTheme="minorHAnsi" w:hAnsiTheme="minorHAnsi" w:cstheme="minorHAnsi"/>
                <w:webHidden/>
                <w:szCs w:val="20"/>
              </w:rPr>
              <w:instrText xml:space="preserve"> PAGEREF _Toc86993586 \h </w:instrText>
            </w:r>
            <w:r w:rsidRPr="0014142A">
              <w:rPr>
                <w:rFonts w:asciiTheme="minorHAnsi" w:hAnsiTheme="minorHAnsi" w:cstheme="minorHAnsi"/>
                <w:webHidden/>
                <w:szCs w:val="20"/>
              </w:rPr>
            </w:r>
            <w:r w:rsidRPr="0014142A">
              <w:rPr>
                <w:rFonts w:asciiTheme="minorHAnsi" w:hAnsiTheme="minorHAnsi" w:cstheme="minorHAnsi"/>
                <w:webHidden/>
                <w:szCs w:val="20"/>
              </w:rPr>
              <w:fldChar w:fldCharType="separate"/>
            </w:r>
            <w:r w:rsidRPr="0014142A">
              <w:rPr>
                <w:rFonts w:asciiTheme="minorHAnsi" w:hAnsiTheme="minorHAnsi" w:cstheme="minorHAnsi"/>
                <w:webHidden/>
                <w:szCs w:val="20"/>
              </w:rPr>
              <w:t>10</w:t>
            </w:r>
            <w:r w:rsidRPr="0014142A">
              <w:rPr>
                <w:rFonts w:asciiTheme="minorHAnsi" w:hAnsiTheme="minorHAnsi" w:cstheme="minorHAnsi"/>
                <w:webHidden/>
                <w:szCs w:val="20"/>
              </w:rPr>
              <w:fldChar w:fldCharType="end"/>
            </w:r>
          </w:hyperlink>
        </w:p>
        <w:p w14:paraId="3CB42E64" w14:textId="42BBBAFB" w:rsidR="0014142A" w:rsidRPr="0014142A" w:rsidRDefault="0014142A">
          <w:pPr>
            <w:pStyle w:val="TOC2"/>
            <w:rPr>
              <w:rFonts w:asciiTheme="minorHAnsi" w:eastAsiaTheme="minorEastAsia" w:hAnsiTheme="minorHAnsi" w:cstheme="minorHAnsi"/>
              <w:szCs w:val="20"/>
              <w:lang w:val="en-US"/>
            </w:rPr>
          </w:pPr>
          <w:hyperlink w:anchor="_Toc86993587" w:history="1">
            <w:r w:rsidRPr="0014142A">
              <w:rPr>
                <w:rStyle w:val="Hyperlink"/>
                <w:rFonts w:asciiTheme="minorHAnsi" w:hAnsiTheme="minorHAnsi" w:cstheme="minorHAnsi"/>
                <w:szCs w:val="20"/>
                <w:lang w:eastAsia="ro-RO"/>
              </w:rPr>
              <w:t>2.3.</w:t>
            </w:r>
            <w:r w:rsidRPr="0014142A">
              <w:rPr>
                <w:rFonts w:asciiTheme="minorHAnsi" w:eastAsiaTheme="minorEastAsia" w:hAnsiTheme="minorHAnsi" w:cstheme="minorHAnsi"/>
                <w:szCs w:val="20"/>
                <w:lang w:val="en-US"/>
              </w:rPr>
              <w:tab/>
            </w:r>
            <w:r w:rsidRPr="0014142A">
              <w:rPr>
                <w:rStyle w:val="Hyperlink"/>
                <w:rFonts w:asciiTheme="minorHAnsi" w:hAnsiTheme="minorHAnsi" w:cstheme="minorHAnsi"/>
                <w:szCs w:val="20"/>
                <w:lang w:eastAsia="ro-RO"/>
              </w:rPr>
              <w:t>Victime ale violenței domestice</w:t>
            </w:r>
            <w:r w:rsidRPr="0014142A">
              <w:rPr>
                <w:rFonts w:asciiTheme="minorHAnsi" w:hAnsiTheme="minorHAnsi" w:cstheme="minorHAnsi"/>
                <w:webHidden/>
                <w:szCs w:val="20"/>
              </w:rPr>
              <w:tab/>
            </w:r>
            <w:r w:rsidRPr="0014142A">
              <w:rPr>
                <w:rFonts w:asciiTheme="minorHAnsi" w:hAnsiTheme="minorHAnsi" w:cstheme="minorHAnsi"/>
                <w:webHidden/>
                <w:szCs w:val="20"/>
              </w:rPr>
              <w:fldChar w:fldCharType="begin"/>
            </w:r>
            <w:r w:rsidRPr="0014142A">
              <w:rPr>
                <w:rFonts w:asciiTheme="minorHAnsi" w:hAnsiTheme="minorHAnsi" w:cstheme="minorHAnsi"/>
                <w:webHidden/>
                <w:szCs w:val="20"/>
              </w:rPr>
              <w:instrText xml:space="preserve"> PAGEREF _Toc86993587 \h </w:instrText>
            </w:r>
            <w:r w:rsidRPr="0014142A">
              <w:rPr>
                <w:rFonts w:asciiTheme="minorHAnsi" w:hAnsiTheme="minorHAnsi" w:cstheme="minorHAnsi"/>
                <w:webHidden/>
                <w:szCs w:val="20"/>
              </w:rPr>
            </w:r>
            <w:r w:rsidRPr="0014142A">
              <w:rPr>
                <w:rFonts w:asciiTheme="minorHAnsi" w:hAnsiTheme="minorHAnsi" w:cstheme="minorHAnsi"/>
                <w:webHidden/>
                <w:szCs w:val="20"/>
              </w:rPr>
              <w:fldChar w:fldCharType="separate"/>
            </w:r>
            <w:r w:rsidRPr="0014142A">
              <w:rPr>
                <w:rFonts w:asciiTheme="minorHAnsi" w:hAnsiTheme="minorHAnsi" w:cstheme="minorHAnsi"/>
                <w:webHidden/>
                <w:szCs w:val="20"/>
              </w:rPr>
              <w:t>10</w:t>
            </w:r>
            <w:r w:rsidRPr="0014142A">
              <w:rPr>
                <w:rFonts w:asciiTheme="minorHAnsi" w:hAnsiTheme="minorHAnsi" w:cstheme="minorHAnsi"/>
                <w:webHidden/>
                <w:szCs w:val="20"/>
              </w:rPr>
              <w:fldChar w:fldCharType="end"/>
            </w:r>
          </w:hyperlink>
        </w:p>
        <w:p w14:paraId="67648E44" w14:textId="17FA05A8" w:rsidR="0014142A" w:rsidRPr="0014142A" w:rsidRDefault="0014142A">
          <w:pPr>
            <w:pStyle w:val="TOC2"/>
            <w:rPr>
              <w:rFonts w:asciiTheme="minorHAnsi" w:eastAsiaTheme="minorEastAsia" w:hAnsiTheme="minorHAnsi" w:cstheme="minorHAnsi"/>
              <w:szCs w:val="20"/>
              <w:lang w:val="en-US"/>
            </w:rPr>
          </w:pPr>
          <w:hyperlink w:anchor="_Toc86993588" w:history="1">
            <w:r w:rsidRPr="0014142A">
              <w:rPr>
                <w:rStyle w:val="Hyperlink"/>
                <w:rFonts w:asciiTheme="minorHAnsi" w:hAnsiTheme="minorHAnsi" w:cstheme="minorHAnsi"/>
                <w:szCs w:val="20"/>
                <w:lang w:eastAsia="ro-RO"/>
              </w:rPr>
              <w:t>2.4.</w:t>
            </w:r>
            <w:r w:rsidRPr="0014142A">
              <w:rPr>
                <w:rFonts w:asciiTheme="minorHAnsi" w:eastAsiaTheme="minorEastAsia" w:hAnsiTheme="minorHAnsi" w:cstheme="minorHAnsi"/>
                <w:szCs w:val="20"/>
                <w:lang w:val="en-US"/>
              </w:rPr>
              <w:tab/>
            </w:r>
            <w:r w:rsidRPr="0014142A">
              <w:rPr>
                <w:rStyle w:val="Hyperlink"/>
                <w:rFonts w:asciiTheme="minorHAnsi" w:hAnsiTheme="minorHAnsi" w:cstheme="minorHAnsi"/>
                <w:szCs w:val="20"/>
                <w:lang w:eastAsia="ro-RO"/>
              </w:rPr>
              <w:t>Victime ale traficului de ființe umane</w:t>
            </w:r>
            <w:r w:rsidRPr="0014142A">
              <w:rPr>
                <w:rFonts w:asciiTheme="minorHAnsi" w:hAnsiTheme="minorHAnsi" w:cstheme="minorHAnsi"/>
                <w:webHidden/>
                <w:szCs w:val="20"/>
              </w:rPr>
              <w:tab/>
            </w:r>
            <w:r w:rsidRPr="0014142A">
              <w:rPr>
                <w:rFonts w:asciiTheme="minorHAnsi" w:hAnsiTheme="minorHAnsi" w:cstheme="minorHAnsi"/>
                <w:webHidden/>
                <w:szCs w:val="20"/>
              </w:rPr>
              <w:fldChar w:fldCharType="begin"/>
            </w:r>
            <w:r w:rsidRPr="0014142A">
              <w:rPr>
                <w:rFonts w:asciiTheme="minorHAnsi" w:hAnsiTheme="minorHAnsi" w:cstheme="minorHAnsi"/>
                <w:webHidden/>
                <w:szCs w:val="20"/>
              </w:rPr>
              <w:instrText xml:space="preserve"> PAGEREF _Toc86993588 \h </w:instrText>
            </w:r>
            <w:r w:rsidRPr="0014142A">
              <w:rPr>
                <w:rFonts w:asciiTheme="minorHAnsi" w:hAnsiTheme="minorHAnsi" w:cstheme="minorHAnsi"/>
                <w:webHidden/>
                <w:szCs w:val="20"/>
              </w:rPr>
            </w:r>
            <w:r w:rsidRPr="0014142A">
              <w:rPr>
                <w:rFonts w:asciiTheme="minorHAnsi" w:hAnsiTheme="minorHAnsi" w:cstheme="minorHAnsi"/>
                <w:webHidden/>
                <w:szCs w:val="20"/>
              </w:rPr>
              <w:fldChar w:fldCharType="separate"/>
            </w:r>
            <w:r w:rsidRPr="0014142A">
              <w:rPr>
                <w:rFonts w:asciiTheme="minorHAnsi" w:hAnsiTheme="minorHAnsi" w:cstheme="minorHAnsi"/>
                <w:webHidden/>
                <w:szCs w:val="20"/>
              </w:rPr>
              <w:t>10</w:t>
            </w:r>
            <w:r w:rsidRPr="0014142A">
              <w:rPr>
                <w:rFonts w:asciiTheme="minorHAnsi" w:hAnsiTheme="minorHAnsi" w:cstheme="minorHAnsi"/>
                <w:webHidden/>
                <w:szCs w:val="20"/>
              </w:rPr>
              <w:fldChar w:fldCharType="end"/>
            </w:r>
          </w:hyperlink>
        </w:p>
        <w:p w14:paraId="17B2A723" w14:textId="6BE722D2" w:rsidR="0014142A" w:rsidRPr="0014142A" w:rsidRDefault="0014142A">
          <w:pPr>
            <w:pStyle w:val="TOC1"/>
            <w:tabs>
              <w:tab w:val="left" w:pos="440"/>
              <w:tab w:val="right" w:leader="dot" w:pos="9016"/>
            </w:tabs>
            <w:rPr>
              <w:rFonts w:eastAsiaTheme="minorEastAsia"/>
              <w:b w:val="0"/>
              <w:bCs w:val="0"/>
              <w:i w:val="0"/>
              <w:iCs w:val="0"/>
              <w:noProof/>
              <w:sz w:val="20"/>
              <w:szCs w:val="20"/>
              <w:lang w:val="en-US"/>
            </w:rPr>
          </w:pPr>
          <w:hyperlink w:anchor="_Toc86993589" w:history="1">
            <w:r w:rsidRPr="0014142A">
              <w:rPr>
                <w:rStyle w:val="Hyperlink"/>
                <w:rFonts w:eastAsia="Times New Roman"/>
                <w:b w:val="0"/>
                <w:bCs w:val="0"/>
                <w:noProof/>
                <w:sz w:val="20"/>
                <w:szCs w:val="20"/>
                <w:lang w:eastAsia="ro-RO"/>
              </w:rPr>
              <w:t>3.</w:t>
            </w:r>
            <w:r w:rsidRPr="0014142A">
              <w:rPr>
                <w:rFonts w:eastAsiaTheme="minorEastAsia"/>
                <w:b w:val="0"/>
                <w:bCs w:val="0"/>
                <w:i w:val="0"/>
                <w:iCs w:val="0"/>
                <w:noProof/>
                <w:sz w:val="20"/>
                <w:szCs w:val="20"/>
                <w:lang w:val="en-US"/>
              </w:rPr>
              <w:tab/>
            </w:r>
            <w:r w:rsidRPr="0014142A">
              <w:rPr>
                <w:rStyle w:val="Hyperlink"/>
                <w:rFonts w:eastAsia="Times New Roman"/>
                <w:b w:val="0"/>
                <w:bCs w:val="0"/>
                <w:noProof/>
                <w:sz w:val="20"/>
                <w:szCs w:val="20"/>
                <w:lang w:eastAsia="ro-RO"/>
              </w:rPr>
              <w:t>ACCESUL LA SERVICII SOCIALE, MEDICALE, SOCIO-PROFESIONALE, GRUPURI SUPORT ETC.</w:t>
            </w:r>
            <w:r w:rsidRPr="0014142A">
              <w:rPr>
                <w:b w:val="0"/>
                <w:bCs w:val="0"/>
                <w:noProof/>
                <w:webHidden/>
                <w:sz w:val="20"/>
                <w:szCs w:val="20"/>
              </w:rPr>
              <w:tab/>
            </w:r>
            <w:r w:rsidRPr="0014142A">
              <w:rPr>
                <w:b w:val="0"/>
                <w:bCs w:val="0"/>
                <w:noProof/>
                <w:webHidden/>
                <w:sz w:val="20"/>
                <w:szCs w:val="20"/>
              </w:rPr>
              <w:fldChar w:fldCharType="begin"/>
            </w:r>
            <w:r w:rsidRPr="0014142A">
              <w:rPr>
                <w:b w:val="0"/>
                <w:bCs w:val="0"/>
                <w:noProof/>
                <w:webHidden/>
                <w:sz w:val="20"/>
                <w:szCs w:val="20"/>
              </w:rPr>
              <w:instrText xml:space="preserve"> PAGEREF _Toc86993589 \h </w:instrText>
            </w:r>
            <w:r w:rsidRPr="0014142A">
              <w:rPr>
                <w:b w:val="0"/>
                <w:bCs w:val="0"/>
                <w:noProof/>
                <w:webHidden/>
                <w:sz w:val="20"/>
                <w:szCs w:val="20"/>
              </w:rPr>
            </w:r>
            <w:r w:rsidRPr="0014142A">
              <w:rPr>
                <w:b w:val="0"/>
                <w:bCs w:val="0"/>
                <w:noProof/>
                <w:webHidden/>
                <w:sz w:val="20"/>
                <w:szCs w:val="20"/>
              </w:rPr>
              <w:fldChar w:fldCharType="separate"/>
            </w:r>
            <w:r w:rsidRPr="0014142A">
              <w:rPr>
                <w:b w:val="0"/>
                <w:bCs w:val="0"/>
                <w:noProof/>
                <w:webHidden/>
                <w:sz w:val="20"/>
                <w:szCs w:val="20"/>
              </w:rPr>
              <w:t>11</w:t>
            </w:r>
            <w:r w:rsidRPr="0014142A">
              <w:rPr>
                <w:b w:val="0"/>
                <w:bCs w:val="0"/>
                <w:noProof/>
                <w:webHidden/>
                <w:sz w:val="20"/>
                <w:szCs w:val="20"/>
              </w:rPr>
              <w:fldChar w:fldCharType="end"/>
            </w:r>
          </w:hyperlink>
        </w:p>
        <w:p w14:paraId="3BC2BACA" w14:textId="78DDD9F6" w:rsidR="0014142A" w:rsidRPr="0014142A" w:rsidRDefault="0014142A">
          <w:pPr>
            <w:pStyle w:val="TOC2"/>
            <w:rPr>
              <w:rFonts w:asciiTheme="minorHAnsi" w:eastAsiaTheme="minorEastAsia" w:hAnsiTheme="minorHAnsi" w:cstheme="minorHAnsi"/>
              <w:szCs w:val="20"/>
              <w:lang w:val="en-US"/>
            </w:rPr>
          </w:pPr>
          <w:hyperlink w:anchor="_Toc86993590" w:history="1">
            <w:r w:rsidRPr="0014142A">
              <w:rPr>
                <w:rStyle w:val="Hyperlink"/>
                <w:rFonts w:asciiTheme="minorHAnsi" w:hAnsiTheme="minorHAnsi" w:cstheme="minorHAnsi"/>
                <w:szCs w:val="20"/>
                <w:lang w:eastAsia="ro-RO"/>
              </w:rPr>
              <w:t>3.1.</w:t>
            </w:r>
            <w:r w:rsidRPr="0014142A">
              <w:rPr>
                <w:rFonts w:asciiTheme="minorHAnsi" w:eastAsiaTheme="minorEastAsia" w:hAnsiTheme="minorHAnsi" w:cstheme="minorHAnsi"/>
                <w:szCs w:val="20"/>
                <w:lang w:val="en-US"/>
              </w:rPr>
              <w:tab/>
            </w:r>
            <w:r w:rsidRPr="0014142A">
              <w:rPr>
                <w:rStyle w:val="Hyperlink"/>
                <w:rFonts w:asciiTheme="minorHAnsi" w:hAnsiTheme="minorHAnsi" w:cstheme="minorHAnsi"/>
                <w:szCs w:val="20"/>
                <w:lang w:eastAsia="ro-RO"/>
              </w:rPr>
              <w:t>Servicii sociale pentru persoane vârstnice</w:t>
            </w:r>
            <w:r w:rsidRPr="0014142A">
              <w:rPr>
                <w:rFonts w:asciiTheme="minorHAnsi" w:hAnsiTheme="minorHAnsi" w:cstheme="minorHAnsi"/>
                <w:webHidden/>
                <w:szCs w:val="20"/>
              </w:rPr>
              <w:tab/>
            </w:r>
            <w:r w:rsidRPr="0014142A">
              <w:rPr>
                <w:rFonts w:asciiTheme="minorHAnsi" w:hAnsiTheme="minorHAnsi" w:cstheme="minorHAnsi"/>
                <w:webHidden/>
                <w:szCs w:val="20"/>
              </w:rPr>
              <w:fldChar w:fldCharType="begin"/>
            </w:r>
            <w:r w:rsidRPr="0014142A">
              <w:rPr>
                <w:rFonts w:asciiTheme="minorHAnsi" w:hAnsiTheme="minorHAnsi" w:cstheme="minorHAnsi"/>
                <w:webHidden/>
                <w:szCs w:val="20"/>
              </w:rPr>
              <w:instrText xml:space="preserve"> PAGEREF _Toc86993590 \h </w:instrText>
            </w:r>
            <w:r w:rsidRPr="0014142A">
              <w:rPr>
                <w:rFonts w:asciiTheme="minorHAnsi" w:hAnsiTheme="minorHAnsi" w:cstheme="minorHAnsi"/>
                <w:webHidden/>
                <w:szCs w:val="20"/>
              </w:rPr>
            </w:r>
            <w:r w:rsidRPr="0014142A">
              <w:rPr>
                <w:rFonts w:asciiTheme="minorHAnsi" w:hAnsiTheme="minorHAnsi" w:cstheme="minorHAnsi"/>
                <w:webHidden/>
                <w:szCs w:val="20"/>
              </w:rPr>
              <w:fldChar w:fldCharType="separate"/>
            </w:r>
            <w:r w:rsidRPr="0014142A">
              <w:rPr>
                <w:rFonts w:asciiTheme="minorHAnsi" w:hAnsiTheme="minorHAnsi" w:cstheme="minorHAnsi"/>
                <w:webHidden/>
                <w:szCs w:val="20"/>
              </w:rPr>
              <w:t>13</w:t>
            </w:r>
            <w:r w:rsidRPr="0014142A">
              <w:rPr>
                <w:rFonts w:asciiTheme="minorHAnsi" w:hAnsiTheme="minorHAnsi" w:cstheme="minorHAnsi"/>
                <w:webHidden/>
                <w:szCs w:val="20"/>
              </w:rPr>
              <w:fldChar w:fldCharType="end"/>
            </w:r>
          </w:hyperlink>
        </w:p>
        <w:p w14:paraId="38849F64" w14:textId="1A35D384" w:rsidR="0014142A" w:rsidRPr="0014142A" w:rsidRDefault="0014142A">
          <w:pPr>
            <w:pStyle w:val="TOC2"/>
            <w:rPr>
              <w:rFonts w:asciiTheme="minorHAnsi" w:eastAsiaTheme="minorEastAsia" w:hAnsiTheme="minorHAnsi" w:cstheme="minorHAnsi"/>
              <w:szCs w:val="20"/>
              <w:lang w:val="en-US"/>
            </w:rPr>
          </w:pPr>
          <w:hyperlink w:anchor="_Toc86993591" w:history="1">
            <w:r w:rsidRPr="0014142A">
              <w:rPr>
                <w:rStyle w:val="Hyperlink"/>
                <w:rFonts w:asciiTheme="minorHAnsi" w:hAnsiTheme="minorHAnsi" w:cstheme="minorHAnsi"/>
                <w:szCs w:val="20"/>
              </w:rPr>
              <w:t>3.2.</w:t>
            </w:r>
            <w:r w:rsidRPr="0014142A">
              <w:rPr>
                <w:rFonts w:asciiTheme="minorHAnsi" w:eastAsiaTheme="minorEastAsia" w:hAnsiTheme="minorHAnsi" w:cstheme="minorHAnsi"/>
                <w:szCs w:val="20"/>
                <w:lang w:val="en-US"/>
              </w:rPr>
              <w:tab/>
            </w:r>
            <w:r w:rsidRPr="0014142A">
              <w:rPr>
                <w:rStyle w:val="Hyperlink"/>
                <w:rFonts w:asciiTheme="minorHAnsi" w:hAnsiTheme="minorHAnsi" w:cstheme="minorHAnsi"/>
                <w:szCs w:val="20"/>
              </w:rPr>
              <w:t>Percepții privind viața sănătoasă</w:t>
            </w:r>
            <w:r w:rsidRPr="0014142A">
              <w:rPr>
                <w:rFonts w:asciiTheme="minorHAnsi" w:hAnsiTheme="minorHAnsi" w:cstheme="minorHAnsi"/>
                <w:webHidden/>
                <w:szCs w:val="20"/>
              </w:rPr>
              <w:tab/>
            </w:r>
            <w:r w:rsidRPr="0014142A">
              <w:rPr>
                <w:rFonts w:asciiTheme="minorHAnsi" w:hAnsiTheme="minorHAnsi" w:cstheme="minorHAnsi"/>
                <w:webHidden/>
                <w:szCs w:val="20"/>
              </w:rPr>
              <w:fldChar w:fldCharType="begin"/>
            </w:r>
            <w:r w:rsidRPr="0014142A">
              <w:rPr>
                <w:rFonts w:asciiTheme="minorHAnsi" w:hAnsiTheme="minorHAnsi" w:cstheme="minorHAnsi"/>
                <w:webHidden/>
                <w:szCs w:val="20"/>
              </w:rPr>
              <w:instrText xml:space="preserve"> PAGEREF _Toc86993591 \h </w:instrText>
            </w:r>
            <w:r w:rsidRPr="0014142A">
              <w:rPr>
                <w:rFonts w:asciiTheme="minorHAnsi" w:hAnsiTheme="minorHAnsi" w:cstheme="minorHAnsi"/>
                <w:webHidden/>
                <w:szCs w:val="20"/>
              </w:rPr>
            </w:r>
            <w:r w:rsidRPr="0014142A">
              <w:rPr>
                <w:rFonts w:asciiTheme="minorHAnsi" w:hAnsiTheme="minorHAnsi" w:cstheme="minorHAnsi"/>
                <w:webHidden/>
                <w:szCs w:val="20"/>
              </w:rPr>
              <w:fldChar w:fldCharType="separate"/>
            </w:r>
            <w:r w:rsidRPr="0014142A">
              <w:rPr>
                <w:rFonts w:asciiTheme="minorHAnsi" w:hAnsiTheme="minorHAnsi" w:cstheme="minorHAnsi"/>
                <w:webHidden/>
                <w:szCs w:val="20"/>
              </w:rPr>
              <w:t>13</w:t>
            </w:r>
            <w:r w:rsidRPr="0014142A">
              <w:rPr>
                <w:rFonts w:asciiTheme="minorHAnsi" w:hAnsiTheme="minorHAnsi" w:cstheme="minorHAnsi"/>
                <w:webHidden/>
                <w:szCs w:val="20"/>
              </w:rPr>
              <w:fldChar w:fldCharType="end"/>
            </w:r>
          </w:hyperlink>
        </w:p>
        <w:p w14:paraId="52E38828" w14:textId="3E04A107" w:rsidR="0014142A" w:rsidRPr="0014142A" w:rsidRDefault="0014142A">
          <w:pPr>
            <w:pStyle w:val="TOC1"/>
            <w:tabs>
              <w:tab w:val="left" w:pos="440"/>
              <w:tab w:val="right" w:leader="dot" w:pos="9016"/>
            </w:tabs>
            <w:rPr>
              <w:rFonts w:eastAsiaTheme="minorEastAsia"/>
              <w:b w:val="0"/>
              <w:bCs w:val="0"/>
              <w:i w:val="0"/>
              <w:iCs w:val="0"/>
              <w:noProof/>
              <w:sz w:val="20"/>
              <w:szCs w:val="20"/>
              <w:lang w:val="en-US"/>
            </w:rPr>
          </w:pPr>
          <w:hyperlink w:anchor="_Toc86993592" w:history="1">
            <w:r w:rsidRPr="0014142A">
              <w:rPr>
                <w:rStyle w:val="Hyperlink"/>
                <w:rFonts w:eastAsia="Times New Roman"/>
                <w:b w:val="0"/>
                <w:bCs w:val="0"/>
                <w:noProof/>
                <w:sz w:val="20"/>
                <w:szCs w:val="20"/>
                <w:lang w:eastAsia="ro-RO"/>
              </w:rPr>
              <w:t>4.</w:t>
            </w:r>
            <w:r w:rsidRPr="0014142A">
              <w:rPr>
                <w:rFonts w:eastAsiaTheme="minorEastAsia"/>
                <w:b w:val="0"/>
                <w:bCs w:val="0"/>
                <w:i w:val="0"/>
                <w:iCs w:val="0"/>
                <w:noProof/>
                <w:sz w:val="20"/>
                <w:szCs w:val="20"/>
                <w:lang w:val="en-US"/>
              </w:rPr>
              <w:tab/>
            </w:r>
            <w:r w:rsidRPr="0014142A">
              <w:rPr>
                <w:rStyle w:val="Hyperlink"/>
                <w:rFonts w:eastAsia="Times New Roman"/>
                <w:b w:val="0"/>
                <w:bCs w:val="0"/>
                <w:noProof/>
                <w:sz w:val="20"/>
                <w:szCs w:val="20"/>
                <w:lang w:eastAsia="ro-RO"/>
              </w:rPr>
              <w:t>CADRUL LEGISLATIV</w:t>
            </w:r>
            <w:r w:rsidRPr="0014142A">
              <w:rPr>
                <w:b w:val="0"/>
                <w:bCs w:val="0"/>
                <w:noProof/>
                <w:webHidden/>
                <w:sz w:val="20"/>
                <w:szCs w:val="20"/>
              </w:rPr>
              <w:tab/>
            </w:r>
            <w:r w:rsidRPr="0014142A">
              <w:rPr>
                <w:b w:val="0"/>
                <w:bCs w:val="0"/>
                <w:noProof/>
                <w:webHidden/>
                <w:sz w:val="20"/>
                <w:szCs w:val="20"/>
              </w:rPr>
              <w:fldChar w:fldCharType="begin"/>
            </w:r>
            <w:r w:rsidRPr="0014142A">
              <w:rPr>
                <w:b w:val="0"/>
                <w:bCs w:val="0"/>
                <w:noProof/>
                <w:webHidden/>
                <w:sz w:val="20"/>
                <w:szCs w:val="20"/>
              </w:rPr>
              <w:instrText xml:space="preserve"> PAGEREF _Toc86993592 \h </w:instrText>
            </w:r>
            <w:r w:rsidRPr="0014142A">
              <w:rPr>
                <w:b w:val="0"/>
                <w:bCs w:val="0"/>
                <w:noProof/>
                <w:webHidden/>
                <w:sz w:val="20"/>
                <w:szCs w:val="20"/>
              </w:rPr>
            </w:r>
            <w:r w:rsidRPr="0014142A">
              <w:rPr>
                <w:b w:val="0"/>
                <w:bCs w:val="0"/>
                <w:noProof/>
                <w:webHidden/>
                <w:sz w:val="20"/>
                <w:szCs w:val="20"/>
              </w:rPr>
              <w:fldChar w:fldCharType="separate"/>
            </w:r>
            <w:r w:rsidRPr="0014142A">
              <w:rPr>
                <w:b w:val="0"/>
                <w:bCs w:val="0"/>
                <w:noProof/>
                <w:webHidden/>
                <w:sz w:val="20"/>
                <w:szCs w:val="20"/>
              </w:rPr>
              <w:t>15</w:t>
            </w:r>
            <w:r w:rsidRPr="0014142A">
              <w:rPr>
                <w:b w:val="0"/>
                <w:bCs w:val="0"/>
                <w:noProof/>
                <w:webHidden/>
                <w:sz w:val="20"/>
                <w:szCs w:val="20"/>
              </w:rPr>
              <w:fldChar w:fldCharType="end"/>
            </w:r>
          </w:hyperlink>
        </w:p>
        <w:p w14:paraId="7DEB55A5" w14:textId="633B4E1F" w:rsidR="0014142A" w:rsidRPr="0014142A" w:rsidRDefault="0014142A">
          <w:pPr>
            <w:pStyle w:val="TOC1"/>
            <w:tabs>
              <w:tab w:val="left" w:pos="440"/>
              <w:tab w:val="right" w:leader="dot" w:pos="9016"/>
            </w:tabs>
            <w:rPr>
              <w:rFonts w:eastAsiaTheme="minorEastAsia"/>
              <w:b w:val="0"/>
              <w:bCs w:val="0"/>
              <w:i w:val="0"/>
              <w:iCs w:val="0"/>
              <w:noProof/>
              <w:sz w:val="20"/>
              <w:szCs w:val="20"/>
              <w:lang w:val="en-US"/>
            </w:rPr>
          </w:pPr>
          <w:hyperlink w:anchor="_Toc86993593" w:history="1">
            <w:r w:rsidRPr="0014142A">
              <w:rPr>
                <w:rStyle w:val="Hyperlink"/>
                <w:rFonts w:eastAsia="Times New Roman"/>
                <w:b w:val="0"/>
                <w:bCs w:val="0"/>
                <w:noProof/>
                <w:sz w:val="20"/>
                <w:szCs w:val="20"/>
                <w:lang w:eastAsia="ro-RO"/>
              </w:rPr>
              <w:t>5.</w:t>
            </w:r>
            <w:r w:rsidRPr="0014142A">
              <w:rPr>
                <w:rFonts w:eastAsiaTheme="minorEastAsia"/>
                <w:b w:val="0"/>
                <w:bCs w:val="0"/>
                <w:i w:val="0"/>
                <w:iCs w:val="0"/>
                <w:noProof/>
                <w:sz w:val="20"/>
                <w:szCs w:val="20"/>
                <w:lang w:val="en-US"/>
              </w:rPr>
              <w:tab/>
            </w:r>
            <w:r w:rsidRPr="0014142A">
              <w:rPr>
                <w:rStyle w:val="Hyperlink"/>
                <w:rFonts w:eastAsia="Times New Roman"/>
                <w:b w:val="0"/>
                <w:bCs w:val="0"/>
                <w:noProof/>
                <w:sz w:val="20"/>
                <w:szCs w:val="20"/>
                <w:lang w:eastAsia="ro-RO"/>
              </w:rPr>
              <w:t>BIBLIOGRAFIE</w:t>
            </w:r>
            <w:r w:rsidRPr="0014142A">
              <w:rPr>
                <w:b w:val="0"/>
                <w:bCs w:val="0"/>
                <w:noProof/>
                <w:webHidden/>
                <w:sz w:val="20"/>
                <w:szCs w:val="20"/>
              </w:rPr>
              <w:tab/>
            </w:r>
            <w:r w:rsidRPr="0014142A">
              <w:rPr>
                <w:b w:val="0"/>
                <w:bCs w:val="0"/>
                <w:noProof/>
                <w:webHidden/>
                <w:sz w:val="20"/>
                <w:szCs w:val="20"/>
              </w:rPr>
              <w:fldChar w:fldCharType="begin"/>
            </w:r>
            <w:r w:rsidRPr="0014142A">
              <w:rPr>
                <w:b w:val="0"/>
                <w:bCs w:val="0"/>
                <w:noProof/>
                <w:webHidden/>
                <w:sz w:val="20"/>
                <w:szCs w:val="20"/>
              </w:rPr>
              <w:instrText xml:space="preserve"> PAGEREF _Toc86993593 \h </w:instrText>
            </w:r>
            <w:r w:rsidRPr="0014142A">
              <w:rPr>
                <w:b w:val="0"/>
                <w:bCs w:val="0"/>
                <w:noProof/>
                <w:webHidden/>
                <w:sz w:val="20"/>
                <w:szCs w:val="20"/>
              </w:rPr>
            </w:r>
            <w:r w:rsidRPr="0014142A">
              <w:rPr>
                <w:b w:val="0"/>
                <w:bCs w:val="0"/>
                <w:noProof/>
                <w:webHidden/>
                <w:sz w:val="20"/>
                <w:szCs w:val="20"/>
              </w:rPr>
              <w:fldChar w:fldCharType="separate"/>
            </w:r>
            <w:r w:rsidRPr="0014142A">
              <w:rPr>
                <w:b w:val="0"/>
                <w:bCs w:val="0"/>
                <w:noProof/>
                <w:webHidden/>
                <w:sz w:val="20"/>
                <w:szCs w:val="20"/>
              </w:rPr>
              <w:t>16</w:t>
            </w:r>
            <w:r w:rsidRPr="0014142A">
              <w:rPr>
                <w:b w:val="0"/>
                <w:bCs w:val="0"/>
                <w:noProof/>
                <w:webHidden/>
                <w:sz w:val="20"/>
                <w:szCs w:val="20"/>
              </w:rPr>
              <w:fldChar w:fldCharType="end"/>
            </w:r>
          </w:hyperlink>
        </w:p>
        <w:p w14:paraId="6287C835" w14:textId="4841A974" w:rsidR="00A94BEE" w:rsidRPr="009439F5" w:rsidRDefault="00A94BEE" w:rsidP="009439F5">
          <w:pPr>
            <w:spacing w:before="120" w:after="120" w:line="259" w:lineRule="auto"/>
            <w:rPr>
              <w:rFonts w:ascii="Calibri" w:hAnsi="Calibri" w:cs="Calibri"/>
              <w:b/>
            </w:rPr>
          </w:pPr>
          <w:r w:rsidRPr="00FF74C0">
            <w:rPr>
              <w:rFonts w:ascii="Calibri" w:hAnsi="Calibri" w:cs="Calibri"/>
              <w:b/>
              <w:bCs/>
            </w:rPr>
            <w:fldChar w:fldCharType="end"/>
          </w:r>
        </w:p>
      </w:sdtContent>
    </w:sdt>
    <w:p w14:paraId="2754D379" w14:textId="77777777" w:rsidR="00AC3202" w:rsidRPr="00FF74C0" w:rsidRDefault="00AC3202" w:rsidP="00AC3202">
      <w:pPr>
        <w:spacing w:after="0" w:line="240" w:lineRule="auto"/>
        <w:rPr>
          <w:rFonts w:ascii="Calibri" w:hAnsi="Calibri" w:cs="Calibri"/>
          <w:b/>
          <w:color w:val="000000"/>
          <w:sz w:val="28"/>
        </w:rPr>
      </w:pPr>
      <w:r w:rsidRPr="00A56515">
        <w:rPr>
          <w:rFonts w:ascii="Calibri" w:hAnsi="Calibri"/>
          <w:b/>
          <w:color w:val="00ABC0" w:themeColor="accent2"/>
        </w:rPr>
        <w:t>Lista tabelelor</w:t>
      </w:r>
    </w:p>
    <w:p w14:paraId="7FDF24AC" w14:textId="187F8D35" w:rsidR="0014142A" w:rsidRDefault="002830EB">
      <w:pPr>
        <w:pStyle w:val="TableofFigures"/>
        <w:tabs>
          <w:tab w:val="right" w:leader="dot" w:pos="9016"/>
        </w:tabs>
        <w:rPr>
          <w:rFonts w:eastAsiaTheme="minorEastAsia"/>
          <w:noProof/>
          <w:sz w:val="22"/>
          <w:lang w:val="en-US"/>
        </w:rPr>
      </w:pPr>
      <w:r>
        <w:rPr>
          <w:rFonts w:ascii="Calibri" w:hAnsi="Calibri" w:cs="Calibri"/>
          <w:b/>
          <w:color w:val="000000"/>
          <w:sz w:val="28"/>
        </w:rPr>
        <w:fldChar w:fldCharType="begin"/>
      </w:r>
      <w:r>
        <w:rPr>
          <w:rFonts w:ascii="Calibri" w:hAnsi="Calibri" w:cs="Calibri"/>
          <w:b/>
          <w:color w:val="000000"/>
          <w:sz w:val="28"/>
        </w:rPr>
        <w:instrText xml:space="preserve"> TOC \h \z \c "Tabel" </w:instrText>
      </w:r>
      <w:r>
        <w:rPr>
          <w:rFonts w:ascii="Calibri" w:hAnsi="Calibri" w:cs="Calibri"/>
          <w:b/>
          <w:color w:val="000000"/>
          <w:sz w:val="28"/>
        </w:rPr>
        <w:fldChar w:fldCharType="separate"/>
      </w:r>
      <w:hyperlink w:anchor="_Toc86993597" w:history="1">
        <w:r w:rsidR="0014142A" w:rsidRPr="00886B3D">
          <w:rPr>
            <w:rStyle w:val="Hyperlink"/>
            <w:noProof/>
          </w:rPr>
          <w:t>Tabel 1 Evoluția numărului de cazuri de violență domestică care au beneficiat de servicii sociale la cerere în perioada 2016 - 2019</w:t>
        </w:r>
        <w:r w:rsidR="0014142A">
          <w:rPr>
            <w:noProof/>
            <w:webHidden/>
          </w:rPr>
          <w:tab/>
        </w:r>
        <w:r w:rsidR="0014142A">
          <w:rPr>
            <w:noProof/>
            <w:webHidden/>
          </w:rPr>
          <w:fldChar w:fldCharType="begin"/>
        </w:r>
        <w:r w:rsidR="0014142A">
          <w:rPr>
            <w:noProof/>
            <w:webHidden/>
          </w:rPr>
          <w:instrText xml:space="preserve"> PAGEREF _Toc86993597 \h </w:instrText>
        </w:r>
        <w:r w:rsidR="0014142A">
          <w:rPr>
            <w:noProof/>
            <w:webHidden/>
          </w:rPr>
        </w:r>
        <w:r w:rsidR="0014142A">
          <w:rPr>
            <w:noProof/>
            <w:webHidden/>
          </w:rPr>
          <w:fldChar w:fldCharType="separate"/>
        </w:r>
        <w:r w:rsidR="0014142A">
          <w:rPr>
            <w:noProof/>
            <w:webHidden/>
          </w:rPr>
          <w:t>10</w:t>
        </w:r>
        <w:r w:rsidR="0014142A">
          <w:rPr>
            <w:noProof/>
            <w:webHidden/>
          </w:rPr>
          <w:fldChar w:fldCharType="end"/>
        </w:r>
      </w:hyperlink>
    </w:p>
    <w:p w14:paraId="2E8EDE49" w14:textId="4323BEED" w:rsidR="0014142A" w:rsidRDefault="0014142A">
      <w:pPr>
        <w:pStyle w:val="TableofFigures"/>
        <w:tabs>
          <w:tab w:val="right" w:leader="dot" w:pos="9016"/>
        </w:tabs>
        <w:rPr>
          <w:rFonts w:eastAsiaTheme="minorEastAsia"/>
          <w:noProof/>
          <w:sz w:val="22"/>
          <w:lang w:val="en-US"/>
        </w:rPr>
      </w:pPr>
      <w:hyperlink w:anchor="_Toc86993598" w:history="1">
        <w:r w:rsidRPr="00886B3D">
          <w:rPr>
            <w:rStyle w:val="Hyperlink"/>
            <w:noProof/>
          </w:rPr>
          <w:t>Tabel 2 Evoluția cazurilor de violență în familie în perioada 2017 - 2020</w:t>
        </w:r>
        <w:r>
          <w:rPr>
            <w:noProof/>
            <w:webHidden/>
          </w:rPr>
          <w:tab/>
        </w:r>
        <w:r>
          <w:rPr>
            <w:noProof/>
            <w:webHidden/>
          </w:rPr>
          <w:fldChar w:fldCharType="begin"/>
        </w:r>
        <w:r>
          <w:rPr>
            <w:noProof/>
            <w:webHidden/>
          </w:rPr>
          <w:instrText xml:space="preserve"> PAGEREF _Toc86993598 \h </w:instrText>
        </w:r>
        <w:r>
          <w:rPr>
            <w:noProof/>
            <w:webHidden/>
          </w:rPr>
        </w:r>
        <w:r>
          <w:rPr>
            <w:noProof/>
            <w:webHidden/>
          </w:rPr>
          <w:fldChar w:fldCharType="separate"/>
        </w:r>
        <w:r>
          <w:rPr>
            <w:noProof/>
            <w:webHidden/>
          </w:rPr>
          <w:t>10</w:t>
        </w:r>
        <w:r>
          <w:rPr>
            <w:noProof/>
            <w:webHidden/>
          </w:rPr>
          <w:fldChar w:fldCharType="end"/>
        </w:r>
      </w:hyperlink>
    </w:p>
    <w:p w14:paraId="39F25D7A" w14:textId="54064D7F" w:rsidR="0014142A" w:rsidRDefault="0014142A">
      <w:pPr>
        <w:pStyle w:val="TableofFigures"/>
        <w:tabs>
          <w:tab w:val="right" w:leader="dot" w:pos="9016"/>
        </w:tabs>
        <w:rPr>
          <w:rFonts w:eastAsiaTheme="minorEastAsia"/>
          <w:noProof/>
          <w:sz w:val="22"/>
          <w:lang w:val="en-US"/>
        </w:rPr>
      </w:pPr>
      <w:hyperlink w:anchor="_Toc86993599" w:history="1">
        <w:r w:rsidRPr="00886B3D">
          <w:rPr>
            <w:rStyle w:val="Hyperlink"/>
            <w:noProof/>
          </w:rPr>
          <w:t>Tabel 3 Evoluția numărului victimelor traficului de persoane 2016 - 2020</w:t>
        </w:r>
        <w:r>
          <w:rPr>
            <w:noProof/>
            <w:webHidden/>
          </w:rPr>
          <w:tab/>
        </w:r>
        <w:r>
          <w:rPr>
            <w:noProof/>
            <w:webHidden/>
          </w:rPr>
          <w:fldChar w:fldCharType="begin"/>
        </w:r>
        <w:r>
          <w:rPr>
            <w:noProof/>
            <w:webHidden/>
          </w:rPr>
          <w:instrText xml:space="preserve"> PAGEREF _Toc86993599 \h </w:instrText>
        </w:r>
        <w:r>
          <w:rPr>
            <w:noProof/>
            <w:webHidden/>
          </w:rPr>
        </w:r>
        <w:r>
          <w:rPr>
            <w:noProof/>
            <w:webHidden/>
          </w:rPr>
          <w:fldChar w:fldCharType="separate"/>
        </w:r>
        <w:r>
          <w:rPr>
            <w:noProof/>
            <w:webHidden/>
          </w:rPr>
          <w:t>10</w:t>
        </w:r>
        <w:r>
          <w:rPr>
            <w:noProof/>
            <w:webHidden/>
          </w:rPr>
          <w:fldChar w:fldCharType="end"/>
        </w:r>
      </w:hyperlink>
    </w:p>
    <w:p w14:paraId="21F8EBB0" w14:textId="2AE0113E" w:rsidR="0014142A" w:rsidRDefault="0014142A">
      <w:pPr>
        <w:pStyle w:val="TableofFigures"/>
        <w:tabs>
          <w:tab w:val="right" w:leader="dot" w:pos="9016"/>
        </w:tabs>
        <w:rPr>
          <w:rFonts w:eastAsiaTheme="minorEastAsia"/>
          <w:noProof/>
          <w:sz w:val="22"/>
          <w:lang w:val="en-US"/>
        </w:rPr>
      </w:pPr>
      <w:hyperlink w:anchor="_Toc86993600" w:history="1">
        <w:r w:rsidRPr="00886B3D">
          <w:rPr>
            <w:rStyle w:val="Hyperlink"/>
            <w:noProof/>
          </w:rPr>
          <w:t>Tabel 4 Furnizori de servicii sociale acreditați și servicii sociale licențiate – dinamica generală</w:t>
        </w:r>
        <w:r>
          <w:rPr>
            <w:noProof/>
            <w:webHidden/>
          </w:rPr>
          <w:tab/>
        </w:r>
        <w:r>
          <w:rPr>
            <w:noProof/>
            <w:webHidden/>
          </w:rPr>
          <w:fldChar w:fldCharType="begin"/>
        </w:r>
        <w:r>
          <w:rPr>
            <w:noProof/>
            <w:webHidden/>
          </w:rPr>
          <w:instrText xml:space="preserve"> PAGEREF _Toc86993600 \h </w:instrText>
        </w:r>
        <w:r>
          <w:rPr>
            <w:noProof/>
            <w:webHidden/>
          </w:rPr>
        </w:r>
        <w:r>
          <w:rPr>
            <w:noProof/>
            <w:webHidden/>
          </w:rPr>
          <w:fldChar w:fldCharType="separate"/>
        </w:r>
        <w:r>
          <w:rPr>
            <w:noProof/>
            <w:webHidden/>
          </w:rPr>
          <w:t>11</w:t>
        </w:r>
        <w:r>
          <w:rPr>
            <w:noProof/>
            <w:webHidden/>
          </w:rPr>
          <w:fldChar w:fldCharType="end"/>
        </w:r>
      </w:hyperlink>
    </w:p>
    <w:p w14:paraId="657674A9" w14:textId="573C1A25" w:rsidR="0014142A" w:rsidRDefault="0014142A">
      <w:pPr>
        <w:pStyle w:val="TableofFigures"/>
        <w:tabs>
          <w:tab w:val="right" w:leader="dot" w:pos="9016"/>
        </w:tabs>
        <w:rPr>
          <w:rFonts w:eastAsiaTheme="minorEastAsia"/>
          <w:noProof/>
          <w:sz w:val="22"/>
          <w:lang w:val="en-US"/>
        </w:rPr>
      </w:pPr>
      <w:hyperlink w:anchor="_Toc86993601" w:history="1">
        <w:r w:rsidRPr="00886B3D">
          <w:rPr>
            <w:rStyle w:val="Hyperlink"/>
            <w:noProof/>
          </w:rPr>
          <w:t>Tabel 5 Servicii sociale licențiate pe tipuri de beneficiari la finalul anului</w:t>
        </w:r>
        <w:r>
          <w:rPr>
            <w:noProof/>
            <w:webHidden/>
          </w:rPr>
          <w:tab/>
        </w:r>
        <w:r>
          <w:rPr>
            <w:noProof/>
            <w:webHidden/>
          </w:rPr>
          <w:fldChar w:fldCharType="begin"/>
        </w:r>
        <w:r>
          <w:rPr>
            <w:noProof/>
            <w:webHidden/>
          </w:rPr>
          <w:instrText xml:space="preserve"> PAGEREF _Toc86993601 \h </w:instrText>
        </w:r>
        <w:r>
          <w:rPr>
            <w:noProof/>
            <w:webHidden/>
          </w:rPr>
        </w:r>
        <w:r>
          <w:rPr>
            <w:noProof/>
            <w:webHidden/>
          </w:rPr>
          <w:fldChar w:fldCharType="separate"/>
        </w:r>
        <w:r>
          <w:rPr>
            <w:noProof/>
            <w:webHidden/>
          </w:rPr>
          <w:t>11</w:t>
        </w:r>
        <w:r>
          <w:rPr>
            <w:noProof/>
            <w:webHidden/>
          </w:rPr>
          <w:fldChar w:fldCharType="end"/>
        </w:r>
      </w:hyperlink>
    </w:p>
    <w:p w14:paraId="0C665A4E" w14:textId="6120124A" w:rsidR="0014142A" w:rsidRDefault="0014142A">
      <w:pPr>
        <w:pStyle w:val="TableofFigures"/>
        <w:tabs>
          <w:tab w:val="right" w:leader="dot" w:pos="9016"/>
        </w:tabs>
        <w:rPr>
          <w:rFonts w:eastAsiaTheme="minorEastAsia"/>
          <w:noProof/>
          <w:sz w:val="22"/>
          <w:lang w:val="en-US"/>
        </w:rPr>
      </w:pPr>
      <w:hyperlink w:anchor="_Toc86993602" w:history="1">
        <w:r w:rsidRPr="00886B3D">
          <w:rPr>
            <w:rStyle w:val="Hyperlink"/>
            <w:noProof/>
          </w:rPr>
          <w:t>Tabel 6 Servicii sociale licențiate pe tipuri de beneficiari și regiuni în 2020</w:t>
        </w:r>
        <w:r>
          <w:rPr>
            <w:noProof/>
            <w:webHidden/>
          </w:rPr>
          <w:tab/>
        </w:r>
        <w:r>
          <w:rPr>
            <w:noProof/>
            <w:webHidden/>
          </w:rPr>
          <w:fldChar w:fldCharType="begin"/>
        </w:r>
        <w:r>
          <w:rPr>
            <w:noProof/>
            <w:webHidden/>
          </w:rPr>
          <w:instrText xml:space="preserve"> PAGEREF _Toc86993602 \h </w:instrText>
        </w:r>
        <w:r>
          <w:rPr>
            <w:noProof/>
            <w:webHidden/>
          </w:rPr>
        </w:r>
        <w:r>
          <w:rPr>
            <w:noProof/>
            <w:webHidden/>
          </w:rPr>
          <w:fldChar w:fldCharType="separate"/>
        </w:r>
        <w:r>
          <w:rPr>
            <w:noProof/>
            <w:webHidden/>
          </w:rPr>
          <w:t>12</w:t>
        </w:r>
        <w:r>
          <w:rPr>
            <w:noProof/>
            <w:webHidden/>
          </w:rPr>
          <w:fldChar w:fldCharType="end"/>
        </w:r>
      </w:hyperlink>
    </w:p>
    <w:p w14:paraId="4DA30CD2" w14:textId="2DBD032C" w:rsidR="0014142A" w:rsidRDefault="0014142A">
      <w:pPr>
        <w:pStyle w:val="TableofFigures"/>
        <w:tabs>
          <w:tab w:val="right" w:leader="dot" w:pos="9016"/>
        </w:tabs>
        <w:rPr>
          <w:rFonts w:eastAsiaTheme="minorEastAsia"/>
          <w:noProof/>
          <w:sz w:val="22"/>
          <w:lang w:val="en-US"/>
        </w:rPr>
      </w:pPr>
      <w:hyperlink w:anchor="_Toc86993603" w:history="1">
        <w:r w:rsidRPr="00886B3D">
          <w:rPr>
            <w:rStyle w:val="Hyperlink"/>
            <w:noProof/>
          </w:rPr>
          <w:t>Tabel 7 Servicii sociale pentru persoanele vârstnice</w:t>
        </w:r>
        <w:r>
          <w:rPr>
            <w:noProof/>
            <w:webHidden/>
          </w:rPr>
          <w:tab/>
        </w:r>
        <w:r>
          <w:rPr>
            <w:noProof/>
            <w:webHidden/>
          </w:rPr>
          <w:fldChar w:fldCharType="begin"/>
        </w:r>
        <w:r>
          <w:rPr>
            <w:noProof/>
            <w:webHidden/>
          </w:rPr>
          <w:instrText xml:space="preserve"> PAGEREF _Toc86993603 \h </w:instrText>
        </w:r>
        <w:r>
          <w:rPr>
            <w:noProof/>
            <w:webHidden/>
          </w:rPr>
        </w:r>
        <w:r>
          <w:rPr>
            <w:noProof/>
            <w:webHidden/>
          </w:rPr>
          <w:fldChar w:fldCharType="separate"/>
        </w:r>
        <w:r>
          <w:rPr>
            <w:noProof/>
            <w:webHidden/>
          </w:rPr>
          <w:t>13</w:t>
        </w:r>
        <w:r>
          <w:rPr>
            <w:noProof/>
            <w:webHidden/>
          </w:rPr>
          <w:fldChar w:fldCharType="end"/>
        </w:r>
      </w:hyperlink>
    </w:p>
    <w:p w14:paraId="032FADC2" w14:textId="0F8C8A7D" w:rsidR="0014142A" w:rsidRDefault="0014142A">
      <w:pPr>
        <w:pStyle w:val="TableofFigures"/>
        <w:tabs>
          <w:tab w:val="right" w:leader="dot" w:pos="9016"/>
        </w:tabs>
        <w:rPr>
          <w:rFonts w:eastAsiaTheme="minorEastAsia"/>
          <w:noProof/>
          <w:sz w:val="22"/>
          <w:lang w:val="en-US"/>
        </w:rPr>
      </w:pPr>
      <w:hyperlink w:anchor="_Toc86993604" w:history="1">
        <w:r w:rsidRPr="00886B3D">
          <w:rPr>
            <w:rStyle w:val="Hyperlink"/>
            <w:noProof/>
          </w:rPr>
          <w:t>Tabel 8 Evoluția ponderii nevoilor medicale nesatisfăcute</w:t>
        </w:r>
        <w:r>
          <w:rPr>
            <w:noProof/>
            <w:webHidden/>
          </w:rPr>
          <w:tab/>
        </w:r>
        <w:r>
          <w:rPr>
            <w:noProof/>
            <w:webHidden/>
          </w:rPr>
          <w:fldChar w:fldCharType="begin"/>
        </w:r>
        <w:r>
          <w:rPr>
            <w:noProof/>
            <w:webHidden/>
          </w:rPr>
          <w:instrText xml:space="preserve"> PAGEREF _Toc86993604 \h </w:instrText>
        </w:r>
        <w:r>
          <w:rPr>
            <w:noProof/>
            <w:webHidden/>
          </w:rPr>
        </w:r>
        <w:r>
          <w:rPr>
            <w:noProof/>
            <w:webHidden/>
          </w:rPr>
          <w:fldChar w:fldCharType="separate"/>
        </w:r>
        <w:r>
          <w:rPr>
            <w:noProof/>
            <w:webHidden/>
          </w:rPr>
          <w:t>14</w:t>
        </w:r>
        <w:r>
          <w:rPr>
            <w:noProof/>
            <w:webHidden/>
          </w:rPr>
          <w:fldChar w:fldCharType="end"/>
        </w:r>
      </w:hyperlink>
    </w:p>
    <w:p w14:paraId="57299A4E" w14:textId="1B14112C" w:rsidR="0014142A" w:rsidRDefault="0014142A">
      <w:pPr>
        <w:pStyle w:val="TableofFigures"/>
        <w:tabs>
          <w:tab w:val="right" w:leader="dot" w:pos="9016"/>
        </w:tabs>
        <w:rPr>
          <w:rFonts w:eastAsiaTheme="minorEastAsia"/>
          <w:noProof/>
          <w:sz w:val="22"/>
          <w:lang w:val="en-US"/>
        </w:rPr>
      </w:pPr>
      <w:hyperlink w:anchor="_Toc86993605" w:history="1">
        <w:r w:rsidRPr="00886B3D">
          <w:rPr>
            <w:rStyle w:val="Hyperlink"/>
            <w:noProof/>
          </w:rPr>
          <w:t>Tabel 9 Persoane care au o boală de lungă durată sau o problemă de sănătate</w:t>
        </w:r>
        <w:r>
          <w:rPr>
            <w:noProof/>
            <w:webHidden/>
          </w:rPr>
          <w:tab/>
        </w:r>
        <w:r>
          <w:rPr>
            <w:noProof/>
            <w:webHidden/>
          </w:rPr>
          <w:fldChar w:fldCharType="begin"/>
        </w:r>
        <w:r>
          <w:rPr>
            <w:noProof/>
            <w:webHidden/>
          </w:rPr>
          <w:instrText xml:space="preserve"> PAGEREF _Toc86993605 \h </w:instrText>
        </w:r>
        <w:r>
          <w:rPr>
            <w:noProof/>
            <w:webHidden/>
          </w:rPr>
        </w:r>
        <w:r>
          <w:rPr>
            <w:noProof/>
            <w:webHidden/>
          </w:rPr>
          <w:fldChar w:fldCharType="separate"/>
        </w:r>
        <w:r>
          <w:rPr>
            <w:noProof/>
            <w:webHidden/>
          </w:rPr>
          <w:t>14</w:t>
        </w:r>
        <w:r>
          <w:rPr>
            <w:noProof/>
            <w:webHidden/>
          </w:rPr>
          <w:fldChar w:fldCharType="end"/>
        </w:r>
      </w:hyperlink>
    </w:p>
    <w:p w14:paraId="72119055" w14:textId="147E0211" w:rsidR="0014142A" w:rsidRDefault="0014142A">
      <w:pPr>
        <w:pStyle w:val="TableofFigures"/>
        <w:tabs>
          <w:tab w:val="right" w:leader="dot" w:pos="9016"/>
        </w:tabs>
        <w:rPr>
          <w:rFonts w:eastAsiaTheme="minorEastAsia"/>
          <w:noProof/>
          <w:sz w:val="22"/>
          <w:lang w:val="en-US"/>
        </w:rPr>
      </w:pPr>
      <w:hyperlink w:anchor="_Toc86993606" w:history="1">
        <w:r w:rsidRPr="00886B3D">
          <w:rPr>
            <w:rStyle w:val="Hyperlink"/>
            <w:noProof/>
          </w:rPr>
          <w:t>Tabel 10 Percepția stării de sănătate</w:t>
        </w:r>
        <w:r>
          <w:rPr>
            <w:noProof/>
            <w:webHidden/>
          </w:rPr>
          <w:tab/>
        </w:r>
        <w:r>
          <w:rPr>
            <w:noProof/>
            <w:webHidden/>
          </w:rPr>
          <w:fldChar w:fldCharType="begin"/>
        </w:r>
        <w:r>
          <w:rPr>
            <w:noProof/>
            <w:webHidden/>
          </w:rPr>
          <w:instrText xml:space="preserve"> PAGEREF _Toc86993606 \h </w:instrText>
        </w:r>
        <w:r>
          <w:rPr>
            <w:noProof/>
            <w:webHidden/>
          </w:rPr>
        </w:r>
        <w:r>
          <w:rPr>
            <w:noProof/>
            <w:webHidden/>
          </w:rPr>
          <w:fldChar w:fldCharType="separate"/>
        </w:r>
        <w:r>
          <w:rPr>
            <w:noProof/>
            <w:webHidden/>
          </w:rPr>
          <w:t>14</w:t>
        </w:r>
        <w:r>
          <w:rPr>
            <w:noProof/>
            <w:webHidden/>
          </w:rPr>
          <w:fldChar w:fldCharType="end"/>
        </w:r>
      </w:hyperlink>
    </w:p>
    <w:p w14:paraId="6F20EE5A" w14:textId="26DAF03C" w:rsidR="00A94BEE" w:rsidRDefault="002830EB" w:rsidP="000F1DEA">
      <w:pPr>
        <w:spacing w:after="0" w:line="240" w:lineRule="auto"/>
        <w:ind w:right="-2"/>
        <w:rPr>
          <w:rFonts w:ascii="Calibri" w:hAnsi="Calibri" w:cs="Calibri"/>
          <w:b/>
          <w:color w:val="000000"/>
          <w:sz w:val="28"/>
        </w:rPr>
      </w:pPr>
      <w:r>
        <w:rPr>
          <w:rFonts w:ascii="Calibri" w:hAnsi="Calibri" w:cs="Calibri"/>
          <w:b/>
          <w:color w:val="000000"/>
          <w:sz w:val="28"/>
        </w:rPr>
        <w:fldChar w:fldCharType="end"/>
      </w:r>
    </w:p>
    <w:p w14:paraId="2EBD0A9F" w14:textId="41B4D35D" w:rsidR="0014142A" w:rsidRPr="00FF74C0" w:rsidRDefault="0014142A" w:rsidP="0014142A">
      <w:pPr>
        <w:spacing w:after="0" w:line="240" w:lineRule="auto"/>
        <w:rPr>
          <w:rFonts w:ascii="Calibri" w:hAnsi="Calibri" w:cs="Calibri"/>
          <w:b/>
          <w:color w:val="000000"/>
          <w:sz w:val="28"/>
        </w:rPr>
      </w:pPr>
      <w:r w:rsidRPr="00A56515">
        <w:rPr>
          <w:rFonts w:ascii="Calibri" w:hAnsi="Calibri"/>
          <w:b/>
          <w:color w:val="00ABC0" w:themeColor="accent2"/>
        </w:rPr>
        <w:t xml:space="preserve">Lista </w:t>
      </w:r>
      <w:r>
        <w:rPr>
          <w:rFonts w:ascii="Calibri" w:hAnsi="Calibri"/>
          <w:b/>
          <w:color w:val="00ABC0" w:themeColor="accent2"/>
        </w:rPr>
        <w:t>figurilor</w:t>
      </w:r>
    </w:p>
    <w:p w14:paraId="3D9337D9" w14:textId="78B49ED8" w:rsidR="0014142A" w:rsidRDefault="0014142A">
      <w:pPr>
        <w:pStyle w:val="TableofFigures"/>
        <w:tabs>
          <w:tab w:val="right" w:leader="dot" w:pos="9016"/>
        </w:tabs>
        <w:rPr>
          <w:rFonts w:eastAsiaTheme="minorEastAsia"/>
          <w:noProof/>
          <w:sz w:val="22"/>
          <w:lang w:val="en-US"/>
        </w:rPr>
      </w:pPr>
      <w:r>
        <w:rPr>
          <w:rFonts w:ascii="Calibri" w:hAnsi="Calibri" w:cs="Calibri"/>
          <w:b/>
          <w:color w:val="000000"/>
          <w:sz w:val="28"/>
        </w:rPr>
        <w:fldChar w:fldCharType="begin"/>
      </w:r>
      <w:r>
        <w:rPr>
          <w:rFonts w:ascii="Calibri" w:hAnsi="Calibri" w:cs="Calibri"/>
          <w:b/>
          <w:color w:val="000000"/>
          <w:sz w:val="28"/>
        </w:rPr>
        <w:instrText xml:space="preserve"> TOC \h \z \c "Figură" </w:instrText>
      </w:r>
      <w:r>
        <w:rPr>
          <w:rFonts w:ascii="Calibri" w:hAnsi="Calibri" w:cs="Calibri"/>
          <w:b/>
          <w:color w:val="000000"/>
          <w:sz w:val="28"/>
        </w:rPr>
        <w:fldChar w:fldCharType="separate"/>
      </w:r>
      <w:hyperlink w:anchor="_Toc86993636" w:history="1">
        <w:r w:rsidRPr="0083168A">
          <w:rPr>
            <w:rStyle w:val="Hyperlink"/>
            <w:noProof/>
          </w:rPr>
          <w:t>Figură 1 Evoluția ratei riscului de sărăcie și excluziune socială pe categorii de vârstă în România</w:t>
        </w:r>
        <w:r>
          <w:rPr>
            <w:noProof/>
            <w:webHidden/>
          </w:rPr>
          <w:tab/>
        </w:r>
        <w:r>
          <w:rPr>
            <w:noProof/>
            <w:webHidden/>
          </w:rPr>
          <w:fldChar w:fldCharType="begin"/>
        </w:r>
        <w:r>
          <w:rPr>
            <w:noProof/>
            <w:webHidden/>
          </w:rPr>
          <w:instrText xml:space="preserve"> PAGEREF _Toc86993636 \h </w:instrText>
        </w:r>
        <w:r>
          <w:rPr>
            <w:noProof/>
            <w:webHidden/>
          </w:rPr>
        </w:r>
        <w:r>
          <w:rPr>
            <w:noProof/>
            <w:webHidden/>
          </w:rPr>
          <w:fldChar w:fldCharType="separate"/>
        </w:r>
        <w:r>
          <w:rPr>
            <w:noProof/>
            <w:webHidden/>
          </w:rPr>
          <w:t>5</w:t>
        </w:r>
        <w:r>
          <w:rPr>
            <w:noProof/>
            <w:webHidden/>
          </w:rPr>
          <w:fldChar w:fldCharType="end"/>
        </w:r>
      </w:hyperlink>
    </w:p>
    <w:p w14:paraId="53D264D6" w14:textId="0472CEF8" w:rsidR="0014142A" w:rsidRDefault="0014142A">
      <w:pPr>
        <w:pStyle w:val="TableofFigures"/>
        <w:tabs>
          <w:tab w:val="right" w:leader="dot" w:pos="9016"/>
        </w:tabs>
        <w:rPr>
          <w:rFonts w:eastAsiaTheme="minorEastAsia"/>
          <w:noProof/>
          <w:sz w:val="22"/>
          <w:lang w:val="en-US"/>
        </w:rPr>
      </w:pPr>
      <w:hyperlink w:anchor="_Toc86993637" w:history="1">
        <w:r w:rsidRPr="0083168A">
          <w:rPr>
            <w:rStyle w:val="Hyperlink"/>
            <w:noProof/>
          </w:rPr>
          <w:t>Figură 2 Evoluția ratei riscului de sărăcie și excluziune socială în România și UE pe grupe de vârstă în perioada 2010 - 2020</w:t>
        </w:r>
        <w:r>
          <w:rPr>
            <w:noProof/>
            <w:webHidden/>
          </w:rPr>
          <w:tab/>
        </w:r>
        <w:r>
          <w:rPr>
            <w:noProof/>
            <w:webHidden/>
          </w:rPr>
          <w:fldChar w:fldCharType="begin"/>
        </w:r>
        <w:r>
          <w:rPr>
            <w:noProof/>
            <w:webHidden/>
          </w:rPr>
          <w:instrText xml:space="preserve"> PAGEREF _Toc86993637 \h </w:instrText>
        </w:r>
        <w:r>
          <w:rPr>
            <w:noProof/>
            <w:webHidden/>
          </w:rPr>
        </w:r>
        <w:r>
          <w:rPr>
            <w:noProof/>
            <w:webHidden/>
          </w:rPr>
          <w:fldChar w:fldCharType="separate"/>
        </w:r>
        <w:r>
          <w:rPr>
            <w:noProof/>
            <w:webHidden/>
          </w:rPr>
          <w:t>6</w:t>
        </w:r>
        <w:r>
          <w:rPr>
            <w:noProof/>
            <w:webHidden/>
          </w:rPr>
          <w:fldChar w:fldCharType="end"/>
        </w:r>
      </w:hyperlink>
    </w:p>
    <w:p w14:paraId="497339E3" w14:textId="24F28183" w:rsidR="0014142A" w:rsidRDefault="0014142A">
      <w:pPr>
        <w:pStyle w:val="TableofFigures"/>
        <w:tabs>
          <w:tab w:val="right" w:leader="dot" w:pos="9016"/>
        </w:tabs>
        <w:rPr>
          <w:rFonts w:eastAsiaTheme="minorEastAsia"/>
          <w:noProof/>
          <w:sz w:val="22"/>
          <w:lang w:val="en-US"/>
        </w:rPr>
      </w:pPr>
      <w:hyperlink w:anchor="_Toc86993638" w:history="1">
        <w:r w:rsidRPr="0083168A">
          <w:rPr>
            <w:rStyle w:val="Hyperlink"/>
            <w:noProof/>
          </w:rPr>
          <w:t>Figură 3 Evoluția ratei riscului de sărăcie și excluziune socială în România și UE pe medii de rezidență în perioada 2015 - 2020</w:t>
        </w:r>
        <w:r>
          <w:rPr>
            <w:noProof/>
            <w:webHidden/>
          </w:rPr>
          <w:tab/>
        </w:r>
        <w:r>
          <w:rPr>
            <w:noProof/>
            <w:webHidden/>
          </w:rPr>
          <w:fldChar w:fldCharType="begin"/>
        </w:r>
        <w:r>
          <w:rPr>
            <w:noProof/>
            <w:webHidden/>
          </w:rPr>
          <w:instrText xml:space="preserve"> PAGEREF _Toc86993638 \h </w:instrText>
        </w:r>
        <w:r>
          <w:rPr>
            <w:noProof/>
            <w:webHidden/>
          </w:rPr>
        </w:r>
        <w:r>
          <w:rPr>
            <w:noProof/>
            <w:webHidden/>
          </w:rPr>
          <w:fldChar w:fldCharType="separate"/>
        </w:r>
        <w:r>
          <w:rPr>
            <w:noProof/>
            <w:webHidden/>
          </w:rPr>
          <w:t>6</w:t>
        </w:r>
        <w:r>
          <w:rPr>
            <w:noProof/>
            <w:webHidden/>
          </w:rPr>
          <w:fldChar w:fldCharType="end"/>
        </w:r>
      </w:hyperlink>
    </w:p>
    <w:p w14:paraId="648092A1" w14:textId="63B25C8E" w:rsidR="0014142A" w:rsidRDefault="0014142A">
      <w:pPr>
        <w:pStyle w:val="TableofFigures"/>
        <w:tabs>
          <w:tab w:val="right" w:leader="dot" w:pos="9016"/>
        </w:tabs>
        <w:rPr>
          <w:rFonts w:eastAsiaTheme="minorEastAsia"/>
          <w:noProof/>
          <w:sz w:val="22"/>
          <w:lang w:val="en-US"/>
        </w:rPr>
      </w:pPr>
      <w:hyperlink w:anchor="_Toc86993639" w:history="1">
        <w:r w:rsidRPr="0083168A">
          <w:rPr>
            <w:rStyle w:val="Hyperlink"/>
            <w:noProof/>
          </w:rPr>
          <w:t>Figură 4 Evoluția ratei sărăciei și excluziunii sociale la populația vârstnică în perioada 2010 - 2020</w:t>
        </w:r>
        <w:r>
          <w:rPr>
            <w:noProof/>
            <w:webHidden/>
          </w:rPr>
          <w:tab/>
        </w:r>
        <w:r>
          <w:rPr>
            <w:noProof/>
            <w:webHidden/>
          </w:rPr>
          <w:fldChar w:fldCharType="begin"/>
        </w:r>
        <w:r>
          <w:rPr>
            <w:noProof/>
            <w:webHidden/>
          </w:rPr>
          <w:instrText xml:space="preserve"> PAGEREF _Toc86993639 \h </w:instrText>
        </w:r>
        <w:r>
          <w:rPr>
            <w:noProof/>
            <w:webHidden/>
          </w:rPr>
        </w:r>
        <w:r>
          <w:rPr>
            <w:noProof/>
            <w:webHidden/>
          </w:rPr>
          <w:fldChar w:fldCharType="separate"/>
        </w:r>
        <w:r>
          <w:rPr>
            <w:noProof/>
            <w:webHidden/>
          </w:rPr>
          <w:t>7</w:t>
        </w:r>
        <w:r>
          <w:rPr>
            <w:noProof/>
            <w:webHidden/>
          </w:rPr>
          <w:fldChar w:fldCharType="end"/>
        </w:r>
      </w:hyperlink>
    </w:p>
    <w:p w14:paraId="33860A2C" w14:textId="216A56A7" w:rsidR="0014142A" w:rsidRDefault="0014142A">
      <w:pPr>
        <w:pStyle w:val="TableofFigures"/>
        <w:tabs>
          <w:tab w:val="right" w:leader="dot" w:pos="9016"/>
        </w:tabs>
        <w:rPr>
          <w:rFonts w:eastAsiaTheme="minorEastAsia"/>
          <w:noProof/>
          <w:sz w:val="22"/>
          <w:lang w:val="en-US"/>
        </w:rPr>
      </w:pPr>
      <w:hyperlink w:anchor="_Toc86993640" w:history="1">
        <w:r w:rsidRPr="0083168A">
          <w:rPr>
            <w:rStyle w:val="Hyperlink"/>
            <w:noProof/>
          </w:rPr>
          <w:t>Figură 5 Evoluția ratei deprivării materiale și sociale severe România –UE în perioada 2015 - 2020</w:t>
        </w:r>
        <w:r>
          <w:rPr>
            <w:noProof/>
            <w:webHidden/>
          </w:rPr>
          <w:tab/>
        </w:r>
        <w:r>
          <w:rPr>
            <w:noProof/>
            <w:webHidden/>
          </w:rPr>
          <w:fldChar w:fldCharType="begin"/>
        </w:r>
        <w:r>
          <w:rPr>
            <w:noProof/>
            <w:webHidden/>
          </w:rPr>
          <w:instrText xml:space="preserve"> PAGEREF _Toc86993640 \h </w:instrText>
        </w:r>
        <w:r>
          <w:rPr>
            <w:noProof/>
            <w:webHidden/>
          </w:rPr>
        </w:r>
        <w:r>
          <w:rPr>
            <w:noProof/>
            <w:webHidden/>
          </w:rPr>
          <w:fldChar w:fldCharType="separate"/>
        </w:r>
        <w:r>
          <w:rPr>
            <w:noProof/>
            <w:webHidden/>
          </w:rPr>
          <w:t>8</w:t>
        </w:r>
        <w:r>
          <w:rPr>
            <w:noProof/>
            <w:webHidden/>
          </w:rPr>
          <w:fldChar w:fldCharType="end"/>
        </w:r>
      </w:hyperlink>
    </w:p>
    <w:p w14:paraId="3841121A" w14:textId="11BD8B9C" w:rsidR="0014142A" w:rsidRDefault="0014142A">
      <w:pPr>
        <w:pStyle w:val="TableofFigures"/>
        <w:tabs>
          <w:tab w:val="right" w:leader="dot" w:pos="9016"/>
        </w:tabs>
        <w:rPr>
          <w:rFonts w:eastAsiaTheme="minorEastAsia"/>
          <w:noProof/>
          <w:sz w:val="22"/>
          <w:lang w:val="en-US"/>
        </w:rPr>
      </w:pPr>
      <w:hyperlink w:anchor="_Toc86993641" w:history="1">
        <w:r w:rsidRPr="0083168A">
          <w:rPr>
            <w:rStyle w:val="Hyperlink"/>
            <w:noProof/>
          </w:rPr>
          <w:t>Figură 6 Evoluția ratei deprivării materiale și sociale severe pe grupe de vârstă în perioada 2015 - 2020</w:t>
        </w:r>
        <w:r>
          <w:rPr>
            <w:noProof/>
            <w:webHidden/>
          </w:rPr>
          <w:tab/>
        </w:r>
        <w:r>
          <w:rPr>
            <w:noProof/>
            <w:webHidden/>
          </w:rPr>
          <w:fldChar w:fldCharType="begin"/>
        </w:r>
        <w:r>
          <w:rPr>
            <w:noProof/>
            <w:webHidden/>
          </w:rPr>
          <w:instrText xml:space="preserve"> PAGEREF _Toc86993641 \h </w:instrText>
        </w:r>
        <w:r>
          <w:rPr>
            <w:noProof/>
            <w:webHidden/>
          </w:rPr>
        </w:r>
        <w:r>
          <w:rPr>
            <w:noProof/>
            <w:webHidden/>
          </w:rPr>
          <w:fldChar w:fldCharType="separate"/>
        </w:r>
        <w:r>
          <w:rPr>
            <w:noProof/>
            <w:webHidden/>
          </w:rPr>
          <w:t>9</w:t>
        </w:r>
        <w:r>
          <w:rPr>
            <w:noProof/>
            <w:webHidden/>
          </w:rPr>
          <w:fldChar w:fldCharType="end"/>
        </w:r>
      </w:hyperlink>
    </w:p>
    <w:p w14:paraId="33603A4D" w14:textId="2BD5202D" w:rsidR="0014142A" w:rsidRDefault="0014142A">
      <w:pPr>
        <w:pStyle w:val="TableofFigures"/>
        <w:tabs>
          <w:tab w:val="right" w:leader="dot" w:pos="9016"/>
        </w:tabs>
        <w:rPr>
          <w:rFonts w:eastAsiaTheme="minorEastAsia"/>
          <w:noProof/>
          <w:sz w:val="22"/>
          <w:lang w:val="en-US"/>
        </w:rPr>
      </w:pPr>
      <w:hyperlink w:anchor="_Toc86993642" w:history="1">
        <w:r w:rsidRPr="0083168A">
          <w:rPr>
            <w:rStyle w:val="Hyperlink"/>
            <w:noProof/>
          </w:rPr>
          <w:t>Figură 7 Evoluția ratei deprivării materiale și sociale severe pentru populația vârstnică în perioada 2015 - 2020</w:t>
        </w:r>
        <w:r>
          <w:rPr>
            <w:noProof/>
            <w:webHidden/>
          </w:rPr>
          <w:tab/>
        </w:r>
        <w:r>
          <w:rPr>
            <w:noProof/>
            <w:webHidden/>
          </w:rPr>
          <w:fldChar w:fldCharType="begin"/>
        </w:r>
        <w:r>
          <w:rPr>
            <w:noProof/>
            <w:webHidden/>
          </w:rPr>
          <w:instrText xml:space="preserve"> PAGEREF _Toc86993642 \h </w:instrText>
        </w:r>
        <w:r>
          <w:rPr>
            <w:noProof/>
            <w:webHidden/>
          </w:rPr>
        </w:r>
        <w:r>
          <w:rPr>
            <w:noProof/>
            <w:webHidden/>
          </w:rPr>
          <w:fldChar w:fldCharType="separate"/>
        </w:r>
        <w:r>
          <w:rPr>
            <w:noProof/>
            <w:webHidden/>
          </w:rPr>
          <w:t>9</w:t>
        </w:r>
        <w:r>
          <w:rPr>
            <w:noProof/>
            <w:webHidden/>
          </w:rPr>
          <w:fldChar w:fldCharType="end"/>
        </w:r>
      </w:hyperlink>
    </w:p>
    <w:p w14:paraId="0DA9610F" w14:textId="415855CF" w:rsidR="0014142A" w:rsidRDefault="0014142A">
      <w:pPr>
        <w:pStyle w:val="TableofFigures"/>
        <w:tabs>
          <w:tab w:val="right" w:leader="dot" w:pos="9016"/>
        </w:tabs>
        <w:rPr>
          <w:rFonts w:eastAsiaTheme="minorEastAsia"/>
          <w:noProof/>
          <w:sz w:val="22"/>
          <w:lang w:val="en-US"/>
        </w:rPr>
      </w:pPr>
      <w:hyperlink w:anchor="_Toc86993643" w:history="1">
        <w:r w:rsidRPr="0083168A">
          <w:rPr>
            <w:rStyle w:val="Hyperlink"/>
            <w:noProof/>
          </w:rPr>
          <w:t>Figură 8 Percepția asupra limitărilor pe termen lung în desfășurarea activităților uzuale</w:t>
        </w:r>
        <w:r>
          <w:rPr>
            <w:noProof/>
            <w:webHidden/>
          </w:rPr>
          <w:tab/>
        </w:r>
        <w:r>
          <w:rPr>
            <w:noProof/>
            <w:webHidden/>
          </w:rPr>
          <w:fldChar w:fldCharType="begin"/>
        </w:r>
        <w:r>
          <w:rPr>
            <w:noProof/>
            <w:webHidden/>
          </w:rPr>
          <w:instrText xml:space="preserve"> PAGEREF _Toc86993643 \h </w:instrText>
        </w:r>
        <w:r>
          <w:rPr>
            <w:noProof/>
            <w:webHidden/>
          </w:rPr>
        </w:r>
        <w:r>
          <w:rPr>
            <w:noProof/>
            <w:webHidden/>
          </w:rPr>
          <w:fldChar w:fldCharType="separate"/>
        </w:r>
        <w:r>
          <w:rPr>
            <w:noProof/>
            <w:webHidden/>
          </w:rPr>
          <w:t>15</w:t>
        </w:r>
        <w:r>
          <w:rPr>
            <w:noProof/>
            <w:webHidden/>
          </w:rPr>
          <w:fldChar w:fldCharType="end"/>
        </w:r>
      </w:hyperlink>
    </w:p>
    <w:p w14:paraId="6E062B26" w14:textId="7742D27D" w:rsidR="00A94BEE" w:rsidRPr="00FF74C0" w:rsidRDefault="0014142A" w:rsidP="0014142A">
      <w:pPr>
        <w:spacing w:after="0" w:line="240" w:lineRule="auto"/>
        <w:ind w:right="-2"/>
        <w:rPr>
          <w:rFonts w:ascii="Calibri" w:hAnsi="Calibri" w:cs="Calibri"/>
          <w:b/>
          <w:color w:val="000000"/>
          <w:sz w:val="24"/>
          <w:szCs w:val="24"/>
        </w:rPr>
      </w:pPr>
      <w:r>
        <w:rPr>
          <w:rFonts w:ascii="Calibri" w:hAnsi="Calibri" w:cs="Calibri"/>
          <w:b/>
          <w:color w:val="000000"/>
          <w:sz w:val="28"/>
        </w:rPr>
        <w:fldChar w:fldCharType="end"/>
      </w:r>
    </w:p>
    <w:p w14:paraId="6BA4D0A0" w14:textId="437D9DB7" w:rsidR="00BC6EAA" w:rsidRPr="00FF74C0" w:rsidRDefault="00BC6EAA" w:rsidP="00046243">
      <w:pPr>
        <w:spacing w:before="120" w:after="120" w:line="259" w:lineRule="auto"/>
        <w:rPr>
          <w:rFonts w:ascii="Calibri" w:hAnsi="Calibri" w:cs="Calibri"/>
          <w:sz w:val="24"/>
          <w:szCs w:val="24"/>
        </w:rPr>
      </w:pPr>
      <w:r w:rsidRPr="00FF74C0">
        <w:rPr>
          <w:rFonts w:ascii="Calibri" w:hAnsi="Calibri" w:cs="Calibri"/>
          <w:sz w:val="24"/>
          <w:szCs w:val="24"/>
        </w:rPr>
        <w:br w:type="page"/>
      </w:r>
    </w:p>
    <w:p w14:paraId="6330F2BC" w14:textId="20336EF9" w:rsidR="00066B82" w:rsidRPr="00FF74C0" w:rsidRDefault="0075065B" w:rsidP="006108E4">
      <w:pPr>
        <w:pStyle w:val="Heading1"/>
      </w:pPr>
      <w:bookmarkStart w:id="1" w:name="_Toc86993581"/>
      <w:r w:rsidRPr="00FF74C0">
        <w:lastRenderedPageBreak/>
        <w:t>INTRODUCERE</w:t>
      </w:r>
      <w:bookmarkEnd w:id="1"/>
    </w:p>
    <w:p w14:paraId="182900A6" w14:textId="02F35C31" w:rsidR="00066B82" w:rsidRPr="00FF74C0" w:rsidRDefault="00066B82" w:rsidP="006108E4">
      <w:pPr>
        <w:spacing w:after="120" w:line="240" w:lineRule="auto"/>
        <w:rPr>
          <w:rFonts w:ascii="Calibri" w:hAnsi="Calibri" w:cs="Calibri"/>
        </w:rPr>
      </w:pPr>
      <w:r w:rsidRPr="00FF74C0">
        <w:rPr>
          <w:rFonts w:ascii="Calibri" w:hAnsi="Calibri" w:cs="Calibri"/>
        </w:rPr>
        <w:t xml:space="preserve">Scopul prezentei analize este de a fundamenta răspunsul la întrebarea de evaluare IE1 </w:t>
      </w:r>
      <w:r w:rsidR="000A540E" w:rsidRPr="00FF74C0">
        <w:rPr>
          <w:rFonts w:ascii="Calibri" w:hAnsi="Calibri" w:cs="Calibri"/>
          <w:b/>
        </w:rPr>
        <w:t>„</w:t>
      </w:r>
      <w:r w:rsidR="00057F87" w:rsidRPr="00057F87">
        <w:rPr>
          <w:rFonts w:ascii="Calibri" w:hAnsi="Calibri" w:cs="Calibri"/>
          <w:b/>
        </w:rPr>
        <w:t>Care este progresul observat cu privire la depășirea situațiilor de vulnerabilitate pentru grupurile vizate de program?”</w:t>
      </w:r>
      <w:r w:rsidRPr="00FF74C0">
        <w:rPr>
          <w:rFonts w:ascii="Calibri" w:hAnsi="Calibri" w:cs="Calibri"/>
        </w:rPr>
        <w:t xml:space="preserve"> și face parte din evaluarea </w:t>
      </w:r>
      <w:r w:rsidRPr="00FF74C0">
        <w:rPr>
          <w:rFonts w:ascii="Calibri" w:hAnsi="Calibri" w:cs="Calibri"/>
          <w:i/>
          <w:lang w:bidi="he-IL"/>
        </w:rPr>
        <w:t xml:space="preserve">„Implementarea Planului de Evaluare a Programului Operațional Capital Uman 2014-2020 – Evaluarea intervențiilor POCU în domeniul </w:t>
      </w:r>
      <w:r w:rsidR="002E2855" w:rsidRPr="00FF74C0">
        <w:rPr>
          <w:rFonts w:ascii="Calibri" w:hAnsi="Calibri" w:cs="Calibri"/>
          <w:i/>
          <w:lang w:bidi="he-IL"/>
        </w:rPr>
        <w:t>INCLUZIUNII SOCIALE</w:t>
      </w:r>
      <w:r w:rsidRPr="00FF74C0">
        <w:rPr>
          <w:rFonts w:ascii="Calibri" w:hAnsi="Calibri" w:cs="Calibri"/>
          <w:i/>
          <w:lang w:bidi="he-IL"/>
        </w:rPr>
        <w:t>”</w:t>
      </w:r>
      <w:r w:rsidR="001E197A" w:rsidRPr="00FF74C0">
        <w:rPr>
          <w:rFonts w:ascii="Calibri" w:hAnsi="Calibri" w:cs="Calibri"/>
        </w:rPr>
        <w:t xml:space="preserve">. </w:t>
      </w:r>
    </w:p>
    <w:p w14:paraId="4BF90D1E" w14:textId="156AB23B" w:rsidR="00066B82" w:rsidRPr="00FF74C0" w:rsidRDefault="001E197A" w:rsidP="006108E4">
      <w:pPr>
        <w:spacing w:after="120" w:line="240" w:lineRule="auto"/>
        <w:rPr>
          <w:rFonts w:ascii="Calibri" w:hAnsi="Calibri" w:cs="Calibri"/>
        </w:rPr>
      </w:pPr>
      <w:r w:rsidRPr="00FF74C0">
        <w:rPr>
          <w:rFonts w:ascii="Calibri" w:hAnsi="Calibri" w:cs="Calibri"/>
        </w:rPr>
        <w:t xml:space="preserve">Analiza răspunde </w:t>
      </w:r>
      <w:r w:rsidR="00502437" w:rsidRPr="00FF74C0">
        <w:rPr>
          <w:rFonts w:ascii="Calibri" w:hAnsi="Calibri" w:cs="Calibri"/>
        </w:rPr>
        <w:t>cerințelor</w:t>
      </w:r>
      <w:r w:rsidRPr="00FF74C0">
        <w:rPr>
          <w:rFonts w:ascii="Calibri" w:hAnsi="Calibri" w:cs="Calibri"/>
        </w:rPr>
        <w:t xml:space="preserve"> din Caietul de sarcini </w:t>
      </w:r>
      <w:r w:rsidR="00FB15F4" w:rsidRPr="00FF74C0">
        <w:rPr>
          <w:rFonts w:ascii="Calibri" w:hAnsi="Calibri" w:cs="Calibri"/>
        </w:rPr>
        <w:t>ș</w:t>
      </w:r>
      <w:r w:rsidRPr="00FF74C0">
        <w:rPr>
          <w:rFonts w:ascii="Calibri" w:hAnsi="Calibri" w:cs="Calibri"/>
        </w:rPr>
        <w:t>i include</w:t>
      </w:r>
      <w:r w:rsidR="00FB15F4" w:rsidRPr="00FF74C0">
        <w:rPr>
          <w:rFonts w:ascii="Calibri" w:hAnsi="Calibri" w:cs="Calibri"/>
        </w:rPr>
        <w:t>:</w:t>
      </w:r>
    </w:p>
    <w:p w14:paraId="09186A41" w14:textId="5ECD9DB8" w:rsidR="001E197A" w:rsidRPr="00FF74C0" w:rsidRDefault="001E197A" w:rsidP="006108E4">
      <w:pPr>
        <w:pStyle w:val="ListParagraph"/>
        <w:numPr>
          <w:ilvl w:val="0"/>
          <w:numId w:val="4"/>
        </w:numPr>
        <w:spacing w:after="60" w:line="240" w:lineRule="auto"/>
        <w:ind w:left="714" w:hanging="357"/>
        <w:rPr>
          <w:rFonts w:ascii="Calibri" w:hAnsi="Calibri" w:cs="Calibri"/>
          <w:color w:val="000000"/>
          <w:shd w:val="clear" w:color="auto" w:fill="FFFFFF"/>
        </w:rPr>
      </w:pPr>
      <w:r w:rsidRPr="00FF74C0">
        <w:rPr>
          <w:rFonts w:ascii="Calibri" w:hAnsi="Calibri" w:cs="Calibri"/>
          <w:color w:val="000000"/>
          <w:shd w:val="clear" w:color="auto" w:fill="FFFFFF"/>
        </w:rPr>
        <w:t xml:space="preserve">Progresul </w:t>
      </w:r>
      <w:r w:rsidR="00FB15F4" w:rsidRPr="00FF74C0">
        <w:rPr>
          <w:rFonts w:ascii="Calibri" w:hAnsi="Calibri" w:cs="Calibri"/>
          <w:color w:val="000000"/>
          <w:shd w:val="clear" w:color="auto" w:fill="FFFFFF"/>
        </w:rPr>
        <w:t>î</w:t>
      </w:r>
      <w:r w:rsidRPr="00FF74C0">
        <w:rPr>
          <w:rFonts w:ascii="Calibri" w:hAnsi="Calibri" w:cs="Calibri"/>
          <w:color w:val="000000"/>
          <w:shd w:val="clear" w:color="auto" w:fill="FFFFFF"/>
        </w:rPr>
        <w:t xml:space="preserve">nregistrat </w:t>
      </w:r>
      <w:r w:rsidR="00FB15F4" w:rsidRPr="00FF74C0">
        <w:rPr>
          <w:rFonts w:ascii="Calibri" w:hAnsi="Calibri" w:cs="Calibri"/>
          <w:color w:val="000000"/>
          <w:shd w:val="clear" w:color="auto" w:fill="FFFFFF"/>
        </w:rPr>
        <w:t>î</w:t>
      </w:r>
      <w:r w:rsidRPr="00FF74C0">
        <w:rPr>
          <w:rFonts w:ascii="Calibri" w:hAnsi="Calibri" w:cs="Calibri"/>
          <w:color w:val="000000"/>
          <w:shd w:val="clear" w:color="auto" w:fill="FFFFFF"/>
        </w:rPr>
        <w:t>n sector măsurat prin cei mai relevanți indicatori cantitativi și calitativi</w:t>
      </w:r>
      <w:r w:rsidR="00591FCC" w:rsidRPr="00FF74C0">
        <w:rPr>
          <w:rFonts w:ascii="Calibri" w:hAnsi="Calibri" w:cs="Calibri"/>
          <w:color w:val="000000"/>
          <w:shd w:val="clear" w:color="auto" w:fill="FFFFFF"/>
        </w:rPr>
        <w:t>;</w:t>
      </w:r>
    </w:p>
    <w:p w14:paraId="5097D87E" w14:textId="1DDB5A79" w:rsidR="001E197A" w:rsidRPr="00FF74C0" w:rsidRDefault="001E197A" w:rsidP="006108E4">
      <w:pPr>
        <w:pStyle w:val="ListParagraph"/>
        <w:numPr>
          <w:ilvl w:val="0"/>
          <w:numId w:val="4"/>
        </w:numPr>
        <w:spacing w:after="60" w:line="240" w:lineRule="auto"/>
        <w:ind w:left="714" w:hanging="357"/>
        <w:rPr>
          <w:rFonts w:ascii="Calibri" w:hAnsi="Calibri" w:cs="Calibri"/>
          <w:color w:val="000000"/>
          <w:shd w:val="clear" w:color="auto" w:fill="FFFFFF"/>
        </w:rPr>
      </w:pPr>
      <w:r w:rsidRPr="00FF74C0">
        <w:rPr>
          <w:rFonts w:ascii="Calibri" w:hAnsi="Calibri" w:cs="Calibri"/>
          <w:color w:val="000000"/>
          <w:shd w:val="clear" w:color="auto" w:fill="FFFFFF"/>
        </w:rPr>
        <w:t>Cadrul legislativ și</w:t>
      </w:r>
      <w:r w:rsidR="00591FCC" w:rsidRPr="00FF74C0">
        <w:rPr>
          <w:rFonts w:ascii="Calibri" w:hAnsi="Calibri" w:cs="Calibri"/>
          <w:color w:val="000000"/>
          <w:shd w:val="clear" w:color="auto" w:fill="FFFFFF"/>
        </w:rPr>
        <w:t xml:space="preserve"> strategic și </w:t>
      </w:r>
      <w:r w:rsidR="00255690" w:rsidRPr="00FF74C0">
        <w:rPr>
          <w:rFonts w:ascii="Calibri" w:hAnsi="Calibri" w:cs="Calibri"/>
          <w:color w:val="000000"/>
          <w:shd w:val="clear" w:color="auto" w:fill="FFFFFF"/>
        </w:rPr>
        <w:t>evoluția</w:t>
      </w:r>
      <w:r w:rsidR="00591FCC" w:rsidRPr="00FF74C0">
        <w:rPr>
          <w:rFonts w:ascii="Calibri" w:hAnsi="Calibri" w:cs="Calibri"/>
          <w:color w:val="000000"/>
          <w:shd w:val="clear" w:color="auto" w:fill="FFFFFF"/>
        </w:rPr>
        <w:t xml:space="preserve"> acestuia;</w:t>
      </w:r>
    </w:p>
    <w:p w14:paraId="5E4B35A7" w14:textId="0A59686A" w:rsidR="001E197A" w:rsidRPr="00FF74C0" w:rsidRDefault="001E197A" w:rsidP="006108E4">
      <w:pPr>
        <w:pStyle w:val="ListParagraph"/>
        <w:numPr>
          <w:ilvl w:val="0"/>
          <w:numId w:val="4"/>
        </w:numPr>
        <w:spacing w:after="60" w:line="240" w:lineRule="auto"/>
        <w:ind w:left="714" w:hanging="357"/>
        <w:rPr>
          <w:rFonts w:ascii="Calibri" w:hAnsi="Calibri" w:cs="Calibri"/>
          <w:color w:val="000000"/>
          <w:shd w:val="clear" w:color="auto" w:fill="FFFFFF"/>
        </w:rPr>
      </w:pPr>
      <w:r w:rsidRPr="00FF74C0">
        <w:rPr>
          <w:rFonts w:ascii="Calibri" w:hAnsi="Calibri" w:cs="Calibri"/>
          <w:color w:val="000000"/>
          <w:shd w:val="clear" w:color="auto" w:fill="FFFFFF"/>
        </w:rPr>
        <w:t xml:space="preserve">Procesele care au contribuit la nivelul sectorului la progresul </w:t>
      </w:r>
      <w:r w:rsidR="00FB15F4" w:rsidRPr="00FF74C0">
        <w:rPr>
          <w:rFonts w:ascii="Calibri" w:hAnsi="Calibri" w:cs="Calibri"/>
          <w:color w:val="000000"/>
          <w:shd w:val="clear" w:color="auto" w:fill="FFFFFF"/>
        </w:rPr>
        <w:t>î</w:t>
      </w:r>
      <w:r w:rsidRPr="00FF74C0">
        <w:rPr>
          <w:rFonts w:ascii="Calibri" w:hAnsi="Calibri" w:cs="Calibri"/>
          <w:color w:val="000000"/>
          <w:shd w:val="clear" w:color="auto" w:fill="FFFFFF"/>
        </w:rPr>
        <w:t>nregistrat</w:t>
      </w:r>
      <w:r w:rsidR="00591FCC" w:rsidRPr="00FF74C0">
        <w:rPr>
          <w:rFonts w:ascii="Calibri" w:hAnsi="Calibri" w:cs="Calibri"/>
          <w:color w:val="000000"/>
          <w:shd w:val="clear" w:color="auto" w:fill="FFFFFF"/>
        </w:rPr>
        <w:t>.</w:t>
      </w:r>
    </w:p>
    <w:p w14:paraId="23076029" w14:textId="77777777" w:rsidR="00A52EA6" w:rsidRPr="00FF74C0" w:rsidRDefault="00A52EA6" w:rsidP="006108E4">
      <w:pPr>
        <w:pStyle w:val="ListParagraph"/>
        <w:spacing w:after="60" w:line="240" w:lineRule="auto"/>
        <w:ind w:left="714"/>
        <w:rPr>
          <w:rFonts w:ascii="Calibri" w:hAnsi="Calibri" w:cs="Calibri"/>
          <w:color w:val="000000"/>
          <w:shd w:val="clear" w:color="auto" w:fill="FFFFFF"/>
        </w:rPr>
      </w:pPr>
    </w:p>
    <w:p w14:paraId="5CF6CA71" w14:textId="3DE96221" w:rsidR="00666A03" w:rsidRPr="00FF74C0" w:rsidRDefault="00B35641" w:rsidP="006108E4">
      <w:pPr>
        <w:spacing w:after="120" w:line="240" w:lineRule="auto"/>
        <w:rPr>
          <w:rFonts w:ascii="Calibri" w:hAnsi="Calibri" w:cs="Calibri"/>
          <w:bCs/>
          <w:szCs w:val="18"/>
        </w:rPr>
      </w:pPr>
      <w:r w:rsidRPr="00FF74C0">
        <w:rPr>
          <w:rFonts w:ascii="Calibri" w:hAnsi="Calibri" w:cs="Calibri"/>
        </w:rPr>
        <w:t xml:space="preserve">Conform metodologiei din raportul </w:t>
      </w:r>
      <w:r w:rsidR="00707853" w:rsidRPr="00FF74C0">
        <w:rPr>
          <w:rFonts w:ascii="Calibri" w:hAnsi="Calibri" w:cs="Calibri"/>
        </w:rPr>
        <w:t>inițial, pentru a analiza progresul atins în zonele, sectoarele și grupurile vizate în raport cu obiectivele specifice (efecte brute ale intervenției)</w:t>
      </w:r>
      <w:r w:rsidR="001C6E2D" w:rsidRPr="00FF74C0">
        <w:rPr>
          <w:rFonts w:ascii="Calibri" w:hAnsi="Calibri" w:cs="Calibri"/>
        </w:rPr>
        <w:t xml:space="preserve"> a fost urmărită</w:t>
      </w:r>
      <w:r w:rsidR="00666A03" w:rsidRPr="00FF74C0">
        <w:rPr>
          <w:rFonts w:ascii="Calibri" w:hAnsi="Calibri" w:cs="Calibri"/>
        </w:rPr>
        <w:t xml:space="preserve"> evoluția indicatorilor care reflectă efectele </w:t>
      </w:r>
      <w:r w:rsidR="00416012" w:rsidRPr="00FF74C0">
        <w:rPr>
          <w:rFonts w:ascii="Calibri" w:hAnsi="Calibri" w:cs="Calibri"/>
        </w:rPr>
        <w:t xml:space="preserve">brute ale </w:t>
      </w:r>
      <w:r w:rsidR="00666A03" w:rsidRPr="00FF74C0">
        <w:rPr>
          <w:rFonts w:ascii="Calibri" w:hAnsi="Calibri" w:cs="Calibri"/>
        </w:rPr>
        <w:t xml:space="preserve">intervențiilor </w:t>
      </w:r>
      <w:r w:rsidR="00843FF9" w:rsidRPr="00FF74C0">
        <w:rPr>
          <w:rFonts w:ascii="Calibri" w:hAnsi="Calibri" w:cs="Calibri"/>
        </w:rPr>
        <w:t xml:space="preserve">finanțate </w:t>
      </w:r>
      <w:r w:rsidR="00666A03" w:rsidRPr="00FF74C0">
        <w:rPr>
          <w:rFonts w:ascii="Calibri" w:hAnsi="Calibri" w:cs="Calibri"/>
        </w:rPr>
        <w:t>prin</w:t>
      </w:r>
      <w:r w:rsidR="008A0F4E">
        <w:rPr>
          <w:rFonts w:ascii="Calibri" w:hAnsi="Calibri" w:cs="Calibri"/>
        </w:rPr>
        <w:t xml:space="preserve"> OS 4.4</w:t>
      </w:r>
      <w:r w:rsidR="00666A03" w:rsidRPr="00FF74C0">
        <w:rPr>
          <w:rFonts w:ascii="Calibri" w:hAnsi="Calibri" w:cs="Calibri"/>
        </w:rPr>
        <w:t xml:space="preserve">, </w:t>
      </w:r>
      <w:r w:rsidR="0074490A" w:rsidRPr="00FF74C0">
        <w:rPr>
          <w:rFonts w:ascii="Calibri" w:hAnsi="Calibri" w:cs="Calibri"/>
        </w:rPr>
        <w:t>asupra</w:t>
      </w:r>
      <w:r w:rsidR="00666A03" w:rsidRPr="00FF74C0">
        <w:rPr>
          <w:rFonts w:ascii="Calibri" w:hAnsi="Calibri" w:cs="Calibri"/>
        </w:rPr>
        <w:t xml:space="preserve"> persoanelor aparținând grupurilor vulnerabile, cum sunt </w:t>
      </w:r>
      <w:r w:rsidR="00666A03" w:rsidRPr="00FF74C0">
        <w:rPr>
          <w:rFonts w:ascii="Calibri" w:hAnsi="Calibri" w:cs="Calibri"/>
          <w:szCs w:val="18"/>
        </w:rPr>
        <w:t>variația nivelului de trai, a ratei riscului de sărăcie,</w:t>
      </w:r>
      <w:r w:rsidR="007D04B0">
        <w:rPr>
          <w:rFonts w:ascii="Calibri" w:hAnsi="Calibri" w:cs="Calibri"/>
          <w:szCs w:val="18"/>
        </w:rPr>
        <w:t xml:space="preserve"> </w:t>
      </w:r>
      <w:r w:rsidR="007D04B0" w:rsidRPr="007D1373">
        <w:rPr>
          <w:rFonts w:ascii="Calibri" w:hAnsi="Calibri" w:cs="Calibri"/>
          <w:szCs w:val="20"/>
        </w:rPr>
        <w:t>evoluția numărului persoanelor fără adăpost, evoluția numărului persoanelor care suferă de diferite forme de dependență; evoluția numărului victimelor violenței domestice și victimelor traficului de ființe umane; evoluția numărului persoanelor vârstnice sau cu dizabilități aflate în situații de dependență sau risc de excluziune</w:t>
      </w:r>
      <w:r w:rsidR="007D04B0">
        <w:rPr>
          <w:rFonts w:ascii="Calibri" w:hAnsi="Calibri" w:cs="Calibri"/>
          <w:szCs w:val="20"/>
        </w:rPr>
        <w:t xml:space="preserve">, etc. </w:t>
      </w:r>
      <w:r w:rsidR="00707853" w:rsidRPr="00FF74C0">
        <w:rPr>
          <w:rFonts w:ascii="Calibri" w:hAnsi="Calibri" w:cs="Calibri"/>
          <w:szCs w:val="18"/>
        </w:rPr>
        <w:t>I</w:t>
      </w:r>
      <w:r w:rsidR="00666A03" w:rsidRPr="00FF74C0">
        <w:rPr>
          <w:rFonts w:ascii="Calibri" w:hAnsi="Calibri" w:cs="Calibri"/>
        </w:rPr>
        <w:t xml:space="preserve">ndicatorii secundari </w:t>
      </w:r>
      <w:r w:rsidR="00707853" w:rsidRPr="00FF74C0">
        <w:rPr>
          <w:rFonts w:ascii="Calibri" w:hAnsi="Calibri" w:cs="Calibri"/>
        </w:rPr>
        <w:t>au fost colectați</w:t>
      </w:r>
      <w:r w:rsidR="00666A03" w:rsidRPr="00FF74C0">
        <w:rPr>
          <w:rFonts w:ascii="Calibri" w:hAnsi="Calibri" w:cs="Calibri"/>
        </w:rPr>
        <w:t xml:space="preserve"> din surse oficiale (INS, E</w:t>
      </w:r>
      <w:r w:rsidR="00707853" w:rsidRPr="00FF74C0">
        <w:rPr>
          <w:rFonts w:ascii="Calibri" w:hAnsi="Calibri" w:cs="Calibri"/>
        </w:rPr>
        <w:t>UROSTAT, MMPS, ANOFM</w:t>
      </w:r>
      <w:r w:rsidR="00666A03" w:rsidRPr="00FF74C0">
        <w:rPr>
          <w:rFonts w:ascii="Calibri" w:hAnsi="Calibri" w:cs="Calibri"/>
          <w:szCs w:val="18"/>
        </w:rPr>
        <w:t>), iar cei primari prin instrumentele specifice interviurilor, focus-grupurilor, atelierelor de lucru.</w:t>
      </w:r>
    </w:p>
    <w:p w14:paraId="0F475E52" w14:textId="18A55A1A" w:rsidR="001C6E2D" w:rsidRPr="00FF74C0" w:rsidRDefault="00666A03" w:rsidP="006108E4">
      <w:pPr>
        <w:spacing w:after="120" w:line="240" w:lineRule="auto"/>
        <w:rPr>
          <w:rFonts w:ascii="Calibri" w:hAnsi="Calibri" w:cs="Calibri"/>
        </w:rPr>
      </w:pPr>
      <w:r w:rsidRPr="00FF74C0">
        <w:rPr>
          <w:rFonts w:ascii="Calibri" w:hAnsi="Calibri" w:cs="Calibri"/>
          <w:b/>
        </w:rPr>
        <w:t xml:space="preserve">Ipoteza </w:t>
      </w:r>
      <w:r w:rsidR="0045135C" w:rsidRPr="00FF74C0">
        <w:rPr>
          <w:rFonts w:ascii="Calibri" w:hAnsi="Calibri" w:cs="Calibri"/>
          <w:b/>
        </w:rPr>
        <w:t>de cercetare</w:t>
      </w:r>
      <w:r w:rsidR="001C6E2D" w:rsidRPr="00FF74C0">
        <w:rPr>
          <w:rFonts w:ascii="Calibri" w:hAnsi="Calibri" w:cs="Calibri"/>
          <w:b/>
        </w:rPr>
        <w:t xml:space="preserve"> </w:t>
      </w:r>
      <w:r w:rsidR="001C6E2D" w:rsidRPr="00FF74C0">
        <w:rPr>
          <w:rFonts w:ascii="Calibri" w:hAnsi="Calibri" w:cs="Calibri"/>
        </w:rPr>
        <w:t>este că</w:t>
      </w:r>
      <w:r w:rsidRPr="00FF74C0">
        <w:rPr>
          <w:rFonts w:ascii="Calibri" w:hAnsi="Calibri" w:cs="Calibri"/>
        </w:rPr>
        <w:t xml:space="preserve"> </w:t>
      </w:r>
      <w:r w:rsidR="00180DB2">
        <w:rPr>
          <w:rFonts w:ascii="Calibri" w:hAnsi="Calibri" w:cs="Calibri"/>
        </w:rPr>
        <w:t>situația grupurilor vulnerabile s</w:t>
      </w:r>
      <w:r w:rsidRPr="00FF74C0">
        <w:rPr>
          <w:rFonts w:ascii="Calibri" w:hAnsi="Calibri" w:cs="Calibri"/>
        </w:rPr>
        <w:t>-a îmbunătățit față de momentul adoptării PO</w:t>
      </w:r>
      <w:r w:rsidR="001C6E2D" w:rsidRPr="00FF74C0">
        <w:rPr>
          <w:rFonts w:ascii="Calibri" w:hAnsi="Calibri" w:cs="Calibri"/>
        </w:rPr>
        <w:t xml:space="preserve">. </w:t>
      </w:r>
      <w:r w:rsidR="000C354D" w:rsidRPr="00FF74C0">
        <w:rPr>
          <w:rFonts w:ascii="Calibri" w:hAnsi="Calibri" w:cs="Calibri"/>
        </w:rPr>
        <w:t xml:space="preserve">Variabilele propuse pentru analiză sunt: </w:t>
      </w:r>
      <w:r w:rsidR="003D3929" w:rsidRPr="00714212">
        <w:rPr>
          <w:rFonts w:ascii="Calibri" w:hAnsi="Calibri"/>
          <w:bCs/>
        </w:rPr>
        <w:t>ev</w:t>
      </w:r>
      <w:r w:rsidR="003D3929" w:rsidRPr="00025F3D">
        <w:rPr>
          <w:rFonts w:ascii="Calibri" w:hAnsi="Calibri"/>
        </w:rPr>
        <w:t>oluția ratei riscului de sărăcie sau excluziune socială (global și la nivelul principalelor grupuri vulnerabile)</w:t>
      </w:r>
      <w:r w:rsidR="003D3929">
        <w:rPr>
          <w:rFonts w:ascii="Calibri" w:hAnsi="Calibri"/>
        </w:rPr>
        <w:t>, e</w:t>
      </w:r>
      <w:r w:rsidR="003D3929" w:rsidRPr="00025F3D">
        <w:rPr>
          <w:rFonts w:ascii="Calibri" w:hAnsi="Calibri"/>
        </w:rPr>
        <w:t>voluția ratei de deprivare materială (global și la nivelul principalelor grupuri vulnerabile)</w:t>
      </w:r>
      <w:r w:rsidR="003D3929">
        <w:rPr>
          <w:rFonts w:ascii="Calibri" w:hAnsi="Calibri"/>
        </w:rPr>
        <w:t>, d</w:t>
      </w:r>
      <w:r w:rsidR="003D3929" w:rsidRPr="00025F3D">
        <w:rPr>
          <w:rFonts w:ascii="Calibri" w:hAnsi="Calibri"/>
        </w:rPr>
        <w:t>istribuția serviciilor medicale, socio-profesionale, servicii suport, etc.</w:t>
      </w:r>
      <w:r w:rsidR="003D3929">
        <w:rPr>
          <w:rFonts w:ascii="Calibri" w:hAnsi="Calibri"/>
        </w:rPr>
        <w:t>, i</w:t>
      </w:r>
      <w:r w:rsidR="003D3929" w:rsidRPr="00025F3D">
        <w:rPr>
          <w:rFonts w:ascii="Calibri" w:hAnsi="Calibri"/>
        </w:rPr>
        <w:t>ndicatori privind accesul la servicii medicale și socio-profesionale (global și pentru principale grupuri vulnerabile)</w:t>
      </w:r>
      <w:r w:rsidR="003D3929">
        <w:rPr>
          <w:rFonts w:ascii="Calibri" w:hAnsi="Calibri"/>
        </w:rPr>
        <w:t>, d</w:t>
      </w:r>
      <w:r w:rsidR="003D3929" w:rsidRPr="00025F3D">
        <w:rPr>
          <w:rFonts w:ascii="Calibri" w:hAnsi="Calibri"/>
        </w:rPr>
        <w:t>inamica ocupării în rândul persoanelor active în domeniile afectate de pandemia SARS COV-2</w:t>
      </w:r>
      <w:r w:rsidR="003D3929">
        <w:rPr>
          <w:rFonts w:ascii="Calibri" w:hAnsi="Calibri"/>
        </w:rPr>
        <w:t>, d</w:t>
      </w:r>
      <w:r w:rsidR="003D3929" w:rsidRPr="00025F3D">
        <w:rPr>
          <w:rFonts w:ascii="Calibri" w:hAnsi="Calibri"/>
        </w:rPr>
        <w:t>voluția capacității de a răspunde nevoilor grupurilor vulnerabile în contextul epidemiei SARS-COV-2</w:t>
      </w:r>
      <w:r w:rsidR="003D3929">
        <w:rPr>
          <w:rFonts w:ascii="Calibri" w:hAnsi="Calibri"/>
        </w:rPr>
        <w:t>, p</w:t>
      </w:r>
      <w:r w:rsidR="003D3929" w:rsidRPr="00025F3D">
        <w:rPr>
          <w:rFonts w:ascii="Calibri" w:hAnsi="Calibri"/>
        </w:rPr>
        <w:t>ercepția asupra nivelului de trai.</w:t>
      </w:r>
    </w:p>
    <w:p w14:paraId="490E0B47" w14:textId="77777777" w:rsidR="000C354D" w:rsidRPr="00FF74C0" w:rsidRDefault="000C354D" w:rsidP="006108E4">
      <w:pPr>
        <w:spacing w:after="120" w:line="240" w:lineRule="auto"/>
        <w:rPr>
          <w:rFonts w:ascii="Calibri" w:hAnsi="Calibri" w:cs="Calibri"/>
        </w:rPr>
      </w:pPr>
      <w:r w:rsidRPr="00FF74C0">
        <w:rPr>
          <w:rFonts w:ascii="Calibri" w:hAnsi="Calibri" w:cs="Calibri"/>
        </w:rPr>
        <w:t xml:space="preserve">Instrumentele de evaluare utilizate au fost: </w:t>
      </w:r>
    </w:p>
    <w:p w14:paraId="6B501FA0" w14:textId="7973B02B" w:rsidR="000C354D" w:rsidRPr="00FF74C0" w:rsidRDefault="007013E2" w:rsidP="006108E4">
      <w:pPr>
        <w:pStyle w:val="ListParagraph"/>
        <w:numPr>
          <w:ilvl w:val="0"/>
          <w:numId w:val="4"/>
        </w:numPr>
        <w:spacing w:after="60" w:line="240" w:lineRule="auto"/>
        <w:ind w:left="714" w:hanging="357"/>
        <w:rPr>
          <w:rFonts w:ascii="Calibri" w:hAnsi="Calibri" w:cs="Calibri"/>
          <w:color w:val="000000"/>
          <w:shd w:val="clear" w:color="auto" w:fill="FFFFFF"/>
        </w:rPr>
      </w:pPr>
      <w:r w:rsidRPr="00FF74C0">
        <w:rPr>
          <w:rFonts w:ascii="Calibri" w:hAnsi="Calibri" w:cs="Calibri"/>
          <w:color w:val="000000"/>
          <w:shd w:val="clear" w:color="auto" w:fill="FFFFFF"/>
        </w:rPr>
        <w:t>C</w:t>
      </w:r>
      <w:r w:rsidR="000C354D" w:rsidRPr="00FF74C0">
        <w:rPr>
          <w:rFonts w:ascii="Calibri" w:hAnsi="Calibri" w:cs="Calibri"/>
          <w:color w:val="000000"/>
          <w:shd w:val="clear" w:color="auto" w:fill="FFFFFF"/>
        </w:rPr>
        <w:t>ercetarea</w:t>
      </w:r>
      <w:r w:rsidR="00666A03" w:rsidRPr="00FF74C0">
        <w:rPr>
          <w:rFonts w:ascii="Calibri" w:hAnsi="Calibri" w:cs="Calibri"/>
          <w:color w:val="000000"/>
          <w:shd w:val="clear" w:color="auto" w:fill="FFFFFF"/>
        </w:rPr>
        <w:t xml:space="preserve"> documentară</w:t>
      </w:r>
      <w:r w:rsidR="000C354D" w:rsidRPr="00FF74C0">
        <w:rPr>
          <w:rFonts w:ascii="Calibri" w:hAnsi="Calibri" w:cs="Calibri"/>
          <w:color w:val="000000"/>
          <w:shd w:val="clear" w:color="auto" w:fill="FFFFFF"/>
        </w:rPr>
        <w:t xml:space="preserve"> - Documente privind cadrul strategic, legislativ și instituțional, european și național privind specificul intervențiilor vizate; Documente – cheie de politică sectorială și cele cu caracter strategic; Documente de programare (PO</w:t>
      </w:r>
      <w:r w:rsidR="00266F8D">
        <w:rPr>
          <w:rFonts w:ascii="Calibri" w:hAnsi="Calibri" w:cs="Calibri"/>
          <w:color w:val="000000"/>
          <w:shd w:val="clear" w:color="auto" w:fill="FFFFFF"/>
        </w:rPr>
        <w:t>CU</w:t>
      </w:r>
      <w:r w:rsidR="000C354D" w:rsidRPr="00FF74C0">
        <w:rPr>
          <w:rFonts w:ascii="Calibri" w:hAnsi="Calibri" w:cs="Calibri"/>
          <w:color w:val="000000"/>
          <w:shd w:val="clear" w:color="auto" w:fill="FFFFFF"/>
        </w:rPr>
        <w:t>,</w:t>
      </w:r>
      <w:r w:rsidR="00266F8D">
        <w:rPr>
          <w:rFonts w:ascii="Calibri" w:hAnsi="Calibri" w:cs="Calibri"/>
          <w:color w:val="000000"/>
          <w:shd w:val="clear" w:color="auto" w:fill="FFFFFF"/>
        </w:rPr>
        <w:t xml:space="preserve"> </w:t>
      </w:r>
      <w:r w:rsidR="000C354D" w:rsidRPr="00FF74C0">
        <w:rPr>
          <w:rFonts w:ascii="Calibri" w:hAnsi="Calibri" w:cs="Calibri"/>
          <w:color w:val="000000"/>
          <w:shd w:val="clear" w:color="auto" w:fill="FFFFFF"/>
        </w:rPr>
        <w:t>Rapoartele Anuale de Implementare, etc.); Date administrative privind proiectele fin</w:t>
      </w:r>
      <w:r w:rsidR="006B7461" w:rsidRPr="00FF74C0">
        <w:rPr>
          <w:rFonts w:ascii="Calibri" w:hAnsi="Calibri" w:cs="Calibri"/>
          <w:color w:val="000000"/>
          <w:shd w:val="clear" w:color="auto" w:fill="FFFFFF"/>
        </w:rPr>
        <w:t>anțate (SMIS, fonduri-ue.ro</w:t>
      </w:r>
      <w:r w:rsidR="000C354D" w:rsidRPr="00FF74C0">
        <w:rPr>
          <w:rFonts w:ascii="Calibri" w:hAnsi="Calibri" w:cs="Calibri"/>
          <w:color w:val="000000"/>
          <w:shd w:val="clear" w:color="auto" w:fill="FFFFFF"/>
        </w:rPr>
        <w:t xml:space="preserve"> etc.); Date privind contextul intervențiilor, preluate din baze de date statistice și rapoarte de monitorizare și evaluare, planuri, strategii aferente domeniului</w:t>
      </w:r>
      <w:r w:rsidRPr="00FF74C0">
        <w:rPr>
          <w:rFonts w:ascii="Calibri" w:hAnsi="Calibri" w:cs="Calibri"/>
          <w:color w:val="000000"/>
          <w:shd w:val="clear" w:color="auto" w:fill="FFFFFF"/>
        </w:rPr>
        <w:t xml:space="preserve"> – rapoarte privind incluziunea socială ale MMPS,</w:t>
      </w:r>
      <w:r w:rsidR="00CA7346">
        <w:rPr>
          <w:rFonts w:ascii="Calibri" w:hAnsi="Calibri" w:cs="Calibri"/>
          <w:color w:val="000000"/>
          <w:shd w:val="clear" w:color="auto" w:fill="FFFFFF"/>
        </w:rPr>
        <w:t xml:space="preserve"> etc. </w:t>
      </w:r>
    </w:p>
    <w:p w14:paraId="06D849B3" w14:textId="6E321F4F" w:rsidR="00666A03" w:rsidRPr="00FF74C0" w:rsidRDefault="007013E2" w:rsidP="006108E4">
      <w:pPr>
        <w:pStyle w:val="ListParagraph"/>
        <w:numPr>
          <w:ilvl w:val="0"/>
          <w:numId w:val="4"/>
        </w:numPr>
        <w:spacing w:after="60" w:line="240" w:lineRule="auto"/>
        <w:ind w:left="714" w:hanging="357"/>
        <w:rPr>
          <w:rFonts w:ascii="Calibri" w:hAnsi="Calibri" w:cs="Calibri"/>
          <w:color w:val="000000"/>
          <w:shd w:val="clear" w:color="auto" w:fill="FFFFFF"/>
        </w:rPr>
      </w:pPr>
      <w:r w:rsidRPr="00FF74C0">
        <w:rPr>
          <w:rFonts w:ascii="Calibri" w:hAnsi="Calibri" w:cs="Calibri"/>
          <w:color w:val="000000"/>
          <w:shd w:val="clear" w:color="auto" w:fill="FFFFFF"/>
        </w:rPr>
        <w:t>P</w:t>
      </w:r>
      <w:r w:rsidR="000C354D" w:rsidRPr="00FF74C0">
        <w:rPr>
          <w:rFonts w:ascii="Calibri" w:hAnsi="Calibri" w:cs="Calibri"/>
          <w:color w:val="000000"/>
          <w:shd w:val="clear" w:color="auto" w:fill="FFFFFF"/>
        </w:rPr>
        <w:t xml:space="preserve">rocesare și analiză statistică a seriilor de date </w:t>
      </w:r>
      <w:r w:rsidRPr="00FF74C0">
        <w:rPr>
          <w:rFonts w:ascii="Calibri" w:hAnsi="Calibri" w:cs="Calibri"/>
          <w:color w:val="000000"/>
          <w:shd w:val="clear" w:color="auto" w:fill="FFFFFF"/>
        </w:rPr>
        <w:t>(</w:t>
      </w:r>
      <w:r w:rsidR="000C354D" w:rsidRPr="00FF74C0">
        <w:rPr>
          <w:rFonts w:ascii="Calibri" w:hAnsi="Calibri" w:cs="Calibri"/>
          <w:color w:val="000000"/>
          <w:shd w:val="clear" w:color="auto" w:fill="FFFFFF"/>
        </w:rPr>
        <w:t>analiza secundară a datelor</w:t>
      </w:r>
      <w:r w:rsidRPr="00FF74C0">
        <w:rPr>
          <w:rFonts w:ascii="Calibri" w:hAnsi="Calibri" w:cs="Calibri"/>
          <w:color w:val="000000"/>
          <w:shd w:val="clear" w:color="auto" w:fill="FFFFFF"/>
        </w:rPr>
        <w:t>) privind, nivelul de trai, sărăcia de la INS, EUROSTAT, MMPS</w:t>
      </w:r>
      <w:r w:rsidR="009F0021" w:rsidRPr="00FF74C0">
        <w:rPr>
          <w:rFonts w:ascii="Calibri" w:hAnsi="Calibri" w:cs="Calibri"/>
          <w:color w:val="000000"/>
          <w:shd w:val="clear" w:color="auto" w:fill="FFFFFF"/>
        </w:rPr>
        <w:t>;</w:t>
      </w:r>
    </w:p>
    <w:p w14:paraId="33DFAF45" w14:textId="2334F969" w:rsidR="007013E2" w:rsidRPr="00FF74C0" w:rsidRDefault="007013E2" w:rsidP="006108E4">
      <w:pPr>
        <w:pStyle w:val="ListParagraph"/>
        <w:numPr>
          <w:ilvl w:val="0"/>
          <w:numId w:val="4"/>
        </w:numPr>
        <w:spacing w:after="60" w:line="240" w:lineRule="auto"/>
        <w:ind w:left="714" w:hanging="357"/>
        <w:rPr>
          <w:rFonts w:ascii="Calibri" w:hAnsi="Calibri" w:cs="Calibri"/>
          <w:color w:val="000000"/>
          <w:shd w:val="clear" w:color="auto" w:fill="FFFFFF"/>
        </w:rPr>
      </w:pPr>
      <w:r w:rsidRPr="00FF74C0">
        <w:rPr>
          <w:rFonts w:ascii="Calibri" w:hAnsi="Calibri" w:cs="Calibri"/>
          <w:color w:val="000000"/>
          <w:shd w:val="clear" w:color="auto" w:fill="FFFFFF"/>
        </w:rPr>
        <w:t xml:space="preserve">Interviuri cu beneficiari ai finanțării prin </w:t>
      </w:r>
      <w:r w:rsidR="003F126B">
        <w:rPr>
          <w:rFonts w:ascii="Calibri" w:hAnsi="Calibri" w:cs="Calibri"/>
          <w:color w:val="000000"/>
          <w:shd w:val="clear" w:color="auto" w:fill="FFFFFF"/>
        </w:rPr>
        <w:t xml:space="preserve">OS </w:t>
      </w:r>
      <w:r w:rsidRPr="00FF74C0">
        <w:rPr>
          <w:rFonts w:ascii="Calibri" w:hAnsi="Calibri" w:cs="Calibri"/>
          <w:color w:val="000000"/>
          <w:shd w:val="clear" w:color="auto" w:fill="FFFFFF"/>
        </w:rPr>
        <w:t xml:space="preserve">și cu autorități relevante în domeniul </w:t>
      </w:r>
      <w:r w:rsidR="003F126B">
        <w:rPr>
          <w:rFonts w:ascii="Calibri" w:hAnsi="Calibri" w:cs="Calibri"/>
          <w:color w:val="000000"/>
          <w:shd w:val="clear" w:color="auto" w:fill="FFFFFF"/>
        </w:rPr>
        <w:t>incluziunii sociale</w:t>
      </w:r>
      <w:r w:rsidR="009F0021" w:rsidRPr="00FF74C0">
        <w:rPr>
          <w:rFonts w:ascii="Calibri" w:hAnsi="Calibri" w:cs="Calibri"/>
          <w:color w:val="000000"/>
          <w:shd w:val="clear" w:color="auto" w:fill="FFFFFF"/>
        </w:rPr>
        <w:t>;</w:t>
      </w:r>
    </w:p>
    <w:p w14:paraId="3B7DBB41" w14:textId="35C47553" w:rsidR="007013E2" w:rsidRPr="00FF74C0" w:rsidRDefault="007013E2" w:rsidP="006108E4">
      <w:pPr>
        <w:pStyle w:val="ListParagraph"/>
        <w:numPr>
          <w:ilvl w:val="0"/>
          <w:numId w:val="4"/>
        </w:numPr>
        <w:spacing w:after="60" w:line="240" w:lineRule="auto"/>
        <w:ind w:left="714" w:hanging="357"/>
        <w:rPr>
          <w:rFonts w:ascii="Calibri" w:hAnsi="Calibri" w:cs="Calibri"/>
          <w:color w:val="000000"/>
          <w:shd w:val="clear" w:color="auto" w:fill="FFFFFF"/>
        </w:rPr>
      </w:pPr>
      <w:r w:rsidRPr="00FF74C0">
        <w:rPr>
          <w:rFonts w:ascii="Calibri" w:hAnsi="Calibri" w:cs="Calibri"/>
          <w:color w:val="000000"/>
          <w:shd w:val="clear" w:color="auto" w:fill="FFFFFF"/>
        </w:rPr>
        <w:t>Focus-grupuri regionale și național</w:t>
      </w:r>
      <w:r w:rsidR="009F0021" w:rsidRPr="00FF74C0">
        <w:rPr>
          <w:rFonts w:ascii="Calibri" w:hAnsi="Calibri" w:cs="Calibri"/>
          <w:color w:val="000000"/>
          <w:shd w:val="clear" w:color="auto" w:fill="FFFFFF"/>
        </w:rPr>
        <w:t>;</w:t>
      </w:r>
    </w:p>
    <w:p w14:paraId="16B7F139" w14:textId="245CD4AB" w:rsidR="007013E2" w:rsidRPr="00FF74C0" w:rsidRDefault="007013E2" w:rsidP="006108E4">
      <w:pPr>
        <w:pStyle w:val="ListParagraph"/>
        <w:numPr>
          <w:ilvl w:val="0"/>
          <w:numId w:val="4"/>
        </w:numPr>
        <w:spacing w:after="60" w:line="240" w:lineRule="auto"/>
        <w:ind w:left="714" w:hanging="357"/>
        <w:rPr>
          <w:rFonts w:ascii="Calibri" w:hAnsi="Calibri" w:cs="Calibri"/>
          <w:color w:val="000000"/>
          <w:shd w:val="clear" w:color="auto" w:fill="FFFFFF"/>
        </w:rPr>
      </w:pPr>
      <w:r w:rsidRPr="00FF74C0">
        <w:rPr>
          <w:rFonts w:ascii="Calibri" w:hAnsi="Calibri" w:cs="Calibri"/>
          <w:color w:val="000000"/>
          <w:shd w:val="clear" w:color="auto" w:fill="FFFFFF"/>
        </w:rPr>
        <w:t>Panel de experți</w:t>
      </w:r>
      <w:r w:rsidR="009F0021" w:rsidRPr="00FF74C0">
        <w:rPr>
          <w:rFonts w:ascii="Calibri" w:hAnsi="Calibri" w:cs="Calibri"/>
          <w:color w:val="000000"/>
          <w:shd w:val="clear" w:color="auto" w:fill="FFFFFF"/>
        </w:rPr>
        <w:t>.</w:t>
      </w:r>
    </w:p>
    <w:p w14:paraId="6E5DEED2" w14:textId="30F9C98B" w:rsidR="00707853" w:rsidRDefault="00A52EA6" w:rsidP="006108E4">
      <w:pPr>
        <w:rPr>
          <w:rFonts w:ascii="Calibri" w:hAnsi="Calibri" w:cs="Calibri"/>
          <w:szCs w:val="20"/>
        </w:rPr>
      </w:pPr>
      <w:r w:rsidRPr="00FF74C0">
        <w:rPr>
          <w:rFonts w:ascii="Calibri" w:hAnsi="Calibri" w:cs="Calibri"/>
          <w:szCs w:val="20"/>
        </w:rPr>
        <w:br w:type="page"/>
      </w:r>
    </w:p>
    <w:p w14:paraId="7C09C7DA" w14:textId="24977323" w:rsidR="00934806" w:rsidRPr="007D1373" w:rsidRDefault="00934806" w:rsidP="00934806">
      <w:pPr>
        <w:pStyle w:val="Heading1"/>
        <w:rPr>
          <w:rFonts w:eastAsia="Times New Roman"/>
          <w:lang w:eastAsia="ro-RO"/>
        </w:rPr>
      </w:pPr>
      <w:bookmarkStart w:id="2" w:name="_Toc86993582"/>
      <w:r w:rsidRPr="007D1373">
        <w:rPr>
          <w:rFonts w:eastAsia="Times New Roman"/>
          <w:lang w:eastAsia="ro-RO"/>
        </w:rPr>
        <w:lastRenderedPageBreak/>
        <w:t>EVOLUȚIA SITUAȚIEI GRUPURILOR VULNERABILE</w:t>
      </w:r>
      <w:bookmarkEnd w:id="2"/>
    </w:p>
    <w:p w14:paraId="55C4AEBD" w14:textId="77777777" w:rsidR="00934806" w:rsidRPr="007D1373" w:rsidRDefault="00934806" w:rsidP="00934806">
      <w:pPr>
        <w:pStyle w:val="Heading2"/>
        <w:rPr>
          <w:lang w:eastAsia="ro-RO"/>
        </w:rPr>
      </w:pPr>
      <w:bookmarkStart w:id="3" w:name="_Toc86993583"/>
      <w:r w:rsidRPr="007D1373">
        <w:rPr>
          <w:lang w:eastAsia="ro-RO"/>
        </w:rPr>
        <w:t>Sărăcie</w:t>
      </w:r>
      <w:bookmarkEnd w:id="3"/>
    </w:p>
    <w:p w14:paraId="75707BE6" w14:textId="77777777" w:rsidR="00934806" w:rsidRPr="007D1373" w:rsidRDefault="00934806" w:rsidP="00934806">
      <w:pPr>
        <w:pStyle w:val="Heading3"/>
        <w:rPr>
          <w:lang w:eastAsia="ro-RO"/>
        </w:rPr>
      </w:pPr>
      <w:bookmarkStart w:id="4" w:name="_Toc86993584"/>
      <w:r w:rsidRPr="007D1373">
        <w:rPr>
          <w:lang w:eastAsia="ro-RO"/>
        </w:rPr>
        <w:t>Rata riscului de sărăcie și excluziune socială</w:t>
      </w:r>
      <w:bookmarkEnd w:id="4"/>
    </w:p>
    <w:p w14:paraId="774E0E54" w14:textId="77777777" w:rsidR="00934806" w:rsidRPr="007D1373" w:rsidRDefault="00934806" w:rsidP="00934806">
      <w:pPr>
        <w:rPr>
          <w:lang w:eastAsia="ro-RO"/>
        </w:rPr>
      </w:pPr>
      <w:r w:rsidRPr="007D1373">
        <w:rPr>
          <w:lang w:eastAsia="ro-RO"/>
        </w:rPr>
        <w:t>Rata riscului de sărăcie și excluziune socială s-a redus pentru populația României în perioada 2010 – 2021 cu peste 10%, de la 41.5% la 30.4%. Scăderi ale ratei riscului de sărăcie și excluziune socială sunt înregistrate atât în cazul copiilor (care au cel mai mare risc de sărăcie și excluziune socială) de la 48.1% la 36.3%, dar și al persoanelor adulte (de la 39.8% la 28.2%) sau al celor vârstnice (de la 40.1% la 31.5%). Pentru populația generală, copii și adulți evoluția ratei de sărăcie și excluziune socială este oscilantă cu creșteri în perioada 2010 – 2012 și 2015 – 2016. Scădere a ratei riscului de sărăcie și excluziune socială se înregistrează în special în perioada 2016 – 2020. (</w:t>
      </w:r>
      <w:r w:rsidRPr="007D1373">
        <w:rPr>
          <w:lang w:eastAsia="ro-RO"/>
        </w:rPr>
        <w:fldChar w:fldCharType="begin"/>
      </w:r>
      <w:r w:rsidRPr="007D1373">
        <w:rPr>
          <w:lang w:eastAsia="ro-RO"/>
        </w:rPr>
        <w:instrText xml:space="preserve"> REF _Ref86183434 \h </w:instrText>
      </w:r>
      <w:r w:rsidRPr="007D1373">
        <w:rPr>
          <w:lang w:eastAsia="ro-RO"/>
        </w:rPr>
      </w:r>
      <w:r w:rsidRPr="007D1373">
        <w:rPr>
          <w:lang w:eastAsia="ro-RO"/>
        </w:rPr>
        <w:fldChar w:fldCharType="separate"/>
      </w:r>
      <w:r w:rsidRPr="007D1373">
        <w:t xml:space="preserve">Figura </w:t>
      </w:r>
      <w:r w:rsidRPr="007D1373">
        <w:rPr>
          <w:noProof/>
        </w:rPr>
        <w:t>1</w:t>
      </w:r>
      <w:r w:rsidRPr="007D1373">
        <w:rPr>
          <w:lang w:eastAsia="ro-RO"/>
        </w:rPr>
        <w:fldChar w:fldCharType="end"/>
      </w:r>
      <w:r w:rsidRPr="007D1373">
        <w:rPr>
          <w:lang w:eastAsia="ro-RO"/>
        </w:rPr>
        <w:t xml:space="preserve">) </w:t>
      </w:r>
    </w:p>
    <w:p w14:paraId="08889C63" w14:textId="0332E7CE" w:rsidR="00934806" w:rsidRPr="007D1373" w:rsidRDefault="00AF0575" w:rsidP="00AF0575">
      <w:pPr>
        <w:pStyle w:val="Caption"/>
        <w:rPr>
          <w:lang w:eastAsia="ro-RO"/>
        </w:rPr>
      </w:pPr>
      <w:bookmarkStart w:id="5" w:name="_Toc86993636"/>
      <w:r>
        <w:t xml:space="preserve">Figură </w:t>
      </w:r>
      <w:r>
        <w:fldChar w:fldCharType="begin"/>
      </w:r>
      <w:r>
        <w:instrText xml:space="preserve"> SEQ Figură \* ARABIC </w:instrText>
      </w:r>
      <w:r>
        <w:fldChar w:fldCharType="separate"/>
      </w:r>
      <w:r w:rsidR="0089533D">
        <w:rPr>
          <w:noProof/>
        </w:rPr>
        <w:t>1</w:t>
      </w:r>
      <w:r>
        <w:fldChar w:fldCharType="end"/>
      </w:r>
      <w:r>
        <w:t xml:space="preserve"> </w:t>
      </w:r>
      <w:r w:rsidRPr="00112922">
        <w:t>Evoluția ratei riscului de sărăcie și excluziune socială pe categorii de vârstă în România</w:t>
      </w:r>
      <w:bookmarkEnd w:id="5"/>
    </w:p>
    <w:p w14:paraId="7BE43CC8" w14:textId="77777777" w:rsidR="00934806" w:rsidRPr="007D1373" w:rsidRDefault="00934806" w:rsidP="00934806">
      <w:pPr>
        <w:rPr>
          <w:lang w:eastAsia="ro-RO"/>
        </w:rPr>
      </w:pPr>
      <w:r w:rsidRPr="007D1373">
        <w:rPr>
          <w:noProof/>
        </w:rPr>
        <w:drawing>
          <wp:inline distT="0" distB="0" distL="0" distR="0" wp14:anchorId="4FEABCFA" wp14:editId="6237A5BB">
            <wp:extent cx="5687291" cy="2952750"/>
            <wp:effectExtent l="0" t="0" r="889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FCB50C" w14:textId="77777777" w:rsidR="00934806" w:rsidRPr="002F6715" w:rsidRDefault="00934806" w:rsidP="002F6715">
      <w:pPr>
        <w:spacing w:after="0"/>
        <w:rPr>
          <w:sz w:val="16"/>
          <w:szCs w:val="16"/>
        </w:rPr>
      </w:pPr>
      <w:r w:rsidRPr="002F6715">
        <w:rPr>
          <w:sz w:val="16"/>
          <w:szCs w:val="16"/>
        </w:rPr>
        <w:t>Sursa: Eurostat, 2021, indicator Persoane aflate în risc de sărăcie și excluziune socială [ilc_peps01]</w:t>
      </w:r>
    </w:p>
    <w:p w14:paraId="62BA78E1" w14:textId="77777777" w:rsidR="00934806" w:rsidRPr="007D1373" w:rsidRDefault="00934806" w:rsidP="00934806">
      <w:pPr>
        <w:rPr>
          <w:lang w:eastAsia="ro-RO"/>
        </w:rPr>
      </w:pPr>
      <w:r w:rsidRPr="007D1373">
        <w:rPr>
          <w:lang w:eastAsia="ro-RO"/>
        </w:rPr>
        <w:t>În ciuda acestor scăderi înregistrate în rata riscului de sărăcie și excluziune socială, România încă se află mult deasupra medie europene pe toate categoriile de vârstă. Analiza comparativă a riscului de sărăcie și excluziune socială plasează România pe primele locuri la nivelul UE alături de Bulgaria. Cu toate acestea este de remarcat progresul României în reducerea ratei riscului de sărăcie și excluziune socială pe toate categoriile de vârstă în ultimii 10 ani.  Astfel dacă în 2010 rata generală a riscului de sărăcie și excluziune socială era cu peste 17% mai mare decât media UE, în 2020 diferența a coborât la peste 8%. (</w:t>
      </w:r>
      <w:r w:rsidRPr="007D1373">
        <w:rPr>
          <w:lang w:eastAsia="ro-RO"/>
        </w:rPr>
        <w:fldChar w:fldCharType="begin"/>
      </w:r>
      <w:r w:rsidRPr="007D1373">
        <w:rPr>
          <w:lang w:eastAsia="ro-RO"/>
        </w:rPr>
        <w:instrText xml:space="preserve"> REF _Ref86184256 \h </w:instrText>
      </w:r>
      <w:r w:rsidRPr="007D1373">
        <w:rPr>
          <w:lang w:eastAsia="ro-RO"/>
        </w:rPr>
      </w:r>
      <w:r w:rsidRPr="007D1373">
        <w:rPr>
          <w:lang w:eastAsia="ro-RO"/>
        </w:rPr>
        <w:fldChar w:fldCharType="separate"/>
      </w:r>
      <w:r w:rsidRPr="007D1373">
        <w:t xml:space="preserve">Figura </w:t>
      </w:r>
      <w:r w:rsidRPr="007D1373">
        <w:rPr>
          <w:noProof/>
        </w:rPr>
        <w:t>2</w:t>
      </w:r>
      <w:r w:rsidRPr="007D1373">
        <w:rPr>
          <w:lang w:eastAsia="ro-RO"/>
        </w:rPr>
        <w:fldChar w:fldCharType="end"/>
      </w:r>
      <w:r w:rsidRPr="007D1373">
        <w:rPr>
          <w:lang w:eastAsia="ro-RO"/>
        </w:rPr>
        <w:t>)</w:t>
      </w:r>
    </w:p>
    <w:p w14:paraId="26BC42C1" w14:textId="13A3E408" w:rsidR="00934806" w:rsidRPr="007D1373" w:rsidRDefault="00981DE1" w:rsidP="00981DE1">
      <w:pPr>
        <w:pStyle w:val="Caption"/>
        <w:rPr>
          <w:lang w:eastAsia="ro-RO"/>
        </w:rPr>
      </w:pPr>
      <w:bookmarkStart w:id="6" w:name="_Toc86993637"/>
      <w:r>
        <w:lastRenderedPageBreak/>
        <w:t xml:space="preserve">Figură </w:t>
      </w:r>
      <w:r>
        <w:fldChar w:fldCharType="begin"/>
      </w:r>
      <w:r>
        <w:instrText xml:space="preserve"> SEQ Figură \* ARABIC </w:instrText>
      </w:r>
      <w:r>
        <w:fldChar w:fldCharType="separate"/>
      </w:r>
      <w:r w:rsidR="0089533D">
        <w:rPr>
          <w:noProof/>
        </w:rPr>
        <w:t>2</w:t>
      </w:r>
      <w:r>
        <w:fldChar w:fldCharType="end"/>
      </w:r>
      <w:r>
        <w:t xml:space="preserve"> </w:t>
      </w:r>
      <w:r w:rsidRPr="00AE4546">
        <w:t>Evoluția ratei riscului de sărăcie și excluziune socială în România și UE pe grupe de vârstă în perioada 2010 - 2020</w:t>
      </w:r>
      <w:bookmarkEnd w:id="6"/>
    </w:p>
    <w:p w14:paraId="1F59B8FC" w14:textId="77777777" w:rsidR="00934806" w:rsidRPr="007D1373" w:rsidRDefault="00934806" w:rsidP="00934806">
      <w:pPr>
        <w:rPr>
          <w:lang w:eastAsia="ro-RO"/>
        </w:rPr>
      </w:pPr>
      <w:r w:rsidRPr="007D1373">
        <w:rPr>
          <w:noProof/>
        </w:rPr>
        <w:drawing>
          <wp:inline distT="0" distB="0" distL="0" distR="0" wp14:anchorId="43869B27" wp14:editId="1DFB0F19">
            <wp:extent cx="5731510" cy="3248025"/>
            <wp:effectExtent l="0" t="0" r="254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1A7157" w14:textId="77777777" w:rsidR="00934806" w:rsidRPr="002F6715" w:rsidRDefault="00934806" w:rsidP="002F6715">
      <w:pPr>
        <w:spacing w:after="0"/>
        <w:rPr>
          <w:sz w:val="16"/>
          <w:szCs w:val="16"/>
        </w:rPr>
      </w:pPr>
      <w:r w:rsidRPr="002F6715">
        <w:rPr>
          <w:sz w:val="16"/>
          <w:szCs w:val="16"/>
        </w:rPr>
        <w:t>Sursa: Eurostat, 2021, indicator Persoane aflate în risc de sărăcie și excluziune socială [ilc_peps01]</w:t>
      </w:r>
    </w:p>
    <w:p w14:paraId="217AEF9F" w14:textId="77777777" w:rsidR="00934806" w:rsidRPr="007D1373" w:rsidRDefault="00934806" w:rsidP="00934806">
      <w:pPr>
        <w:rPr>
          <w:lang w:eastAsia="ro-RO"/>
        </w:rPr>
      </w:pPr>
      <w:r w:rsidRPr="007D1373">
        <w:rPr>
          <w:lang w:eastAsia="ro-RO"/>
        </w:rPr>
        <w:t>Există încă diferențe între mediile de rezidență în ce privește rata riscului de sărăcie și excluziune socială, aceasta fiind în mediul rural de 2.5 ori mai mare decât în urbanul mare și de 1.7 ori mai mare decât în urbanul mic. Se observă scăderi are ratei de sărăcie și excluziune socială pe toate cele trei medii de rezidență – în rural de la 57.8% la 50.5%, în urbanul mic de la 37.7% la 30%, iar în urbanul mare de la 31.5% la 19.9%. Rata sărăciei și excluziunii sociale rămâne mult mai ridicată în România comparativ cu media UE în cazul mediului rural și a urbanului mic. (</w:t>
      </w:r>
      <w:r w:rsidRPr="007D1373">
        <w:rPr>
          <w:lang w:eastAsia="ro-RO"/>
        </w:rPr>
        <w:fldChar w:fldCharType="begin"/>
      </w:r>
      <w:r w:rsidRPr="007D1373">
        <w:rPr>
          <w:lang w:eastAsia="ro-RO"/>
        </w:rPr>
        <w:instrText xml:space="preserve"> REF _Ref86185056 \h </w:instrText>
      </w:r>
      <w:r w:rsidRPr="007D1373">
        <w:rPr>
          <w:lang w:eastAsia="ro-RO"/>
        </w:rPr>
      </w:r>
      <w:r w:rsidRPr="007D1373">
        <w:rPr>
          <w:lang w:eastAsia="ro-RO"/>
        </w:rPr>
        <w:fldChar w:fldCharType="separate"/>
      </w:r>
      <w:r w:rsidRPr="007D1373">
        <w:t xml:space="preserve">Figura </w:t>
      </w:r>
      <w:r w:rsidRPr="007D1373">
        <w:rPr>
          <w:noProof/>
        </w:rPr>
        <w:t>3</w:t>
      </w:r>
      <w:r w:rsidRPr="007D1373">
        <w:rPr>
          <w:lang w:eastAsia="ro-RO"/>
        </w:rPr>
        <w:fldChar w:fldCharType="end"/>
      </w:r>
      <w:r w:rsidRPr="007D1373">
        <w:rPr>
          <w:lang w:eastAsia="ro-RO"/>
        </w:rPr>
        <w:t>)</w:t>
      </w:r>
    </w:p>
    <w:p w14:paraId="04477883" w14:textId="117B462C" w:rsidR="00934806" w:rsidRPr="007D1373" w:rsidRDefault="00981DE1" w:rsidP="00981DE1">
      <w:pPr>
        <w:pStyle w:val="Caption"/>
        <w:rPr>
          <w:lang w:eastAsia="ro-RO"/>
        </w:rPr>
      </w:pPr>
      <w:bookmarkStart w:id="7" w:name="_Toc86993638"/>
      <w:r>
        <w:t xml:space="preserve">Figură </w:t>
      </w:r>
      <w:r>
        <w:fldChar w:fldCharType="begin"/>
      </w:r>
      <w:r>
        <w:instrText xml:space="preserve"> SEQ Figură \* ARABIC </w:instrText>
      </w:r>
      <w:r>
        <w:fldChar w:fldCharType="separate"/>
      </w:r>
      <w:r w:rsidR="0089533D">
        <w:rPr>
          <w:noProof/>
        </w:rPr>
        <w:t>3</w:t>
      </w:r>
      <w:r>
        <w:fldChar w:fldCharType="end"/>
      </w:r>
      <w:r>
        <w:t xml:space="preserve"> </w:t>
      </w:r>
      <w:r w:rsidRPr="0085473E">
        <w:t>Evoluția ratei riscului de sărăcie și excluziune socială în România și UE pe medii de rezidență în perioada 2015 - 2020</w:t>
      </w:r>
      <w:bookmarkEnd w:id="7"/>
    </w:p>
    <w:p w14:paraId="44E6F396" w14:textId="77777777" w:rsidR="00934806" w:rsidRPr="007D1373" w:rsidRDefault="00934806" w:rsidP="00934806">
      <w:pPr>
        <w:rPr>
          <w:lang w:eastAsia="ro-RO"/>
        </w:rPr>
      </w:pPr>
      <w:r w:rsidRPr="007D1373">
        <w:rPr>
          <w:noProof/>
        </w:rPr>
        <w:drawing>
          <wp:inline distT="0" distB="0" distL="0" distR="0" wp14:anchorId="437EE316" wp14:editId="75DA94E3">
            <wp:extent cx="5731510" cy="3243580"/>
            <wp:effectExtent l="0" t="0" r="2540" b="1397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B1B8B98" w14:textId="77777777" w:rsidR="00934806" w:rsidRPr="002F6715" w:rsidRDefault="00934806" w:rsidP="002F6715">
      <w:pPr>
        <w:spacing w:after="0"/>
        <w:rPr>
          <w:sz w:val="16"/>
          <w:szCs w:val="16"/>
        </w:rPr>
      </w:pPr>
      <w:r w:rsidRPr="002F6715">
        <w:rPr>
          <w:sz w:val="16"/>
          <w:szCs w:val="16"/>
        </w:rPr>
        <w:lastRenderedPageBreak/>
        <w:t>Sursa: Eurostat, 2021, indicator Persoane aflate în risc de sărăcie și excluziune socială pe medii de rezidență [ilc_peps13n]</w:t>
      </w:r>
    </w:p>
    <w:p w14:paraId="1AC738B6" w14:textId="3313408A" w:rsidR="00934806" w:rsidRPr="007D1373" w:rsidRDefault="00934806" w:rsidP="00934806">
      <w:pPr>
        <w:rPr>
          <w:lang w:eastAsia="ro-RO"/>
        </w:rPr>
      </w:pPr>
      <w:r w:rsidRPr="007D1373">
        <w:rPr>
          <w:lang w:eastAsia="ro-RO"/>
        </w:rPr>
        <w:t>Rata riscului de sărăcie și excluziune socială în rândul populației vârstnice s-a redus în perioada 2010 – 2020  cu aproape 9% de la 40.1% la 31.5%. Rata riscului de sărăcie și excluziune socială în cazul persoanelor peste 65 de ani s-a situat sub cea a populației generale în perioada 2010 – 2017, dar începând cu 2018 aceasta a avut valori ușor mai ridicate decât aceasta. În cazul persoanelor peste 75 de ani, rata riscului de sărăcie și excluziune socială este mai ridicată decât cea a populației vârstnice generale cu cca 6%. Reducerea ratei riscului de sărăcie și excluziune socială la vârstnicii de peste 75 de ani a fost mai mică decât în cazul populației vârstnice generale. Începând cu 2016, riscul de sărăcie și excluziune socială al vârstnicilor peste 75 de ani este mai mare decât cea a populației generale, diferența crescând la peste 10% în 2019. (</w:t>
      </w:r>
      <w:r w:rsidRPr="007D1373">
        <w:rPr>
          <w:lang w:eastAsia="ro-RO"/>
        </w:rPr>
        <w:fldChar w:fldCharType="begin"/>
      </w:r>
      <w:r w:rsidRPr="007D1373">
        <w:rPr>
          <w:lang w:eastAsia="ro-RO"/>
        </w:rPr>
        <w:instrText xml:space="preserve"> REF _Ref86188053 \h </w:instrText>
      </w:r>
      <w:r w:rsidRPr="007D1373">
        <w:rPr>
          <w:lang w:eastAsia="ro-RO"/>
        </w:rPr>
      </w:r>
      <w:r w:rsidRPr="007D1373">
        <w:rPr>
          <w:lang w:eastAsia="ro-RO"/>
        </w:rPr>
        <w:fldChar w:fldCharType="separate"/>
      </w:r>
      <w:r w:rsidRPr="007D1373">
        <w:t xml:space="preserve">Figura </w:t>
      </w:r>
      <w:r w:rsidRPr="007D1373">
        <w:rPr>
          <w:noProof/>
        </w:rPr>
        <w:t>4</w:t>
      </w:r>
      <w:r w:rsidRPr="007D1373">
        <w:rPr>
          <w:lang w:eastAsia="ro-RO"/>
        </w:rPr>
        <w:fldChar w:fldCharType="end"/>
      </w:r>
      <w:r w:rsidRPr="007D1373">
        <w:rPr>
          <w:lang w:eastAsia="ro-RO"/>
        </w:rPr>
        <w:t>)</w:t>
      </w:r>
    </w:p>
    <w:p w14:paraId="67D76692" w14:textId="7EF7460E" w:rsidR="00934806" w:rsidRPr="007D1373" w:rsidRDefault="00981DE1" w:rsidP="00981DE1">
      <w:pPr>
        <w:pStyle w:val="Caption"/>
        <w:rPr>
          <w:lang w:eastAsia="ro-RO"/>
        </w:rPr>
      </w:pPr>
      <w:bookmarkStart w:id="8" w:name="_Toc86993639"/>
      <w:r>
        <w:t xml:space="preserve">Figură </w:t>
      </w:r>
      <w:r>
        <w:fldChar w:fldCharType="begin"/>
      </w:r>
      <w:r>
        <w:instrText xml:space="preserve"> SEQ Figură \* ARABIC </w:instrText>
      </w:r>
      <w:r>
        <w:fldChar w:fldCharType="separate"/>
      </w:r>
      <w:r w:rsidR="0089533D">
        <w:rPr>
          <w:noProof/>
        </w:rPr>
        <w:t>4</w:t>
      </w:r>
      <w:r>
        <w:fldChar w:fldCharType="end"/>
      </w:r>
      <w:r>
        <w:t xml:space="preserve"> </w:t>
      </w:r>
      <w:r w:rsidRPr="00B37CD5">
        <w:t>Evoluția ratei sărăciei și excluziunii sociale la populația vârstnică în perioada 2010 - 2020</w:t>
      </w:r>
      <w:bookmarkEnd w:id="8"/>
    </w:p>
    <w:p w14:paraId="4D86E1AE" w14:textId="77777777" w:rsidR="00934806" w:rsidRPr="007D1373" w:rsidRDefault="00934806" w:rsidP="00934806">
      <w:pPr>
        <w:rPr>
          <w:lang w:eastAsia="ro-RO"/>
        </w:rPr>
      </w:pPr>
      <w:r w:rsidRPr="007D1373">
        <w:rPr>
          <w:noProof/>
        </w:rPr>
        <w:drawing>
          <wp:inline distT="0" distB="0" distL="0" distR="0" wp14:anchorId="5D8EB6C2" wp14:editId="470618B4">
            <wp:extent cx="5731510" cy="2748915"/>
            <wp:effectExtent l="0" t="0" r="2540" b="1333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A8CA69A" w14:textId="77777777" w:rsidR="00934806" w:rsidRPr="002F6715" w:rsidRDefault="00934806" w:rsidP="002F6715">
      <w:pPr>
        <w:spacing w:after="0"/>
        <w:rPr>
          <w:sz w:val="16"/>
          <w:szCs w:val="16"/>
        </w:rPr>
      </w:pPr>
      <w:r w:rsidRPr="002F6715">
        <w:rPr>
          <w:sz w:val="16"/>
          <w:szCs w:val="16"/>
        </w:rPr>
        <w:t>Sursa: Eurostat, 2021, indicator Persoane aflate în risc de sărăcie și excluziune socială [ilc_peps01]</w:t>
      </w:r>
    </w:p>
    <w:p w14:paraId="07DDA31D" w14:textId="77777777" w:rsidR="00934806" w:rsidRPr="007D1373" w:rsidRDefault="00934806" w:rsidP="00934806">
      <w:pPr>
        <w:pStyle w:val="Heading3"/>
        <w:rPr>
          <w:lang w:eastAsia="ro-RO"/>
        </w:rPr>
      </w:pPr>
      <w:bookmarkStart w:id="9" w:name="_Toc86993585"/>
      <w:r w:rsidRPr="007D1373">
        <w:rPr>
          <w:lang w:eastAsia="ro-RO"/>
        </w:rPr>
        <w:t>Rata deprivării materiale și sociale severe</w:t>
      </w:r>
      <w:bookmarkEnd w:id="9"/>
      <w:r w:rsidRPr="007D1373">
        <w:rPr>
          <w:lang w:eastAsia="ro-RO"/>
        </w:rPr>
        <w:t xml:space="preserve"> </w:t>
      </w:r>
    </w:p>
    <w:p w14:paraId="5CC74C86" w14:textId="77777777" w:rsidR="00934806" w:rsidRPr="007D1373" w:rsidRDefault="00934806" w:rsidP="00934806">
      <w:pPr>
        <w:rPr>
          <w:lang w:eastAsia="ro-RO"/>
        </w:rPr>
      </w:pPr>
      <w:r w:rsidRPr="007D1373">
        <w:rPr>
          <w:lang w:eastAsia="ro-RO"/>
        </w:rPr>
        <w:t>Rata deprivării materiale și sociale severe este ridicată în România, cu mult peste media UE. În perioada 2015 – 2020, rata deprivării materiale și sociale severe a înregistrat o scădere în România de aproape 9% de la 34.2% la 25.6%. Se observă o ușoară creștere a ei (+0.8%) în 2020 comparativ cu 2019 pe fondul problemelor provocare de pandemia de COVID-19. Chiar dacă diferența față de UE s-a redus de la 24% la aproape 19% ea rămâne extrem de ridicată. (</w:t>
      </w:r>
      <w:r w:rsidRPr="007D1373">
        <w:rPr>
          <w:lang w:eastAsia="ro-RO"/>
        </w:rPr>
        <w:fldChar w:fldCharType="begin"/>
      </w:r>
      <w:r w:rsidRPr="007D1373">
        <w:rPr>
          <w:lang w:eastAsia="ro-RO"/>
        </w:rPr>
        <w:instrText xml:space="preserve"> REF _Ref86190361 \h </w:instrText>
      </w:r>
      <w:r w:rsidRPr="007D1373">
        <w:rPr>
          <w:lang w:eastAsia="ro-RO"/>
        </w:rPr>
      </w:r>
      <w:r w:rsidRPr="007D1373">
        <w:rPr>
          <w:lang w:eastAsia="ro-RO"/>
        </w:rPr>
        <w:fldChar w:fldCharType="separate"/>
      </w:r>
      <w:r w:rsidRPr="007D1373">
        <w:t xml:space="preserve">Figura </w:t>
      </w:r>
      <w:r w:rsidRPr="007D1373">
        <w:rPr>
          <w:noProof/>
        </w:rPr>
        <w:t>5</w:t>
      </w:r>
      <w:r w:rsidRPr="007D1373">
        <w:rPr>
          <w:lang w:eastAsia="ro-RO"/>
        </w:rPr>
        <w:fldChar w:fldCharType="end"/>
      </w:r>
      <w:r w:rsidRPr="007D1373">
        <w:rPr>
          <w:lang w:eastAsia="ro-RO"/>
        </w:rPr>
        <w:t>)</w:t>
      </w:r>
    </w:p>
    <w:p w14:paraId="0DECE959" w14:textId="11598ED3" w:rsidR="00934806" w:rsidRPr="007D1373" w:rsidRDefault="00981DE1" w:rsidP="00981DE1">
      <w:pPr>
        <w:pStyle w:val="Caption"/>
        <w:rPr>
          <w:lang w:eastAsia="ro-RO"/>
        </w:rPr>
      </w:pPr>
      <w:bookmarkStart w:id="10" w:name="_Toc86993640"/>
      <w:r>
        <w:lastRenderedPageBreak/>
        <w:t xml:space="preserve">Figură </w:t>
      </w:r>
      <w:r>
        <w:fldChar w:fldCharType="begin"/>
      </w:r>
      <w:r>
        <w:instrText xml:space="preserve"> SEQ Figură \* ARABIC </w:instrText>
      </w:r>
      <w:r>
        <w:fldChar w:fldCharType="separate"/>
      </w:r>
      <w:r w:rsidR="0089533D">
        <w:rPr>
          <w:noProof/>
        </w:rPr>
        <w:t>5</w:t>
      </w:r>
      <w:r>
        <w:fldChar w:fldCharType="end"/>
      </w:r>
      <w:r>
        <w:t xml:space="preserve"> </w:t>
      </w:r>
      <w:r w:rsidRPr="002856DE">
        <w:t>Evoluția ratei deprivării materiale și sociale severe România –UE în perioada 2015 - 2020</w:t>
      </w:r>
      <w:bookmarkEnd w:id="10"/>
    </w:p>
    <w:p w14:paraId="54C0AC69" w14:textId="77777777" w:rsidR="00934806" w:rsidRPr="007D1373" w:rsidRDefault="00934806" w:rsidP="00934806">
      <w:pPr>
        <w:rPr>
          <w:lang w:eastAsia="ro-RO"/>
        </w:rPr>
      </w:pPr>
      <w:r w:rsidRPr="007D1373">
        <w:rPr>
          <w:noProof/>
        </w:rPr>
        <w:drawing>
          <wp:inline distT="0" distB="0" distL="0" distR="0" wp14:anchorId="4FEE7E44" wp14:editId="0B6EDE7B">
            <wp:extent cx="5731510" cy="3427730"/>
            <wp:effectExtent l="0" t="0" r="2540" b="127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EA31102" w14:textId="77777777" w:rsidR="00934806" w:rsidRPr="002F6715" w:rsidRDefault="00934806" w:rsidP="002F6715">
      <w:pPr>
        <w:spacing w:after="0"/>
        <w:rPr>
          <w:sz w:val="16"/>
          <w:szCs w:val="16"/>
        </w:rPr>
      </w:pPr>
      <w:r w:rsidRPr="002F6715">
        <w:rPr>
          <w:sz w:val="16"/>
          <w:szCs w:val="16"/>
        </w:rPr>
        <w:t>Sursa: Eurostat, 2021, indicator Rata deprivării materiale și sociale severe [ilc_mdsd11]</w:t>
      </w:r>
    </w:p>
    <w:p w14:paraId="50D063E6" w14:textId="77777777" w:rsidR="00934806" w:rsidRDefault="00934806" w:rsidP="00934806">
      <w:pPr>
        <w:rPr>
          <w:lang w:eastAsia="ro-RO"/>
        </w:rPr>
      </w:pPr>
      <w:r w:rsidRPr="007D1373">
        <w:rPr>
          <w:lang w:eastAsia="ro-RO"/>
        </w:rPr>
        <w:t>Rata deprivării materiale și sociale severe a înregistrat o scădere la toate grupele de vârstă după 2016. La copii și la populația adultă se pot observa creșteri ușoare în 2020 comparativ cu 2019 care pot fi cauzate de pandemia de COVID-19. (</w:t>
      </w:r>
      <w:r w:rsidRPr="007D1373">
        <w:rPr>
          <w:lang w:eastAsia="ro-RO"/>
        </w:rPr>
        <w:fldChar w:fldCharType="begin"/>
      </w:r>
      <w:r w:rsidRPr="007D1373">
        <w:rPr>
          <w:lang w:eastAsia="ro-RO"/>
        </w:rPr>
        <w:instrText xml:space="preserve"> REF _Ref86190748 \h </w:instrText>
      </w:r>
      <w:r w:rsidRPr="007D1373">
        <w:rPr>
          <w:lang w:eastAsia="ro-RO"/>
        </w:rPr>
      </w:r>
      <w:r w:rsidRPr="007D1373">
        <w:rPr>
          <w:lang w:eastAsia="ro-RO"/>
        </w:rPr>
        <w:fldChar w:fldCharType="separate"/>
      </w:r>
      <w:r w:rsidRPr="007D1373">
        <w:t xml:space="preserve">Figura </w:t>
      </w:r>
      <w:r w:rsidRPr="007D1373">
        <w:rPr>
          <w:noProof/>
        </w:rPr>
        <w:t>6</w:t>
      </w:r>
      <w:r w:rsidRPr="007D1373">
        <w:rPr>
          <w:lang w:eastAsia="ro-RO"/>
        </w:rPr>
        <w:fldChar w:fldCharType="end"/>
      </w:r>
      <w:r w:rsidRPr="007D1373">
        <w:rPr>
          <w:lang w:eastAsia="ro-RO"/>
        </w:rPr>
        <w:t>)</w:t>
      </w:r>
    </w:p>
    <w:p w14:paraId="275D900F" w14:textId="77777777" w:rsidR="00132CBF" w:rsidRDefault="00132CBF" w:rsidP="00934806">
      <w:pPr>
        <w:rPr>
          <w:lang w:eastAsia="ro-RO"/>
        </w:rPr>
      </w:pPr>
    </w:p>
    <w:p w14:paraId="15053C1D" w14:textId="77777777" w:rsidR="00132CBF" w:rsidRDefault="00132CBF" w:rsidP="00934806">
      <w:pPr>
        <w:rPr>
          <w:lang w:eastAsia="ro-RO"/>
        </w:rPr>
      </w:pPr>
    </w:p>
    <w:p w14:paraId="1E3A510D" w14:textId="77777777" w:rsidR="00132CBF" w:rsidRDefault="00132CBF" w:rsidP="00934806">
      <w:pPr>
        <w:rPr>
          <w:lang w:eastAsia="ro-RO"/>
        </w:rPr>
      </w:pPr>
    </w:p>
    <w:p w14:paraId="5889B031" w14:textId="77777777" w:rsidR="00132CBF" w:rsidRDefault="00132CBF" w:rsidP="00934806">
      <w:pPr>
        <w:rPr>
          <w:lang w:eastAsia="ro-RO"/>
        </w:rPr>
      </w:pPr>
    </w:p>
    <w:p w14:paraId="6F477A28" w14:textId="77777777" w:rsidR="00132CBF" w:rsidRDefault="00132CBF" w:rsidP="00934806">
      <w:pPr>
        <w:rPr>
          <w:lang w:eastAsia="ro-RO"/>
        </w:rPr>
      </w:pPr>
    </w:p>
    <w:p w14:paraId="6B2822BC" w14:textId="77777777" w:rsidR="00132CBF" w:rsidRDefault="00132CBF" w:rsidP="00934806">
      <w:pPr>
        <w:rPr>
          <w:lang w:eastAsia="ro-RO"/>
        </w:rPr>
      </w:pPr>
    </w:p>
    <w:p w14:paraId="3387F8DF" w14:textId="77777777" w:rsidR="00132CBF" w:rsidRDefault="00132CBF" w:rsidP="00934806">
      <w:pPr>
        <w:rPr>
          <w:lang w:eastAsia="ro-RO"/>
        </w:rPr>
      </w:pPr>
    </w:p>
    <w:p w14:paraId="372D7D0B" w14:textId="77777777" w:rsidR="00132CBF" w:rsidRDefault="00132CBF" w:rsidP="00934806">
      <w:pPr>
        <w:rPr>
          <w:lang w:eastAsia="ro-RO"/>
        </w:rPr>
      </w:pPr>
    </w:p>
    <w:p w14:paraId="3FD5933B" w14:textId="77777777" w:rsidR="00132CBF" w:rsidRDefault="00132CBF" w:rsidP="00934806">
      <w:pPr>
        <w:rPr>
          <w:lang w:eastAsia="ro-RO"/>
        </w:rPr>
      </w:pPr>
    </w:p>
    <w:p w14:paraId="21D539DB" w14:textId="270DEBD7" w:rsidR="00132CBF" w:rsidRPr="007D1373" w:rsidRDefault="00132CBF" w:rsidP="00132CBF">
      <w:pPr>
        <w:pStyle w:val="Caption"/>
        <w:rPr>
          <w:lang w:eastAsia="ro-RO"/>
        </w:rPr>
      </w:pPr>
      <w:bookmarkStart w:id="11" w:name="_Toc86993641"/>
      <w:r>
        <w:lastRenderedPageBreak/>
        <w:t xml:space="preserve">Figură </w:t>
      </w:r>
      <w:r>
        <w:fldChar w:fldCharType="begin"/>
      </w:r>
      <w:r>
        <w:instrText xml:space="preserve"> SEQ Figură \* ARABIC </w:instrText>
      </w:r>
      <w:r>
        <w:fldChar w:fldCharType="separate"/>
      </w:r>
      <w:r w:rsidR="0089533D">
        <w:rPr>
          <w:noProof/>
        </w:rPr>
        <w:t>6</w:t>
      </w:r>
      <w:r>
        <w:fldChar w:fldCharType="end"/>
      </w:r>
      <w:r>
        <w:t xml:space="preserve"> </w:t>
      </w:r>
      <w:r w:rsidRPr="0019564A">
        <w:t>Evoluția ratei deprivării materiale și sociale severe pe grupe de vârstă în perioada 2015 - 2020</w:t>
      </w:r>
      <w:bookmarkEnd w:id="11"/>
    </w:p>
    <w:p w14:paraId="2D4042C2" w14:textId="77777777" w:rsidR="00934806" w:rsidRPr="007D1373" w:rsidRDefault="00934806" w:rsidP="00934806">
      <w:pPr>
        <w:rPr>
          <w:lang w:eastAsia="ro-RO"/>
        </w:rPr>
      </w:pPr>
      <w:r w:rsidRPr="007D1373">
        <w:rPr>
          <w:noProof/>
        </w:rPr>
        <w:drawing>
          <wp:inline distT="0" distB="0" distL="0" distR="0" wp14:anchorId="3759DE1D" wp14:editId="0DAAD8AD">
            <wp:extent cx="5731510" cy="2767965"/>
            <wp:effectExtent l="0" t="0" r="2540" b="1333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54DDB87" w14:textId="77777777" w:rsidR="00934806" w:rsidRPr="002F6715" w:rsidRDefault="00934806" w:rsidP="002F6715">
      <w:pPr>
        <w:spacing w:after="0"/>
        <w:rPr>
          <w:sz w:val="16"/>
          <w:szCs w:val="16"/>
        </w:rPr>
      </w:pPr>
      <w:r w:rsidRPr="002F6715">
        <w:rPr>
          <w:sz w:val="16"/>
          <w:szCs w:val="16"/>
        </w:rPr>
        <w:t>Sursa: Eurostat, 2021, indicator Rata deprivării materiale și sociale severe [ilc_mdsd11]</w:t>
      </w:r>
    </w:p>
    <w:p w14:paraId="66EB95B8" w14:textId="77777777" w:rsidR="00934806" w:rsidRPr="007D1373" w:rsidRDefault="00934806" w:rsidP="00934806">
      <w:pPr>
        <w:rPr>
          <w:lang w:eastAsia="ro-RO"/>
        </w:rPr>
      </w:pPr>
      <w:r w:rsidRPr="007D1373">
        <w:rPr>
          <w:lang w:eastAsia="ro-RO"/>
        </w:rPr>
        <w:t>Analiza evoluției ratei deprivării materiale și sociale severe pentru categoriile de vârstnici de 75 de ani și peste și 85 de ani și peste (vârsta a patra) indică pentru cei de vârsta a patra o creștere în anul 2020 de peste 2pp. Si în cazul celor de peste 75 de ani și a celor peste 85 de ani valorile sunt peste cele înregistrate în populația generală și în cea vârstnică (65 de ani și peste). Astfel în 2020, rata deprivării materiale și sociale severe era cu aproape 4% mai mare în rândul vârstnicilor peste 75 de ani și cu peste 8% în rândul populației de vârsta a patra decât în a populației vârstnice generale. Se poate observa că cu cât înaintează în vârstă persoanele se confruntă mai mult cu probleme de deprivare materială și socială. (</w:t>
      </w:r>
      <w:r w:rsidRPr="007D1373">
        <w:rPr>
          <w:lang w:eastAsia="ro-RO"/>
        </w:rPr>
        <w:fldChar w:fldCharType="begin"/>
      </w:r>
      <w:r w:rsidRPr="007D1373">
        <w:rPr>
          <w:lang w:eastAsia="ro-RO"/>
        </w:rPr>
        <w:instrText xml:space="preserve"> REF _Ref86191213 \h </w:instrText>
      </w:r>
      <w:r w:rsidRPr="007D1373">
        <w:rPr>
          <w:lang w:eastAsia="ro-RO"/>
        </w:rPr>
      </w:r>
      <w:r w:rsidRPr="007D1373">
        <w:rPr>
          <w:lang w:eastAsia="ro-RO"/>
        </w:rPr>
        <w:fldChar w:fldCharType="separate"/>
      </w:r>
      <w:r w:rsidRPr="007D1373">
        <w:t xml:space="preserve">Figura </w:t>
      </w:r>
      <w:r w:rsidRPr="007D1373">
        <w:rPr>
          <w:noProof/>
        </w:rPr>
        <w:t>7</w:t>
      </w:r>
      <w:r w:rsidRPr="007D1373">
        <w:rPr>
          <w:lang w:eastAsia="ro-RO"/>
        </w:rPr>
        <w:fldChar w:fldCharType="end"/>
      </w:r>
      <w:r w:rsidRPr="007D1373">
        <w:rPr>
          <w:lang w:eastAsia="ro-RO"/>
        </w:rPr>
        <w:t>)</w:t>
      </w:r>
    </w:p>
    <w:p w14:paraId="76DB9F37" w14:textId="5C6E0D57" w:rsidR="00934806" w:rsidRPr="007D1373" w:rsidRDefault="005B25A4" w:rsidP="005B25A4">
      <w:pPr>
        <w:pStyle w:val="Caption"/>
        <w:rPr>
          <w:lang w:eastAsia="ro-RO"/>
        </w:rPr>
      </w:pPr>
      <w:bookmarkStart w:id="12" w:name="_Toc86993642"/>
      <w:r>
        <w:t xml:space="preserve">Figură </w:t>
      </w:r>
      <w:r>
        <w:fldChar w:fldCharType="begin"/>
      </w:r>
      <w:r>
        <w:instrText xml:space="preserve"> SEQ Figură \* ARABIC </w:instrText>
      </w:r>
      <w:r>
        <w:fldChar w:fldCharType="separate"/>
      </w:r>
      <w:r w:rsidR="0089533D">
        <w:rPr>
          <w:noProof/>
        </w:rPr>
        <w:t>7</w:t>
      </w:r>
      <w:r>
        <w:fldChar w:fldCharType="end"/>
      </w:r>
      <w:r>
        <w:t xml:space="preserve"> </w:t>
      </w:r>
      <w:r w:rsidRPr="004A2BB8">
        <w:t>Evoluția ratei deprivării materiale și sociale severe pentru populația vârstnică în perioada 2015 - 2020</w:t>
      </w:r>
      <w:bookmarkEnd w:id="12"/>
    </w:p>
    <w:p w14:paraId="6277E5FB" w14:textId="77777777" w:rsidR="00934806" w:rsidRPr="007D1373" w:rsidRDefault="00934806" w:rsidP="00934806">
      <w:pPr>
        <w:rPr>
          <w:lang w:eastAsia="ro-RO"/>
        </w:rPr>
      </w:pPr>
      <w:r w:rsidRPr="007D1373">
        <w:rPr>
          <w:noProof/>
        </w:rPr>
        <w:drawing>
          <wp:inline distT="0" distB="0" distL="0" distR="0" wp14:anchorId="6E472C07" wp14:editId="3B70F7D0">
            <wp:extent cx="5731510" cy="3800475"/>
            <wp:effectExtent l="0" t="0" r="2540" b="952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CBEC8B1" w14:textId="77777777" w:rsidR="00934806" w:rsidRPr="002F6715" w:rsidRDefault="00934806" w:rsidP="002F6715">
      <w:pPr>
        <w:spacing w:after="0"/>
        <w:rPr>
          <w:sz w:val="16"/>
          <w:szCs w:val="16"/>
        </w:rPr>
      </w:pPr>
      <w:r w:rsidRPr="002F6715">
        <w:rPr>
          <w:sz w:val="16"/>
          <w:szCs w:val="16"/>
        </w:rPr>
        <w:lastRenderedPageBreak/>
        <w:t>Sursa: Eurostat, 2021, indicator Rata deprivării materiale și sociale severe [ilc_mdsd11]</w:t>
      </w:r>
    </w:p>
    <w:p w14:paraId="03F93FEB" w14:textId="77777777" w:rsidR="00934806" w:rsidRPr="007D1373" w:rsidRDefault="00934806" w:rsidP="000C3115">
      <w:pPr>
        <w:pStyle w:val="Heading2"/>
        <w:rPr>
          <w:lang w:eastAsia="ro-RO"/>
        </w:rPr>
      </w:pPr>
      <w:bookmarkStart w:id="13" w:name="_Toc86993586"/>
      <w:r w:rsidRPr="007D1373">
        <w:rPr>
          <w:lang w:eastAsia="ro-RO"/>
        </w:rPr>
        <w:t>Persoane fără adăpost</w:t>
      </w:r>
      <w:bookmarkEnd w:id="13"/>
    </w:p>
    <w:p w14:paraId="0C15CC21" w14:textId="77777777" w:rsidR="00934806" w:rsidRPr="007D1373" w:rsidRDefault="00934806" w:rsidP="00934806">
      <w:r w:rsidRPr="007D1373">
        <w:t xml:space="preserve">La nivel național, ca și la cel european nu există date oficiale privind numărul persoanelor fără adăpost. În același timp și estimările sunt dificil de realizat deoarece indicatorii utilizați în statisticile privind gospodăria se referă doar la persoanele care locuiesc în gospodării private. În România estimări privind numărul de persoane fără adăpost au fost făcute înainte de anul 2010. Astfel în 2005 se estima că există între 11.000 și 14.000 de persoane fără adăpost (Dan și Dan, 2005). În 2009, în Raportul Comisiei Prezidențiale Riscuri şi inechităţi sociale în România se aprecia că existau în 2008 un număr de 11.118 persoane fără adăpost. Asociația Carusel care oferă servicii persoanelor fără adăpost din capitală raporta în anul 2019 un număr de 629 de beneficiari ai serviciilor sociale oferite, iar 223 ai adăpostului de noapte. </w:t>
      </w:r>
    </w:p>
    <w:p w14:paraId="557FDDC4" w14:textId="77777777" w:rsidR="00934806" w:rsidRPr="007D1373" w:rsidRDefault="00934806" w:rsidP="000C3115">
      <w:pPr>
        <w:pStyle w:val="Heading2"/>
        <w:rPr>
          <w:lang w:eastAsia="ro-RO"/>
        </w:rPr>
      </w:pPr>
      <w:bookmarkStart w:id="14" w:name="_Toc86993587"/>
      <w:r w:rsidRPr="007D1373">
        <w:rPr>
          <w:lang w:eastAsia="ro-RO"/>
        </w:rPr>
        <w:t>Victime ale violenței domestice</w:t>
      </w:r>
      <w:bookmarkEnd w:id="14"/>
    </w:p>
    <w:p w14:paraId="256B942D" w14:textId="77777777" w:rsidR="00934806" w:rsidRPr="007D1373" w:rsidRDefault="00934806" w:rsidP="00934806">
      <w:pPr>
        <w:rPr>
          <w:lang w:eastAsia="ro-RO"/>
        </w:rPr>
      </w:pPr>
      <w:r w:rsidRPr="007D1373">
        <w:rPr>
          <w:lang w:eastAsia="ro-RO"/>
        </w:rPr>
        <w:t>Datele oficiale privind numărul de cazuri de violență domestică indică o creștere a acestui fenomen în perioada 2016 – 2019. Astfel numărul de cazuri a crescut cu peste 1000 în această perioadă, cele mai multe victime fiind persoane sub 18 ani. Numărul femeilor victime ale violenței domestice a crescut de la 2.056 în anul 2016 la 2.743 în anul 2019. (</w:t>
      </w:r>
      <w:r w:rsidRPr="007D1373">
        <w:rPr>
          <w:lang w:eastAsia="ro-RO"/>
        </w:rPr>
        <w:fldChar w:fldCharType="begin"/>
      </w:r>
      <w:r w:rsidRPr="007D1373">
        <w:rPr>
          <w:lang w:eastAsia="ro-RO"/>
        </w:rPr>
        <w:instrText xml:space="preserve"> REF _Ref86196032 \h </w:instrText>
      </w:r>
      <w:r w:rsidRPr="007D1373">
        <w:rPr>
          <w:lang w:eastAsia="ro-RO"/>
        </w:rPr>
      </w:r>
      <w:r w:rsidRPr="007D1373">
        <w:rPr>
          <w:lang w:eastAsia="ro-RO"/>
        </w:rPr>
        <w:fldChar w:fldCharType="separate"/>
      </w:r>
      <w:r w:rsidRPr="007D1373">
        <w:t xml:space="preserve">Tabelul </w:t>
      </w:r>
      <w:r w:rsidRPr="007D1373">
        <w:rPr>
          <w:noProof/>
        </w:rPr>
        <w:t>1</w:t>
      </w:r>
      <w:r w:rsidRPr="007D1373">
        <w:rPr>
          <w:lang w:eastAsia="ro-RO"/>
        </w:rPr>
        <w:fldChar w:fldCharType="end"/>
      </w:r>
      <w:r w:rsidRPr="007D1373">
        <w:rPr>
          <w:lang w:eastAsia="ro-RO"/>
        </w:rPr>
        <w:t xml:space="preserve">) </w:t>
      </w:r>
    </w:p>
    <w:p w14:paraId="2B20525F" w14:textId="06287F59" w:rsidR="00934806" w:rsidRPr="007D1373" w:rsidRDefault="005B25A4" w:rsidP="005B25A4">
      <w:pPr>
        <w:pStyle w:val="Caption"/>
        <w:rPr>
          <w:lang w:eastAsia="ro-RO"/>
        </w:rPr>
      </w:pPr>
      <w:bookmarkStart w:id="15" w:name="_Toc86993597"/>
      <w:r>
        <w:t xml:space="preserve">Tabel </w:t>
      </w:r>
      <w:r>
        <w:fldChar w:fldCharType="begin"/>
      </w:r>
      <w:r>
        <w:instrText xml:space="preserve"> SEQ Tabel \* ARABIC </w:instrText>
      </w:r>
      <w:r>
        <w:fldChar w:fldCharType="separate"/>
      </w:r>
      <w:r w:rsidR="0089533D">
        <w:rPr>
          <w:noProof/>
        </w:rPr>
        <w:t>1</w:t>
      </w:r>
      <w:r>
        <w:fldChar w:fldCharType="end"/>
      </w:r>
      <w:r>
        <w:t xml:space="preserve"> </w:t>
      </w:r>
      <w:r w:rsidRPr="008703B1">
        <w:t>Evoluția numărului de cazuri de violență domestică care au beneficiat de servicii sociale la cerere în perioada 2016 - 2019</w:t>
      </w:r>
      <w:bookmarkEnd w:id="15"/>
    </w:p>
    <w:tbl>
      <w:tblPr>
        <w:tblStyle w:val="GridTable4-Accent1"/>
        <w:tblW w:w="9157" w:type="dxa"/>
        <w:tblLook w:val="04A0" w:firstRow="1" w:lastRow="0" w:firstColumn="1" w:lastColumn="0" w:noHBand="0" w:noVBand="1"/>
      </w:tblPr>
      <w:tblGrid>
        <w:gridCol w:w="895"/>
        <w:gridCol w:w="2250"/>
        <w:gridCol w:w="1503"/>
        <w:gridCol w:w="1503"/>
        <w:gridCol w:w="1503"/>
        <w:gridCol w:w="1503"/>
      </w:tblGrid>
      <w:tr w:rsidR="00934806" w:rsidRPr="003979BF" w14:paraId="40BE4C87" w14:textId="77777777" w:rsidTr="00366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204E00E" w14:textId="77777777" w:rsidR="00934806" w:rsidRPr="003979BF" w:rsidRDefault="00934806" w:rsidP="00716EBA">
            <w:pPr>
              <w:jc w:val="center"/>
              <w:rPr>
                <w:b w:val="0"/>
                <w:sz w:val="18"/>
                <w:szCs w:val="18"/>
                <w:lang w:eastAsia="ro-RO"/>
              </w:rPr>
            </w:pPr>
            <w:r w:rsidRPr="003979BF">
              <w:rPr>
                <w:sz w:val="18"/>
                <w:szCs w:val="18"/>
                <w:lang w:eastAsia="ro-RO"/>
              </w:rPr>
              <w:t>Nr. crt.</w:t>
            </w:r>
          </w:p>
        </w:tc>
        <w:tc>
          <w:tcPr>
            <w:tcW w:w="2250" w:type="dxa"/>
          </w:tcPr>
          <w:p w14:paraId="60142EE2" w14:textId="77777777" w:rsidR="00934806" w:rsidRPr="003979BF" w:rsidRDefault="00934806" w:rsidP="00716EBA">
            <w:pPr>
              <w:cnfStyle w:val="100000000000" w:firstRow="1" w:lastRow="0" w:firstColumn="0" w:lastColumn="0" w:oddVBand="0" w:evenVBand="0" w:oddHBand="0" w:evenHBand="0" w:firstRowFirstColumn="0" w:firstRowLastColumn="0" w:lastRowFirstColumn="0" w:lastRowLastColumn="0"/>
              <w:rPr>
                <w:b w:val="0"/>
                <w:sz w:val="18"/>
                <w:szCs w:val="18"/>
                <w:lang w:eastAsia="ro-RO"/>
              </w:rPr>
            </w:pPr>
            <w:r w:rsidRPr="003979BF">
              <w:rPr>
                <w:sz w:val="18"/>
                <w:szCs w:val="18"/>
                <w:lang w:eastAsia="ro-RO"/>
              </w:rPr>
              <w:t>Anul</w:t>
            </w:r>
          </w:p>
        </w:tc>
        <w:tc>
          <w:tcPr>
            <w:tcW w:w="1503" w:type="dxa"/>
          </w:tcPr>
          <w:p w14:paraId="01577DFB" w14:textId="77777777" w:rsidR="00934806" w:rsidRPr="003979BF" w:rsidRDefault="00934806" w:rsidP="00716EBA">
            <w:pPr>
              <w:cnfStyle w:val="100000000000" w:firstRow="1" w:lastRow="0" w:firstColumn="0" w:lastColumn="0" w:oddVBand="0" w:evenVBand="0" w:oddHBand="0" w:evenHBand="0" w:firstRowFirstColumn="0" w:firstRowLastColumn="0" w:lastRowFirstColumn="0" w:lastRowLastColumn="0"/>
              <w:rPr>
                <w:b w:val="0"/>
                <w:sz w:val="18"/>
                <w:szCs w:val="18"/>
                <w:lang w:eastAsia="ro-RO"/>
              </w:rPr>
            </w:pPr>
            <w:r w:rsidRPr="003979BF">
              <w:rPr>
                <w:sz w:val="18"/>
                <w:szCs w:val="18"/>
                <w:lang w:eastAsia="ro-RO"/>
              </w:rPr>
              <w:t>2016</w:t>
            </w:r>
          </w:p>
        </w:tc>
        <w:tc>
          <w:tcPr>
            <w:tcW w:w="1503" w:type="dxa"/>
          </w:tcPr>
          <w:p w14:paraId="1488AC8D" w14:textId="77777777" w:rsidR="00934806" w:rsidRPr="003979BF" w:rsidRDefault="00934806" w:rsidP="00716EBA">
            <w:pPr>
              <w:cnfStyle w:val="100000000000" w:firstRow="1" w:lastRow="0" w:firstColumn="0" w:lastColumn="0" w:oddVBand="0" w:evenVBand="0" w:oddHBand="0" w:evenHBand="0" w:firstRowFirstColumn="0" w:firstRowLastColumn="0" w:lastRowFirstColumn="0" w:lastRowLastColumn="0"/>
              <w:rPr>
                <w:b w:val="0"/>
                <w:sz w:val="18"/>
                <w:szCs w:val="18"/>
                <w:lang w:eastAsia="ro-RO"/>
              </w:rPr>
            </w:pPr>
            <w:r w:rsidRPr="003979BF">
              <w:rPr>
                <w:sz w:val="18"/>
                <w:szCs w:val="18"/>
                <w:lang w:eastAsia="ro-RO"/>
              </w:rPr>
              <w:t>2017</w:t>
            </w:r>
          </w:p>
        </w:tc>
        <w:tc>
          <w:tcPr>
            <w:tcW w:w="1503" w:type="dxa"/>
          </w:tcPr>
          <w:p w14:paraId="5A5050B3" w14:textId="77777777" w:rsidR="00934806" w:rsidRPr="003979BF" w:rsidRDefault="00934806" w:rsidP="00716EBA">
            <w:pPr>
              <w:cnfStyle w:val="100000000000" w:firstRow="1" w:lastRow="0" w:firstColumn="0" w:lastColumn="0" w:oddVBand="0" w:evenVBand="0" w:oddHBand="0" w:evenHBand="0" w:firstRowFirstColumn="0" w:firstRowLastColumn="0" w:lastRowFirstColumn="0" w:lastRowLastColumn="0"/>
              <w:rPr>
                <w:b w:val="0"/>
                <w:sz w:val="18"/>
                <w:szCs w:val="18"/>
                <w:lang w:eastAsia="ro-RO"/>
              </w:rPr>
            </w:pPr>
            <w:r w:rsidRPr="003979BF">
              <w:rPr>
                <w:sz w:val="18"/>
                <w:szCs w:val="18"/>
                <w:lang w:eastAsia="ro-RO"/>
              </w:rPr>
              <w:t>2018</w:t>
            </w:r>
          </w:p>
        </w:tc>
        <w:tc>
          <w:tcPr>
            <w:tcW w:w="1503" w:type="dxa"/>
          </w:tcPr>
          <w:p w14:paraId="5634C033" w14:textId="77777777" w:rsidR="00934806" w:rsidRPr="003979BF" w:rsidRDefault="00934806" w:rsidP="00716EBA">
            <w:pPr>
              <w:cnfStyle w:val="100000000000" w:firstRow="1" w:lastRow="0" w:firstColumn="0" w:lastColumn="0" w:oddVBand="0" w:evenVBand="0" w:oddHBand="0" w:evenHBand="0" w:firstRowFirstColumn="0" w:firstRowLastColumn="0" w:lastRowFirstColumn="0" w:lastRowLastColumn="0"/>
              <w:rPr>
                <w:b w:val="0"/>
                <w:sz w:val="18"/>
                <w:szCs w:val="18"/>
                <w:lang w:eastAsia="ro-RO"/>
              </w:rPr>
            </w:pPr>
            <w:r w:rsidRPr="003979BF">
              <w:rPr>
                <w:sz w:val="18"/>
                <w:szCs w:val="18"/>
                <w:lang w:eastAsia="ro-RO"/>
              </w:rPr>
              <w:t>2019</w:t>
            </w:r>
          </w:p>
        </w:tc>
      </w:tr>
      <w:tr w:rsidR="00934806" w:rsidRPr="003979BF" w14:paraId="065CF796" w14:textId="77777777" w:rsidTr="00366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F8AB560" w14:textId="77777777" w:rsidR="00934806" w:rsidRPr="003979BF" w:rsidRDefault="00934806" w:rsidP="00716EBA">
            <w:pPr>
              <w:jc w:val="center"/>
              <w:rPr>
                <w:b w:val="0"/>
                <w:bCs w:val="0"/>
                <w:sz w:val="18"/>
                <w:szCs w:val="18"/>
                <w:lang w:eastAsia="ro-RO"/>
              </w:rPr>
            </w:pPr>
            <w:r w:rsidRPr="003979BF">
              <w:rPr>
                <w:b w:val="0"/>
                <w:bCs w:val="0"/>
                <w:sz w:val="18"/>
                <w:szCs w:val="18"/>
                <w:lang w:eastAsia="ro-RO"/>
              </w:rPr>
              <w:t>1</w:t>
            </w:r>
          </w:p>
        </w:tc>
        <w:tc>
          <w:tcPr>
            <w:tcW w:w="2250" w:type="dxa"/>
          </w:tcPr>
          <w:p w14:paraId="675D1803" w14:textId="77777777" w:rsidR="00934806" w:rsidRPr="003979BF" w:rsidRDefault="00934806" w:rsidP="00716EBA">
            <w:pPr>
              <w:cnfStyle w:val="000000100000" w:firstRow="0" w:lastRow="0" w:firstColumn="0" w:lastColumn="0" w:oddVBand="0" w:evenVBand="0" w:oddHBand="1" w:evenHBand="0" w:firstRowFirstColumn="0" w:firstRowLastColumn="0" w:lastRowFirstColumn="0" w:lastRowLastColumn="0"/>
              <w:rPr>
                <w:sz w:val="18"/>
                <w:szCs w:val="18"/>
                <w:lang w:eastAsia="ro-RO"/>
              </w:rPr>
            </w:pPr>
            <w:r w:rsidRPr="003979BF">
              <w:rPr>
                <w:sz w:val="18"/>
                <w:szCs w:val="18"/>
                <w:lang w:eastAsia="ro-RO"/>
              </w:rPr>
              <w:t>Număr cazuri, din care</w:t>
            </w:r>
          </w:p>
        </w:tc>
        <w:tc>
          <w:tcPr>
            <w:tcW w:w="1503" w:type="dxa"/>
          </w:tcPr>
          <w:p w14:paraId="796F19C1" w14:textId="77777777" w:rsidR="00934806" w:rsidRPr="003979BF" w:rsidRDefault="00934806" w:rsidP="00716EBA">
            <w:pPr>
              <w:cnfStyle w:val="000000100000" w:firstRow="0" w:lastRow="0" w:firstColumn="0" w:lastColumn="0" w:oddVBand="0" w:evenVBand="0" w:oddHBand="1" w:evenHBand="0" w:firstRowFirstColumn="0" w:firstRowLastColumn="0" w:lastRowFirstColumn="0" w:lastRowLastColumn="0"/>
              <w:rPr>
                <w:sz w:val="18"/>
                <w:szCs w:val="18"/>
                <w:lang w:eastAsia="ro-RO"/>
              </w:rPr>
            </w:pPr>
            <w:r w:rsidRPr="003979BF">
              <w:rPr>
                <w:sz w:val="18"/>
                <w:szCs w:val="18"/>
                <w:lang w:eastAsia="ro-RO"/>
              </w:rPr>
              <w:t>13.019</w:t>
            </w:r>
          </w:p>
        </w:tc>
        <w:tc>
          <w:tcPr>
            <w:tcW w:w="1503" w:type="dxa"/>
          </w:tcPr>
          <w:p w14:paraId="363C0C2E" w14:textId="77777777" w:rsidR="00934806" w:rsidRPr="003979BF" w:rsidRDefault="00934806" w:rsidP="00716EBA">
            <w:pPr>
              <w:cnfStyle w:val="000000100000" w:firstRow="0" w:lastRow="0" w:firstColumn="0" w:lastColumn="0" w:oddVBand="0" w:evenVBand="0" w:oddHBand="1" w:evenHBand="0" w:firstRowFirstColumn="0" w:firstRowLastColumn="0" w:lastRowFirstColumn="0" w:lastRowLastColumn="0"/>
              <w:rPr>
                <w:sz w:val="18"/>
                <w:szCs w:val="18"/>
                <w:lang w:eastAsia="ro-RO"/>
              </w:rPr>
            </w:pPr>
            <w:r w:rsidRPr="003979BF">
              <w:rPr>
                <w:sz w:val="18"/>
                <w:szCs w:val="18"/>
                <w:lang w:eastAsia="ro-RO"/>
              </w:rPr>
              <w:t>13.102</w:t>
            </w:r>
          </w:p>
        </w:tc>
        <w:tc>
          <w:tcPr>
            <w:tcW w:w="1503" w:type="dxa"/>
          </w:tcPr>
          <w:p w14:paraId="38AC1F59" w14:textId="77777777" w:rsidR="00934806" w:rsidRPr="003979BF" w:rsidRDefault="00934806" w:rsidP="00716EBA">
            <w:pPr>
              <w:cnfStyle w:val="000000100000" w:firstRow="0" w:lastRow="0" w:firstColumn="0" w:lastColumn="0" w:oddVBand="0" w:evenVBand="0" w:oddHBand="1" w:evenHBand="0" w:firstRowFirstColumn="0" w:firstRowLastColumn="0" w:lastRowFirstColumn="0" w:lastRowLastColumn="0"/>
              <w:rPr>
                <w:sz w:val="18"/>
                <w:szCs w:val="18"/>
                <w:lang w:eastAsia="ro-RO"/>
              </w:rPr>
            </w:pPr>
            <w:r w:rsidRPr="003979BF">
              <w:rPr>
                <w:sz w:val="18"/>
                <w:szCs w:val="18"/>
                <w:lang w:eastAsia="ro-RO"/>
              </w:rPr>
              <w:t>13.182</w:t>
            </w:r>
          </w:p>
        </w:tc>
        <w:tc>
          <w:tcPr>
            <w:tcW w:w="1503" w:type="dxa"/>
          </w:tcPr>
          <w:p w14:paraId="3E3B5C9E" w14:textId="77777777" w:rsidR="00934806" w:rsidRPr="003979BF" w:rsidRDefault="00934806" w:rsidP="00716EBA">
            <w:pPr>
              <w:cnfStyle w:val="000000100000" w:firstRow="0" w:lastRow="0" w:firstColumn="0" w:lastColumn="0" w:oddVBand="0" w:evenVBand="0" w:oddHBand="1" w:evenHBand="0" w:firstRowFirstColumn="0" w:firstRowLastColumn="0" w:lastRowFirstColumn="0" w:lastRowLastColumn="0"/>
              <w:rPr>
                <w:sz w:val="18"/>
                <w:szCs w:val="18"/>
                <w:lang w:eastAsia="ro-RO"/>
              </w:rPr>
            </w:pPr>
            <w:r w:rsidRPr="003979BF">
              <w:rPr>
                <w:sz w:val="18"/>
                <w:szCs w:val="18"/>
                <w:lang w:eastAsia="ro-RO"/>
              </w:rPr>
              <w:t>14.074</w:t>
            </w:r>
          </w:p>
        </w:tc>
      </w:tr>
      <w:tr w:rsidR="00934806" w:rsidRPr="003979BF" w14:paraId="73AD21F2" w14:textId="77777777" w:rsidTr="00366219">
        <w:tc>
          <w:tcPr>
            <w:cnfStyle w:val="001000000000" w:firstRow="0" w:lastRow="0" w:firstColumn="1" w:lastColumn="0" w:oddVBand="0" w:evenVBand="0" w:oddHBand="0" w:evenHBand="0" w:firstRowFirstColumn="0" w:firstRowLastColumn="0" w:lastRowFirstColumn="0" w:lastRowLastColumn="0"/>
            <w:tcW w:w="895" w:type="dxa"/>
          </w:tcPr>
          <w:p w14:paraId="3792F555" w14:textId="77777777" w:rsidR="00934806" w:rsidRPr="003979BF" w:rsidRDefault="00934806" w:rsidP="00716EBA">
            <w:pPr>
              <w:jc w:val="center"/>
              <w:rPr>
                <w:b w:val="0"/>
                <w:bCs w:val="0"/>
                <w:sz w:val="18"/>
                <w:szCs w:val="18"/>
                <w:lang w:eastAsia="ro-RO"/>
              </w:rPr>
            </w:pPr>
            <w:r w:rsidRPr="003979BF">
              <w:rPr>
                <w:b w:val="0"/>
                <w:bCs w:val="0"/>
                <w:sz w:val="18"/>
                <w:szCs w:val="18"/>
                <w:lang w:eastAsia="ro-RO"/>
              </w:rPr>
              <w:t>2</w:t>
            </w:r>
          </w:p>
        </w:tc>
        <w:tc>
          <w:tcPr>
            <w:tcW w:w="2250" w:type="dxa"/>
          </w:tcPr>
          <w:p w14:paraId="1BDA8E6E" w14:textId="77777777" w:rsidR="00934806" w:rsidRPr="003979BF" w:rsidRDefault="00934806" w:rsidP="00716EBA">
            <w:pPr>
              <w:cnfStyle w:val="000000000000" w:firstRow="0" w:lastRow="0" w:firstColumn="0" w:lastColumn="0" w:oddVBand="0" w:evenVBand="0" w:oddHBand="0" w:evenHBand="0" w:firstRowFirstColumn="0" w:firstRowLastColumn="0" w:lastRowFirstColumn="0" w:lastRowLastColumn="0"/>
              <w:rPr>
                <w:sz w:val="18"/>
                <w:szCs w:val="18"/>
                <w:lang w:eastAsia="ro-RO"/>
              </w:rPr>
            </w:pPr>
            <w:r w:rsidRPr="003979BF">
              <w:rPr>
                <w:sz w:val="18"/>
                <w:szCs w:val="18"/>
                <w:lang w:eastAsia="ro-RO"/>
              </w:rPr>
              <w:t>Femei (adulți)</w:t>
            </w:r>
          </w:p>
        </w:tc>
        <w:tc>
          <w:tcPr>
            <w:tcW w:w="1503" w:type="dxa"/>
          </w:tcPr>
          <w:p w14:paraId="2A96CF8E" w14:textId="77777777" w:rsidR="00934806" w:rsidRPr="003979BF" w:rsidRDefault="00934806" w:rsidP="00716EBA">
            <w:pPr>
              <w:cnfStyle w:val="000000000000" w:firstRow="0" w:lastRow="0" w:firstColumn="0" w:lastColumn="0" w:oddVBand="0" w:evenVBand="0" w:oddHBand="0" w:evenHBand="0" w:firstRowFirstColumn="0" w:firstRowLastColumn="0" w:lastRowFirstColumn="0" w:lastRowLastColumn="0"/>
              <w:rPr>
                <w:sz w:val="18"/>
                <w:szCs w:val="18"/>
                <w:lang w:eastAsia="ro-RO"/>
              </w:rPr>
            </w:pPr>
            <w:r w:rsidRPr="003979BF">
              <w:rPr>
                <w:sz w:val="18"/>
                <w:szCs w:val="18"/>
                <w:lang w:eastAsia="ro-RO"/>
              </w:rPr>
              <w:t>2.056</w:t>
            </w:r>
          </w:p>
        </w:tc>
        <w:tc>
          <w:tcPr>
            <w:tcW w:w="1503" w:type="dxa"/>
          </w:tcPr>
          <w:p w14:paraId="76A539E6" w14:textId="77777777" w:rsidR="00934806" w:rsidRPr="003979BF" w:rsidRDefault="00934806" w:rsidP="00716EBA">
            <w:pPr>
              <w:cnfStyle w:val="000000000000" w:firstRow="0" w:lastRow="0" w:firstColumn="0" w:lastColumn="0" w:oddVBand="0" w:evenVBand="0" w:oddHBand="0" w:evenHBand="0" w:firstRowFirstColumn="0" w:firstRowLastColumn="0" w:lastRowFirstColumn="0" w:lastRowLastColumn="0"/>
              <w:rPr>
                <w:sz w:val="18"/>
                <w:szCs w:val="18"/>
                <w:lang w:eastAsia="ro-RO"/>
              </w:rPr>
            </w:pPr>
            <w:r w:rsidRPr="003979BF">
              <w:rPr>
                <w:sz w:val="18"/>
                <w:szCs w:val="18"/>
                <w:lang w:eastAsia="ro-RO"/>
              </w:rPr>
              <w:t>1.927</w:t>
            </w:r>
          </w:p>
        </w:tc>
        <w:tc>
          <w:tcPr>
            <w:tcW w:w="1503" w:type="dxa"/>
          </w:tcPr>
          <w:p w14:paraId="3BAB190D" w14:textId="77777777" w:rsidR="00934806" w:rsidRPr="003979BF" w:rsidRDefault="00934806" w:rsidP="00716EBA">
            <w:pPr>
              <w:cnfStyle w:val="000000000000" w:firstRow="0" w:lastRow="0" w:firstColumn="0" w:lastColumn="0" w:oddVBand="0" w:evenVBand="0" w:oddHBand="0" w:evenHBand="0" w:firstRowFirstColumn="0" w:firstRowLastColumn="0" w:lastRowFirstColumn="0" w:lastRowLastColumn="0"/>
              <w:rPr>
                <w:sz w:val="18"/>
                <w:szCs w:val="18"/>
                <w:lang w:eastAsia="ro-RO"/>
              </w:rPr>
            </w:pPr>
            <w:r w:rsidRPr="003979BF">
              <w:rPr>
                <w:sz w:val="18"/>
                <w:szCs w:val="18"/>
                <w:lang w:eastAsia="ro-RO"/>
              </w:rPr>
              <w:t>2.149</w:t>
            </w:r>
          </w:p>
        </w:tc>
        <w:tc>
          <w:tcPr>
            <w:tcW w:w="1503" w:type="dxa"/>
          </w:tcPr>
          <w:p w14:paraId="2DECE22A" w14:textId="77777777" w:rsidR="00934806" w:rsidRPr="003979BF" w:rsidRDefault="00934806" w:rsidP="00716EBA">
            <w:pPr>
              <w:cnfStyle w:val="000000000000" w:firstRow="0" w:lastRow="0" w:firstColumn="0" w:lastColumn="0" w:oddVBand="0" w:evenVBand="0" w:oddHBand="0" w:evenHBand="0" w:firstRowFirstColumn="0" w:firstRowLastColumn="0" w:lastRowFirstColumn="0" w:lastRowLastColumn="0"/>
              <w:rPr>
                <w:sz w:val="18"/>
                <w:szCs w:val="18"/>
                <w:lang w:eastAsia="ro-RO"/>
              </w:rPr>
            </w:pPr>
            <w:r w:rsidRPr="003979BF">
              <w:rPr>
                <w:sz w:val="18"/>
                <w:szCs w:val="18"/>
                <w:lang w:eastAsia="ro-RO"/>
              </w:rPr>
              <w:t>2.743</w:t>
            </w:r>
          </w:p>
        </w:tc>
      </w:tr>
      <w:tr w:rsidR="00934806" w:rsidRPr="003979BF" w14:paraId="14B3915B" w14:textId="77777777" w:rsidTr="00366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3FC4610" w14:textId="77777777" w:rsidR="00934806" w:rsidRPr="003979BF" w:rsidRDefault="00934806" w:rsidP="00716EBA">
            <w:pPr>
              <w:jc w:val="center"/>
              <w:rPr>
                <w:b w:val="0"/>
                <w:bCs w:val="0"/>
                <w:sz w:val="18"/>
                <w:szCs w:val="18"/>
                <w:lang w:eastAsia="ro-RO"/>
              </w:rPr>
            </w:pPr>
            <w:r w:rsidRPr="003979BF">
              <w:rPr>
                <w:b w:val="0"/>
                <w:bCs w:val="0"/>
                <w:sz w:val="18"/>
                <w:szCs w:val="18"/>
                <w:lang w:eastAsia="ro-RO"/>
              </w:rPr>
              <w:t>3</w:t>
            </w:r>
          </w:p>
        </w:tc>
        <w:tc>
          <w:tcPr>
            <w:tcW w:w="2250" w:type="dxa"/>
          </w:tcPr>
          <w:p w14:paraId="1018A51D" w14:textId="77777777" w:rsidR="00934806" w:rsidRPr="003979BF" w:rsidRDefault="00934806" w:rsidP="00716EBA">
            <w:pPr>
              <w:cnfStyle w:val="000000100000" w:firstRow="0" w:lastRow="0" w:firstColumn="0" w:lastColumn="0" w:oddVBand="0" w:evenVBand="0" w:oddHBand="1" w:evenHBand="0" w:firstRowFirstColumn="0" w:firstRowLastColumn="0" w:lastRowFirstColumn="0" w:lastRowLastColumn="0"/>
              <w:rPr>
                <w:sz w:val="18"/>
                <w:szCs w:val="18"/>
                <w:lang w:eastAsia="ro-RO"/>
              </w:rPr>
            </w:pPr>
            <w:r w:rsidRPr="003979BF">
              <w:rPr>
                <w:sz w:val="18"/>
                <w:szCs w:val="18"/>
                <w:lang w:eastAsia="ro-RO"/>
              </w:rPr>
              <w:t>Bărbați (adulți)</w:t>
            </w:r>
          </w:p>
        </w:tc>
        <w:tc>
          <w:tcPr>
            <w:tcW w:w="1503" w:type="dxa"/>
          </w:tcPr>
          <w:p w14:paraId="1C830016" w14:textId="77777777" w:rsidR="00934806" w:rsidRPr="003979BF" w:rsidRDefault="00934806" w:rsidP="00716EBA">
            <w:pPr>
              <w:cnfStyle w:val="000000100000" w:firstRow="0" w:lastRow="0" w:firstColumn="0" w:lastColumn="0" w:oddVBand="0" w:evenVBand="0" w:oddHBand="1" w:evenHBand="0" w:firstRowFirstColumn="0" w:firstRowLastColumn="0" w:lastRowFirstColumn="0" w:lastRowLastColumn="0"/>
              <w:rPr>
                <w:sz w:val="18"/>
                <w:szCs w:val="18"/>
                <w:lang w:eastAsia="ro-RO"/>
              </w:rPr>
            </w:pPr>
            <w:r w:rsidRPr="003979BF">
              <w:rPr>
                <w:sz w:val="18"/>
                <w:szCs w:val="18"/>
                <w:lang w:eastAsia="ro-RO"/>
              </w:rPr>
              <w:t>165</w:t>
            </w:r>
          </w:p>
        </w:tc>
        <w:tc>
          <w:tcPr>
            <w:tcW w:w="1503" w:type="dxa"/>
          </w:tcPr>
          <w:p w14:paraId="68A70875" w14:textId="77777777" w:rsidR="00934806" w:rsidRPr="003979BF" w:rsidRDefault="00934806" w:rsidP="00716EBA">
            <w:pPr>
              <w:cnfStyle w:val="000000100000" w:firstRow="0" w:lastRow="0" w:firstColumn="0" w:lastColumn="0" w:oddVBand="0" w:evenVBand="0" w:oddHBand="1" w:evenHBand="0" w:firstRowFirstColumn="0" w:firstRowLastColumn="0" w:lastRowFirstColumn="0" w:lastRowLastColumn="0"/>
              <w:rPr>
                <w:sz w:val="18"/>
                <w:szCs w:val="18"/>
                <w:lang w:eastAsia="ro-RO"/>
              </w:rPr>
            </w:pPr>
            <w:r w:rsidRPr="003979BF">
              <w:rPr>
                <w:sz w:val="18"/>
                <w:szCs w:val="18"/>
                <w:lang w:eastAsia="ro-RO"/>
              </w:rPr>
              <w:t>141</w:t>
            </w:r>
          </w:p>
        </w:tc>
        <w:tc>
          <w:tcPr>
            <w:tcW w:w="1503" w:type="dxa"/>
          </w:tcPr>
          <w:p w14:paraId="6AFC60BF" w14:textId="77777777" w:rsidR="00934806" w:rsidRPr="003979BF" w:rsidRDefault="00934806" w:rsidP="00716EBA">
            <w:pPr>
              <w:cnfStyle w:val="000000100000" w:firstRow="0" w:lastRow="0" w:firstColumn="0" w:lastColumn="0" w:oddVBand="0" w:evenVBand="0" w:oddHBand="1" w:evenHBand="0" w:firstRowFirstColumn="0" w:firstRowLastColumn="0" w:lastRowFirstColumn="0" w:lastRowLastColumn="0"/>
              <w:rPr>
                <w:sz w:val="18"/>
                <w:szCs w:val="18"/>
                <w:lang w:eastAsia="ro-RO"/>
              </w:rPr>
            </w:pPr>
            <w:r w:rsidRPr="003979BF">
              <w:rPr>
                <w:sz w:val="18"/>
                <w:szCs w:val="18"/>
                <w:lang w:eastAsia="ro-RO"/>
              </w:rPr>
              <w:t>172</w:t>
            </w:r>
          </w:p>
        </w:tc>
        <w:tc>
          <w:tcPr>
            <w:tcW w:w="1503" w:type="dxa"/>
          </w:tcPr>
          <w:p w14:paraId="6F185CF8" w14:textId="77777777" w:rsidR="00934806" w:rsidRPr="003979BF" w:rsidRDefault="00934806" w:rsidP="00716EBA">
            <w:pPr>
              <w:cnfStyle w:val="000000100000" w:firstRow="0" w:lastRow="0" w:firstColumn="0" w:lastColumn="0" w:oddVBand="0" w:evenVBand="0" w:oddHBand="1" w:evenHBand="0" w:firstRowFirstColumn="0" w:firstRowLastColumn="0" w:lastRowFirstColumn="0" w:lastRowLastColumn="0"/>
              <w:rPr>
                <w:sz w:val="18"/>
                <w:szCs w:val="18"/>
                <w:lang w:eastAsia="ro-RO"/>
              </w:rPr>
            </w:pPr>
            <w:r w:rsidRPr="003979BF">
              <w:rPr>
                <w:sz w:val="18"/>
                <w:szCs w:val="18"/>
                <w:lang w:eastAsia="ro-RO"/>
              </w:rPr>
              <w:t>169</w:t>
            </w:r>
          </w:p>
        </w:tc>
      </w:tr>
      <w:tr w:rsidR="00934806" w:rsidRPr="003979BF" w14:paraId="6B1720DE" w14:textId="77777777" w:rsidTr="00366219">
        <w:tc>
          <w:tcPr>
            <w:cnfStyle w:val="001000000000" w:firstRow="0" w:lastRow="0" w:firstColumn="1" w:lastColumn="0" w:oddVBand="0" w:evenVBand="0" w:oddHBand="0" w:evenHBand="0" w:firstRowFirstColumn="0" w:firstRowLastColumn="0" w:lastRowFirstColumn="0" w:lastRowLastColumn="0"/>
            <w:tcW w:w="895" w:type="dxa"/>
          </w:tcPr>
          <w:p w14:paraId="47DBFBE4" w14:textId="77777777" w:rsidR="00934806" w:rsidRPr="003979BF" w:rsidRDefault="00934806" w:rsidP="00716EBA">
            <w:pPr>
              <w:jc w:val="center"/>
              <w:rPr>
                <w:b w:val="0"/>
                <w:bCs w:val="0"/>
                <w:sz w:val="18"/>
                <w:szCs w:val="18"/>
                <w:lang w:eastAsia="ro-RO"/>
              </w:rPr>
            </w:pPr>
            <w:r w:rsidRPr="003979BF">
              <w:rPr>
                <w:b w:val="0"/>
                <w:bCs w:val="0"/>
                <w:sz w:val="18"/>
                <w:szCs w:val="18"/>
                <w:lang w:eastAsia="ro-RO"/>
              </w:rPr>
              <w:t>4</w:t>
            </w:r>
          </w:p>
        </w:tc>
        <w:tc>
          <w:tcPr>
            <w:tcW w:w="2250" w:type="dxa"/>
          </w:tcPr>
          <w:p w14:paraId="5D5B3DA2" w14:textId="77777777" w:rsidR="00934806" w:rsidRPr="003979BF" w:rsidRDefault="00934806" w:rsidP="00716EBA">
            <w:pPr>
              <w:cnfStyle w:val="000000000000" w:firstRow="0" w:lastRow="0" w:firstColumn="0" w:lastColumn="0" w:oddVBand="0" w:evenVBand="0" w:oddHBand="0" w:evenHBand="0" w:firstRowFirstColumn="0" w:firstRowLastColumn="0" w:lastRowFirstColumn="0" w:lastRowLastColumn="0"/>
              <w:rPr>
                <w:sz w:val="18"/>
                <w:szCs w:val="18"/>
                <w:lang w:eastAsia="ro-RO"/>
              </w:rPr>
            </w:pPr>
            <w:r w:rsidRPr="003979BF">
              <w:rPr>
                <w:sz w:val="18"/>
                <w:szCs w:val="18"/>
                <w:lang w:eastAsia="ro-RO"/>
              </w:rPr>
              <w:t>Minori</w:t>
            </w:r>
          </w:p>
        </w:tc>
        <w:tc>
          <w:tcPr>
            <w:tcW w:w="1503" w:type="dxa"/>
          </w:tcPr>
          <w:p w14:paraId="10584799" w14:textId="77777777" w:rsidR="00934806" w:rsidRPr="003979BF" w:rsidRDefault="00934806" w:rsidP="00716EBA">
            <w:pPr>
              <w:cnfStyle w:val="000000000000" w:firstRow="0" w:lastRow="0" w:firstColumn="0" w:lastColumn="0" w:oddVBand="0" w:evenVBand="0" w:oddHBand="0" w:evenHBand="0" w:firstRowFirstColumn="0" w:firstRowLastColumn="0" w:lastRowFirstColumn="0" w:lastRowLastColumn="0"/>
              <w:rPr>
                <w:sz w:val="18"/>
                <w:szCs w:val="18"/>
                <w:lang w:eastAsia="ro-RO"/>
              </w:rPr>
            </w:pPr>
            <w:r w:rsidRPr="003979BF">
              <w:rPr>
                <w:sz w:val="18"/>
                <w:szCs w:val="18"/>
                <w:lang w:eastAsia="ro-RO"/>
              </w:rPr>
              <w:t>10.798</w:t>
            </w:r>
          </w:p>
        </w:tc>
        <w:tc>
          <w:tcPr>
            <w:tcW w:w="1503" w:type="dxa"/>
          </w:tcPr>
          <w:p w14:paraId="25BF6098" w14:textId="77777777" w:rsidR="00934806" w:rsidRPr="003979BF" w:rsidRDefault="00934806" w:rsidP="00716EBA">
            <w:pPr>
              <w:cnfStyle w:val="000000000000" w:firstRow="0" w:lastRow="0" w:firstColumn="0" w:lastColumn="0" w:oddVBand="0" w:evenVBand="0" w:oddHBand="0" w:evenHBand="0" w:firstRowFirstColumn="0" w:firstRowLastColumn="0" w:lastRowFirstColumn="0" w:lastRowLastColumn="0"/>
              <w:rPr>
                <w:sz w:val="18"/>
                <w:szCs w:val="18"/>
                <w:lang w:eastAsia="ro-RO"/>
              </w:rPr>
            </w:pPr>
            <w:r w:rsidRPr="003979BF">
              <w:rPr>
                <w:sz w:val="18"/>
                <w:szCs w:val="18"/>
                <w:lang w:eastAsia="ro-RO"/>
              </w:rPr>
              <w:t>11.034</w:t>
            </w:r>
          </w:p>
        </w:tc>
        <w:tc>
          <w:tcPr>
            <w:tcW w:w="1503" w:type="dxa"/>
          </w:tcPr>
          <w:p w14:paraId="39E980E9" w14:textId="77777777" w:rsidR="00934806" w:rsidRPr="003979BF" w:rsidRDefault="00934806" w:rsidP="00716EBA">
            <w:pPr>
              <w:cnfStyle w:val="000000000000" w:firstRow="0" w:lastRow="0" w:firstColumn="0" w:lastColumn="0" w:oddVBand="0" w:evenVBand="0" w:oddHBand="0" w:evenHBand="0" w:firstRowFirstColumn="0" w:firstRowLastColumn="0" w:lastRowFirstColumn="0" w:lastRowLastColumn="0"/>
              <w:rPr>
                <w:sz w:val="18"/>
                <w:szCs w:val="18"/>
                <w:lang w:eastAsia="ro-RO"/>
              </w:rPr>
            </w:pPr>
            <w:r w:rsidRPr="003979BF">
              <w:rPr>
                <w:sz w:val="18"/>
                <w:szCs w:val="18"/>
                <w:lang w:eastAsia="ro-RO"/>
              </w:rPr>
              <w:t>10.861</w:t>
            </w:r>
          </w:p>
        </w:tc>
        <w:tc>
          <w:tcPr>
            <w:tcW w:w="1503" w:type="dxa"/>
          </w:tcPr>
          <w:p w14:paraId="4E032E61" w14:textId="77777777" w:rsidR="00934806" w:rsidRPr="003979BF" w:rsidRDefault="00934806" w:rsidP="00716EBA">
            <w:pPr>
              <w:cnfStyle w:val="000000000000" w:firstRow="0" w:lastRow="0" w:firstColumn="0" w:lastColumn="0" w:oddVBand="0" w:evenVBand="0" w:oddHBand="0" w:evenHBand="0" w:firstRowFirstColumn="0" w:firstRowLastColumn="0" w:lastRowFirstColumn="0" w:lastRowLastColumn="0"/>
              <w:rPr>
                <w:sz w:val="18"/>
                <w:szCs w:val="18"/>
                <w:lang w:eastAsia="ro-RO"/>
              </w:rPr>
            </w:pPr>
            <w:r w:rsidRPr="003979BF">
              <w:rPr>
                <w:sz w:val="18"/>
                <w:szCs w:val="18"/>
                <w:lang w:eastAsia="ro-RO"/>
              </w:rPr>
              <w:t>11.162</w:t>
            </w:r>
          </w:p>
        </w:tc>
      </w:tr>
    </w:tbl>
    <w:p w14:paraId="7154D87C" w14:textId="77777777" w:rsidR="00934806" w:rsidRPr="002F6715" w:rsidRDefault="00934806" w:rsidP="002F6715">
      <w:pPr>
        <w:spacing w:after="0"/>
        <w:rPr>
          <w:sz w:val="16"/>
          <w:szCs w:val="16"/>
        </w:rPr>
      </w:pPr>
      <w:r w:rsidRPr="002F6715">
        <w:rPr>
          <w:sz w:val="16"/>
          <w:szCs w:val="16"/>
        </w:rPr>
        <w:t>Sursa: ANES, Raport de activitate 2019</w:t>
      </w:r>
    </w:p>
    <w:p w14:paraId="5F02065B" w14:textId="77777777" w:rsidR="00934806" w:rsidRPr="007D1373" w:rsidRDefault="00934806" w:rsidP="00934806">
      <w:pPr>
        <w:rPr>
          <w:lang w:eastAsia="ro-RO"/>
        </w:rPr>
      </w:pPr>
      <w:r w:rsidRPr="007D1373">
        <w:rPr>
          <w:lang w:eastAsia="ro-RO"/>
        </w:rPr>
        <w:t>În perioada pandemiei se estimează că numărul cazurilor de violență domestică a crescut, dar nu există încă date oficiale pentru anul 2020. (Rețeaua pentru prevenirea și combaterea violenței împotriva femeilor). Datele furnizate de IGPR arată o creștere a cazurilor de loviri și alte violențe cu peste 6000 în perioada 2017 – 2020, iar numărul ordinelor de protecție solicitate de victime a crescut de aproape 3 ori. (</w:t>
      </w:r>
      <w:r w:rsidRPr="007D1373">
        <w:rPr>
          <w:lang w:eastAsia="ro-RO"/>
        </w:rPr>
        <w:fldChar w:fldCharType="begin"/>
      </w:r>
      <w:r w:rsidRPr="007D1373">
        <w:rPr>
          <w:lang w:eastAsia="ro-RO"/>
        </w:rPr>
        <w:instrText xml:space="preserve"> REF _Ref86198578 \h </w:instrText>
      </w:r>
      <w:r w:rsidRPr="007D1373">
        <w:rPr>
          <w:lang w:eastAsia="ro-RO"/>
        </w:rPr>
      </w:r>
      <w:r w:rsidRPr="007D1373">
        <w:rPr>
          <w:lang w:eastAsia="ro-RO"/>
        </w:rPr>
        <w:fldChar w:fldCharType="separate"/>
      </w:r>
      <w:r w:rsidRPr="007D1373">
        <w:t xml:space="preserve">Tabelul </w:t>
      </w:r>
      <w:r w:rsidRPr="007D1373">
        <w:rPr>
          <w:noProof/>
        </w:rPr>
        <w:t>2</w:t>
      </w:r>
      <w:r w:rsidRPr="007D1373">
        <w:rPr>
          <w:lang w:eastAsia="ro-RO"/>
        </w:rPr>
        <w:fldChar w:fldCharType="end"/>
      </w:r>
      <w:r w:rsidRPr="007D1373">
        <w:rPr>
          <w:lang w:eastAsia="ro-RO"/>
        </w:rPr>
        <w:t>)</w:t>
      </w:r>
    </w:p>
    <w:p w14:paraId="6BBAADE4" w14:textId="52452E55" w:rsidR="00934806" w:rsidRPr="007D1373" w:rsidRDefault="005B25A4" w:rsidP="005B25A4">
      <w:pPr>
        <w:pStyle w:val="Caption"/>
        <w:rPr>
          <w:lang w:eastAsia="ro-RO"/>
        </w:rPr>
      </w:pPr>
      <w:bookmarkStart w:id="16" w:name="_Toc86993598"/>
      <w:r>
        <w:t xml:space="preserve">Tabel </w:t>
      </w:r>
      <w:r>
        <w:fldChar w:fldCharType="begin"/>
      </w:r>
      <w:r>
        <w:instrText xml:space="preserve"> SEQ Tabel \* ARABIC </w:instrText>
      </w:r>
      <w:r>
        <w:fldChar w:fldCharType="separate"/>
      </w:r>
      <w:r w:rsidR="0089533D">
        <w:rPr>
          <w:noProof/>
        </w:rPr>
        <w:t>2</w:t>
      </w:r>
      <w:r>
        <w:fldChar w:fldCharType="end"/>
      </w:r>
      <w:r>
        <w:t xml:space="preserve"> </w:t>
      </w:r>
      <w:r w:rsidRPr="00CC344F">
        <w:t>Evoluția cazurilor de violență în familie în perioada 2017 - 2020</w:t>
      </w:r>
      <w:bookmarkEnd w:id="16"/>
    </w:p>
    <w:tbl>
      <w:tblPr>
        <w:tblStyle w:val="GridTable4-Accent1"/>
        <w:tblW w:w="8926" w:type="dxa"/>
        <w:tblLook w:val="04A0" w:firstRow="1" w:lastRow="0" w:firstColumn="1" w:lastColumn="0" w:noHBand="0" w:noVBand="1"/>
      </w:tblPr>
      <w:tblGrid>
        <w:gridCol w:w="895"/>
        <w:gridCol w:w="3883"/>
        <w:gridCol w:w="1375"/>
        <w:gridCol w:w="1375"/>
        <w:gridCol w:w="1398"/>
      </w:tblGrid>
      <w:tr w:rsidR="00934806" w:rsidRPr="003979BF" w14:paraId="277BE7AA" w14:textId="77777777" w:rsidTr="00366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3AE060D" w14:textId="77777777" w:rsidR="00934806" w:rsidRPr="003979BF" w:rsidRDefault="00934806" w:rsidP="00716EBA">
            <w:pPr>
              <w:jc w:val="center"/>
              <w:rPr>
                <w:b w:val="0"/>
                <w:sz w:val="18"/>
                <w:szCs w:val="18"/>
                <w:lang w:eastAsia="ro-RO"/>
              </w:rPr>
            </w:pPr>
            <w:r w:rsidRPr="003979BF">
              <w:rPr>
                <w:sz w:val="18"/>
                <w:szCs w:val="18"/>
                <w:lang w:eastAsia="ro-RO"/>
              </w:rPr>
              <w:t>Nr. crt.</w:t>
            </w:r>
          </w:p>
        </w:tc>
        <w:tc>
          <w:tcPr>
            <w:tcW w:w="3883" w:type="dxa"/>
          </w:tcPr>
          <w:p w14:paraId="762B153C" w14:textId="77777777" w:rsidR="00934806" w:rsidRPr="003979BF" w:rsidRDefault="00934806" w:rsidP="00716EBA">
            <w:pPr>
              <w:cnfStyle w:val="100000000000" w:firstRow="1" w:lastRow="0" w:firstColumn="0" w:lastColumn="0" w:oddVBand="0" w:evenVBand="0" w:oddHBand="0" w:evenHBand="0" w:firstRowFirstColumn="0" w:firstRowLastColumn="0" w:lastRowFirstColumn="0" w:lastRowLastColumn="0"/>
              <w:rPr>
                <w:b w:val="0"/>
                <w:sz w:val="18"/>
                <w:szCs w:val="18"/>
                <w:lang w:eastAsia="ro-RO"/>
              </w:rPr>
            </w:pPr>
            <w:r w:rsidRPr="003979BF">
              <w:rPr>
                <w:sz w:val="18"/>
                <w:szCs w:val="18"/>
                <w:lang w:eastAsia="ro-RO"/>
              </w:rPr>
              <w:t>Tipologia cazurilor</w:t>
            </w:r>
          </w:p>
        </w:tc>
        <w:tc>
          <w:tcPr>
            <w:tcW w:w="1375" w:type="dxa"/>
          </w:tcPr>
          <w:p w14:paraId="6DDA8A04" w14:textId="77777777" w:rsidR="00934806" w:rsidRPr="003979BF" w:rsidRDefault="00934806" w:rsidP="00716EBA">
            <w:pPr>
              <w:jc w:val="center"/>
              <w:cnfStyle w:val="100000000000" w:firstRow="1" w:lastRow="0" w:firstColumn="0" w:lastColumn="0" w:oddVBand="0" w:evenVBand="0" w:oddHBand="0" w:evenHBand="0" w:firstRowFirstColumn="0" w:firstRowLastColumn="0" w:lastRowFirstColumn="0" w:lastRowLastColumn="0"/>
              <w:rPr>
                <w:b w:val="0"/>
                <w:sz w:val="18"/>
                <w:szCs w:val="18"/>
                <w:lang w:eastAsia="ro-RO"/>
              </w:rPr>
            </w:pPr>
            <w:r w:rsidRPr="003979BF">
              <w:rPr>
                <w:sz w:val="18"/>
                <w:szCs w:val="18"/>
                <w:lang w:eastAsia="ro-RO"/>
              </w:rPr>
              <w:t>2017</w:t>
            </w:r>
          </w:p>
        </w:tc>
        <w:tc>
          <w:tcPr>
            <w:tcW w:w="1375" w:type="dxa"/>
          </w:tcPr>
          <w:p w14:paraId="73EDB8F5" w14:textId="77777777" w:rsidR="00934806" w:rsidRPr="003979BF" w:rsidRDefault="00934806" w:rsidP="00716EBA">
            <w:pPr>
              <w:jc w:val="center"/>
              <w:cnfStyle w:val="100000000000" w:firstRow="1" w:lastRow="0" w:firstColumn="0" w:lastColumn="0" w:oddVBand="0" w:evenVBand="0" w:oddHBand="0" w:evenHBand="0" w:firstRowFirstColumn="0" w:firstRowLastColumn="0" w:lastRowFirstColumn="0" w:lastRowLastColumn="0"/>
              <w:rPr>
                <w:b w:val="0"/>
                <w:sz w:val="18"/>
                <w:szCs w:val="18"/>
                <w:lang w:eastAsia="ro-RO"/>
              </w:rPr>
            </w:pPr>
            <w:r w:rsidRPr="003979BF">
              <w:rPr>
                <w:sz w:val="18"/>
                <w:szCs w:val="18"/>
                <w:lang w:eastAsia="ro-RO"/>
              </w:rPr>
              <w:t>2019</w:t>
            </w:r>
          </w:p>
        </w:tc>
        <w:tc>
          <w:tcPr>
            <w:tcW w:w="1398" w:type="dxa"/>
          </w:tcPr>
          <w:p w14:paraId="01DD7270" w14:textId="77777777" w:rsidR="00934806" w:rsidRPr="003979BF" w:rsidRDefault="00934806" w:rsidP="00716EBA">
            <w:pPr>
              <w:jc w:val="center"/>
              <w:cnfStyle w:val="100000000000" w:firstRow="1" w:lastRow="0" w:firstColumn="0" w:lastColumn="0" w:oddVBand="0" w:evenVBand="0" w:oddHBand="0" w:evenHBand="0" w:firstRowFirstColumn="0" w:firstRowLastColumn="0" w:lastRowFirstColumn="0" w:lastRowLastColumn="0"/>
              <w:rPr>
                <w:b w:val="0"/>
                <w:sz w:val="18"/>
                <w:szCs w:val="18"/>
                <w:lang w:eastAsia="ro-RO"/>
              </w:rPr>
            </w:pPr>
            <w:r w:rsidRPr="003979BF">
              <w:rPr>
                <w:sz w:val="18"/>
                <w:szCs w:val="18"/>
                <w:lang w:eastAsia="ro-RO"/>
              </w:rPr>
              <w:t>2020</w:t>
            </w:r>
          </w:p>
        </w:tc>
      </w:tr>
      <w:tr w:rsidR="00934806" w:rsidRPr="003979BF" w14:paraId="3C88559C" w14:textId="77777777" w:rsidTr="00366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7732858" w14:textId="77777777" w:rsidR="00934806" w:rsidRPr="003979BF" w:rsidRDefault="00934806" w:rsidP="00716EBA">
            <w:pPr>
              <w:jc w:val="center"/>
              <w:rPr>
                <w:b w:val="0"/>
                <w:bCs w:val="0"/>
                <w:sz w:val="18"/>
                <w:szCs w:val="18"/>
                <w:lang w:eastAsia="ro-RO"/>
              </w:rPr>
            </w:pPr>
            <w:r w:rsidRPr="003979BF">
              <w:rPr>
                <w:b w:val="0"/>
                <w:bCs w:val="0"/>
                <w:sz w:val="18"/>
                <w:szCs w:val="18"/>
                <w:lang w:eastAsia="ro-RO"/>
              </w:rPr>
              <w:t>1</w:t>
            </w:r>
          </w:p>
        </w:tc>
        <w:tc>
          <w:tcPr>
            <w:tcW w:w="3883" w:type="dxa"/>
          </w:tcPr>
          <w:p w14:paraId="77DFA2AA" w14:textId="77777777" w:rsidR="00934806" w:rsidRPr="003979BF" w:rsidRDefault="00934806" w:rsidP="00716EBA">
            <w:pPr>
              <w:cnfStyle w:val="000000100000" w:firstRow="0" w:lastRow="0" w:firstColumn="0" w:lastColumn="0" w:oddVBand="0" w:evenVBand="0" w:oddHBand="1" w:evenHBand="0" w:firstRowFirstColumn="0" w:firstRowLastColumn="0" w:lastRowFirstColumn="0" w:lastRowLastColumn="0"/>
              <w:rPr>
                <w:sz w:val="18"/>
                <w:szCs w:val="18"/>
                <w:lang w:eastAsia="ro-RO"/>
              </w:rPr>
            </w:pPr>
            <w:r w:rsidRPr="003979BF">
              <w:rPr>
                <w:sz w:val="18"/>
                <w:szCs w:val="18"/>
                <w:lang w:eastAsia="ro-RO"/>
              </w:rPr>
              <w:t>Cazuri de loviri sau alte violențe în familie</w:t>
            </w:r>
          </w:p>
        </w:tc>
        <w:tc>
          <w:tcPr>
            <w:tcW w:w="1375" w:type="dxa"/>
          </w:tcPr>
          <w:p w14:paraId="597046C6" w14:textId="77777777" w:rsidR="00934806" w:rsidRPr="003979BF" w:rsidRDefault="00934806" w:rsidP="00716EBA">
            <w:pPr>
              <w:jc w:val="right"/>
              <w:cnfStyle w:val="000000100000" w:firstRow="0" w:lastRow="0" w:firstColumn="0" w:lastColumn="0" w:oddVBand="0" w:evenVBand="0" w:oddHBand="1" w:evenHBand="0" w:firstRowFirstColumn="0" w:firstRowLastColumn="0" w:lastRowFirstColumn="0" w:lastRowLastColumn="0"/>
              <w:rPr>
                <w:sz w:val="18"/>
                <w:szCs w:val="18"/>
                <w:lang w:eastAsia="ro-RO"/>
              </w:rPr>
            </w:pPr>
            <w:r w:rsidRPr="003979BF">
              <w:rPr>
                <w:sz w:val="18"/>
                <w:szCs w:val="18"/>
                <w:lang w:eastAsia="ro-RO"/>
              </w:rPr>
              <w:t>20.531</w:t>
            </w:r>
          </w:p>
        </w:tc>
        <w:tc>
          <w:tcPr>
            <w:tcW w:w="1375" w:type="dxa"/>
          </w:tcPr>
          <w:p w14:paraId="4357ECE0" w14:textId="77777777" w:rsidR="00934806" w:rsidRPr="003979BF" w:rsidRDefault="00934806" w:rsidP="00716EBA">
            <w:pPr>
              <w:jc w:val="right"/>
              <w:cnfStyle w:val="000000100000" w:firstRow="0" w:lastRow="0" w:firstColumn="0" w:lastColumn="0" w:oddVBand="0" w:evenVBand="0" w:oddHBand="1" w:evenHBand="0" w:firstRowFirstColumn="0" w:firstRowLastColumn="0" w:lastRowFirstColumn="0" w:lastRowLastColumn="0"/>
              <w:rPr>
                <w:sz w:val="18"/>
                <w:szCs w:val="18"/>
                <w:lang w:eastAsia="ro-RO"/>
              </w:rPr>
            </w:pPr>
            <w:r w:rsidRPr="003979BF">
              <w:rPr>
                <w:sz w:val="18"/>
                <w:szCs w:val="18"/>
                <w:lang w:eastAsia="ro-RO"/>
              </w:rPr>
              <w:t>25.968</w:t>
            </w:r>
          </w:p>
        </w:tc>
        <w:tc>
          <w:tcPr>
            <w:tcW w:w="1398" w:type="dxa"/>
          </w:tcPr>
          <w:p w14:paraId="1F272A23" w14:textId="77777777" w:rsidR="00934806" w:rsidRPr="003979BF" w:rsidRDefault="00934806" w:rsidP="00716EBA">
            <w:pPr>
              <w:jc w:val="right"/>
              <w:cnfStyle w:val="000000100000" w:firstRow="0" w:lastRow="0" w:firstColumn="0" w:lastColumn="0" w:oddVBand="0" w:evenVBand="0" w:oddHBand="1" w:evenHBand="0" w:firstRowFirstColumn="0" w:firstRowLastColumn="0" w:lastRowFirstColumn="0" w:lastRowLastColumn="0"/>
              <w:rPr>
                <w:sz w:val="18"/>
                <w:szCs w:val="18"/>
                <w:lang w:eastAsia="ro-RO"/>
              </w:rPr>
            </w:pPr>
            <w:r w:rsidRPr="003979BF">
              <w:rPr>
                <w:sz w:val="18"/>
                <w:szCs w:val="18"/>
                <w:lang w:eastAsia="ro-RO"/>
              </w:rPr>
              <w:t>26.809</w:t>
            </w:r>
          </w:p>
        </w:tc>
      </w:tr>
      <w:tr w:rsidR="00934806" w:rsidRPr="003979BF" w14:paraId="33B36992" w14:textId="77777777" w:rsidTr="00366219">
        <w:tc>
          <w:tcPr>
            <w:cnfStyle w:val="001000000000" w:firstRow="0" w:lastRow="0" w:firstColumn="1" w:lastColumn="0" w:oddVBand="0" w:evenVBand="0" w:oddHBand="0" w:evenHBand="0" w:firstRowFirstColumn="0" w:firstRowLastColumn="0" w:lastRowFirstColumn="0" w:lastRowLastColumn="0"/>
            <w:tcW w:w="895" w:type="dxa"/>
          </w:tcPr>
          <w:p w14:paraId="554913CB" w14:textId="77777777" w:rsidR="00934806" w:rsidRPr="003979BF" w:rsidRDefault="00934806" w:rsidP="00716EBA">
            <w:pPr>
              <w:jc w:val="center"/>
              <w:rPr>
                <w:b w:val="0"/>
                <w:bCs w:val="0"/>
                <w:sz w:val="18"/>
                <w:szCs w:val="18"/>
                <w:lang w:eastAsia="ro-RO"/>
              </w:rPr>
            </w:pPr>
            <w:r w:rsidRPr="003979BF">
              <w:rPr>
                <w:b w:val="0"/>
                <w:bCs w:val="0"/>
                <w:sz w:val="18"/>
                <w:szCs w:val="18"/>
                <w:lang w:eastAsia="ro-RO"/>
              </w:rPr>
              <w:t>2</w:t>
            </w:r>
          </w:p>
        </w:tc>
        <w:tc>
          <w:tcPr>
            <w:tcW w:w="3883" w:type="dxa"/>
          </w:tcPr>
          <w:p w14:paraId="6F892F94" w14:textId="77777777" w:rsidR="00934806" w:rsidRPr="003979BF" w:rsidRDefault="00934806" w:rsidP="00716EBA">
            <w:pPr>
              <w:cnfStyle w:val="000000000000" w:firstRow="0" w:lastRow="0" w:firstColumn="0" w:lastColumn="0" w:oddVBand="0" w:evenVBand="0" w:oddHBand="0" w:evenHBand="0" w:firstRowFirstColumn="0" w:firstRowLastColumn="0" w:lastRowFirstColumn="0" w:lastRowLastColumn="0"/>
              <w:rPr>
                <w:sz w:val="18"/>
                <w:szCs w:val="18"/>
                <w:lang w:eastAsia="ro-RO"/>
              </w:rPr>
            </w:pPr>
            <w:r w:rsidRPr="003979BF">
              <w:rPr>
                <w:sz w:val="18"/>
                <w:szCs w:val="18"/>
                <w:lang w:eastAsia="ro-RO"/>
              </w:rPr>
              <w:t>Cazuri de viol</w:t>
            </w:r>
          </w:p>
        </w:tc>
        <w:tc>
          <w:tcPr>
            <w:tcW w:w="1375" w:type="dxa"/>
          </w:tcPr>
          <w:p w14:paraId="7CF342FD" w14:textId="77777777" w:rsidR="00934806" w:rsidRPr="003979BF" w:rsidRDefault="00934806" w:rsidP="00716EBA">
            <w:pPr>
              <w:jc w:val="right"/>
              <w:cnfStyle w:val="000000000000" w:firstRow="0" w:lastRow="0" w:firstColumn="0" w:lastColumn="0" w:oddVBand="0" w:evenVBand="0" w:oddHBand="0" w:evenHBand="0" w:firstRowFirstColumn="0" w:firstRowLastColumn="0" w:lastRowFirstColumn="0" w:lastRowLastColumn="0"/>
              <w:rPr>
                <w:sz w:val="18"/>
                <w:szCs w:val="18"/>
                <w:lang w:eastAsia="ro-RO"/>
              </w:rPr>
            </w:pPr>
            <w:r w:rsidRPr="003979BF">
              <w:rPr>
                <w:sz w:val="18"/>
                <w:szCs w:val="18"/>
                <w:lang w:eastAsia="ro-RO"/>
              </w:rPr>
              <w:t>181</w:t>
            </w:r>
          </w:p>
        </w:tc>
        <w:tc>
          <w:tcPr>
            <w:tcW w:w="1375" w:type="dxa"/>
          </w:tcPr>
          <w:p w14:paraId="1B5DD86D" w14:textId="77777777" w:rsidR="00934806" w:rsidRPr="003979BF" w:rsidRDefault="00934806" w:rsidP="00716EBA">
            <w:pPr>
              <w:jc w:val="right"/>
              <w:cnfStyle w:val="000000000000" w:firstRow="0" w:lastRow="0" w:firstColumn="0" w:lastColumn="0" w:oddVBand="0" w:evenVBand="0" w:oddHBand="0" w:evenHBand="0" w:firstRowFirstColumn="0" w:firstRowLastColumn="0" w:lastRowFirstColumn="0" w:lastRowLastColumn="0"/>
              <w:rPr>
                <w:sz w:val="18"/>
                <w:szCs w:val="18"/>
                <w:lang w:eastAsia="ro-RO"/>
              </w:rPr>
            </w:pPr>
            <w:r w:rsidRPr="003979BF">
              <w:rPr>
                <w:sz w:val="18"/>
                <w:szCs w:val="18"/>
                <w:lang w:eastAsia="ro-RO"/>
              </w:rPr>
              <w:t>198</w:t>
            </w:r>
          </w:p>
        </w:tc>
        <w:tc>
          <w:tcPr>
            <w:tcW w:w="1398" w:type="dxa"/>
          </w:tcPr>
          <w:p w14:paraId="7A449274" w14:textId="77777777" w:rsidR="00934806" w:rsidRPr="003979BF" w:rsidRDefault="00934806" w:rsidP="00716EBA">
            <w:pPr>
              <w:jc w:val="right"/>
              <w:cnfStyle w:val="000000000000" w:firstRow="0" w:lastRow="0" w:firstColumn="0" w:lastColumn="0" w:oddVBand="0" w:evenVBand="0" w:oddHBand="0" w:evenHBand="0" w:firstRowFirstColumn="0" w:firstRowLastColumn="0" w:lastRowFirstColumn="0" w:lastRowLastColumn="0"/>
              <w:rPr>
                <w:sz w:val="18"/>
                <w:szCs w:val="18"/>
                <w:lang w:eastAsia="ro-RO"/>
              </w:rPr>
            </w:pPr>
            <w:r w:rsidRPr="003979BF">
              <w:rPr>
                <w:sz w:val="18"/>
                <w:szCs w:val="18"/>
                <w:lang w:eastAsia="ro-RO"/>
              </w:rPr>
              <w:t>226</w:t>
            </w:r>
          </w:p>
        </w:tc>
      </w:tr>
      <w:tr w:rsidR="00934806" w:rsidRPr="003979BF" w14:paraId="3457553C" w14:textId="77777777" w:rsidTr="00366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4E5E294" w14:textId="77777777" w:rsidR="00934806" w:rsidRPr="003979BF" w:rsidRDefault="00934806" w:rsidP="00716EBA">
            <w:pPr>
              <w:jc w:val="center"/>
              <w:rPr>
                <w:b w:val="0"/>
                <w:bCs w:val="0"/>
                <w:sz w:val="18"/>
                <w:szCs w:val="18"/>
                <w:lang w:eastAsia="ro-RO"/>
              </w:rPr>
            </w:pPr>
            <w:r w:rsidRPr="003979BF">
              <w:rPr>
                <w:b w:val="0"/>
                <w:bCs w:val="0"/>
                <w:sz w:val="18"/>
                <w:szCs w:val="18"/>
                <w:lang w:eastAsia="ro-RO"/>
              </w:rPr>
              <w:t>3</w:t>
            </w:r>
          </w:p>
        </w:tc>
        <w:tc>
          <w:tcPr>
            <w:tcW w:w="3883" w:type="dxa"/>
          </w:tcPr>
          <w:p w14:paraId="023207C2" w14:textId="77777777" w:rsidR="00934806" w:rsidRPr="003979BF" w:rsidRDefault="00934806" w:rsidP="00716EBA">
            <w:pPr>
              <w:cnfStyle w:val="000000100000" w:firstRow="0" w:lastRow="0" w:firstColumn="0" w:lastColumn="0" w:oddVBand="0" w:evenVBand="0" w:oddHBand="1" w:evenHBand="0" w:firstRowFirstColumn="0" w:firstRowLastColumn="0" w:lastRowFirstColumn="0" w:lastRowLastColumn="0"/>
              <w:rPr>
                <w:sz w:val="18"/>
                <w:szCs w:val="18"/>
                <w:lang w:eastAsia="ro-RO"/>
              </w:rPr>
            </w:pPr>
            <w:r w:rsidRPr="003979BF">
              <w:rPr>
                <w:sz w:val="18"/>
                <w:szCs w:val="18"/>
                <w:lang w:eastAsia="ro-RO"/>
              </w:rPr>
              <w:t>Cazuri de agresiune sexuală</w:t>
            </w:r>
          </w:p>
        </w:tc>
        <w:tc>
          <w:tcPr>
            <w:tcW w:w="1375" w:type="dxa"/>
          </w:tcPr>
          <w:p w14:paraId="54605599" w14:textId="77777777" w:rsidR="00934806" w:rsidRPr="003979BF" w:rsidRDefault="00934806" w:rsidP="00716EBA">
            <w:pPr>
              <w:jc w:val="right"/>
              <w:cnfStyle w:val="000000100000" w:firstRow="0" w:lastRow="0" w:firstColumn="0" w:lastColumn="0" w:oddVBand="0" w:evenVBand="0" w:oddHBand="1" w:evenHBand="0" w:firstRowFirstColumn="0" w:firstRowLastColumn="0" w:lastRowFirstColumn="0" w:lastRowLastColumn="0"/>
              <w:rPr>
                <w:sz w:val="18"/>
                <w:szCs w:val="18"/>
                <w:lang w:eastAsia="ro-RO"/>
              </w:rPr>
            </w:pPr>
            <w:r w:rsidRPr="003979BF">
              <w:rPr>
                <w:sz w:val="18"/>
                <w:szCs w:val="18"/>
                <w:lang w:eastAsia="ro-RO"/>
              </w:rPr>
              <w:t>44</w:t>
            </w:r>
          </w:p>
        </w:tc>
        <w:tc>
          <w:tcPr>
            <w:tcW w:w="1375" w:type="dxa"/>
          </w:tcPr>
          <w:p w14:paraId="0EC0AA4D" w14:textId="77777777" w:rsidR="00934806" w:rsidRPr="003979BF" w:rsidRDefault="00934806" w:rsidP="00716EBA">
            <w:pPr>
              <w:jc w:val="right"/>
              <w:cnfStyle w:val="000000100000" w:firstRow="0" w:lastRow="0" w:firstColumn="0" w:lastColumn="0" w:oddVBand="0" w:evenVBand="0" w:oddHBand="1" w:evenHBand="0" w:firstRowFirstColumn="0" w:firstRowLastColumn="0" w:lastRowFirstColumn="0" w:lastRowLastColumn="0"/>
              <w:rPr>
                <w:sz w:val="18"/>
                <w:szCs w:val="18"/>
                <w:lang w:eastAsia="ro-RO"/>
              </w:rPr>
            </w:pPr>
            <w:r w:rsidRPr="003979BF">
              <w:rPr>
                <w:sz w:val="18"/>
                <w:szCs w:val="18"/>
                <w:lang w:eastAsia="ro-RO"/>
              </w:rPr>
              <w:t>97</w:t>
            </w:r>
          </w:p>
        </w:tc>
        <w:tc>
          <w:tcPr>
            <w:tcW w:w="1398" w:type="dxa"/>
          </w:tcPr>
          <w:p w14:paraId="1051FCAE" w14:textId="77777777" w:rsidR="00934806" w:rsidRPr="003979BF" w:rsidRDefault="00934806" w:rsidP="00716EBA">
            <w:pPr>
              <w:jc w:val="right"/>
              <w:cnfStyle w:val="000000100000" w:firstRow="0" w:lastRow="0" w:firstColumn="0" w:lastColumn="0" w:oddVBand="0" w:evenVBand="0" w:oddHBand="1" w:evenHBand="0" w:firstRowFirstColumn="0" w:firstRowLastColumn="0" w:lastRowFirstColumn="0" w:lastRowLastColumn="0"/>
              <w:rPr>
                <w:sz w:val="18"/>
                <w:szCs w:val="18"/>
                <w:lang w:eastAsia="ro-RO"/>
              </w:rPr>
            </w:pPr>
            <w:r w:rsidRPr="003979BF">
              <w:rPr>
                <w:sz w:val="18"/>
                <w:szCs w:val="18"/>
                <w:lang w:eastAsia="ro-RO"/>
              </w:rPr>
              <w:t>111</w:t>
            </w:r>
          </w:p>
        </w:tc>
      </w:tr>
      <w:tr w:rsidR="00934806" w:rsidRPr="003979BF" w14:paraId="49BD808E" w14:textId="77777777" w:rsidTr="00366219">
        <w:tc>
          <w:tcPr>
            <w:cnfStyle w:val="001000000000" w:firstRow="0" w:lastRow="0" w:firstColumn="1" w:lastColumn="0" w:oddVBand="0" w:evenVBand="0" w:oddHBand="0" w:evenHBand="0" w:firstRowFirstColumn="0" w:firstRowLastColumn="0" w:lastRowFirstColumn="0" w:lastRowLastColumn="0"/>
            <w:tcW w:w="895" w:type="dxa"/>
          </w:tcPr>
          <w:p w14:paraId="156DB737" w14:textId="77777777" w:rsidR="00934806" w:rsidRPr="003979BF" w:rsidRDefault="00934806" w:rsidP="00716EBA">
            <w:pPr>
              <w:jc w:val="center"/>
              <w:rPr>
                <w:b w:val="0"/>
                <w:bCs w:val="0"/>
                <w:sz w:val="18"/>
                <w:szCs w:val="18"/>
                <w:lang w:eastAsia="ro-RO"/>
              </w:rPr>
            </w:pPr>
            <w:r w:rsidRPr="003979BF">
              <w:rPr>
                <w:b w:val="0"/>
                <w:bCs w:val="0"/>
                <w:sz w:val="18"/>
                <w:szCs w:val="18"/>
                <w:lang w:eastAsia="ro-RO"/>
              </w:rPr>
              <w:t>4</w:t>
            </w:r>
          </w:p>
        </w:tc>
        <w:tc>
          <w:tcPr>
            <w:tcW w:w="3883" w:type="dxa"/>
          </w:tcPr>
          <w:p w14:paraId="2D1A7958" w14:textId="77777777" w:rsidR="00934806" w:rsidRPr="003979BF" w:rsidRDefault="00934806" w:rsidP="00716EBA">
            <w:pPr>
              <w:cnfStyle w:val="000000000000" w:firstRow="0" w:lastRow="0" w:firstColumn="0" w:lastColumn="0" w:oddVBand="0" w:evenVBand="0" w:oddHBand="0" w:evenHBand="0" w:firstRowFirstColumn="0" w:firstRowLastColumn="0" w:lastRowFirstColumn="0" w:lastRowLastColumn="0"/>
              <w:rPr>
                <w:sz w:val="18"/>
                <w:szCs w:val="18"/>
                <w:lang w:eastAsia="ro-RO"/>
              </w:rPr>
            </w:pPr>
            <w:r w:rsidRPr="003979BF">
              <w:rPr>
                <w:sz w:val="18"/>
                <w:szCs w:val="18"/>
                <w:lang w:eastAsia="ro-RO"/>
              </w:rPr>
              <w:t>Ordine de protecție emise</w:t>
            </w:r>
          </w:p>
        </w:tc>
        <w:tc>
          <w:tcPr>
            <w:tcW w:w="1375" w:type="dxa"/>
          </w:tcPr>
          <w:p w14:paraId="6BADFFEE" w14:textId="77777777" w:rsidR="00934806" w:rsidRPr="003979BF" w:rsidRDefault="00934806" w:rsidP="00716EBA">
            <w:pPr>
              <w:jc w:val="right"/>
              <w:cnfStyle w:val="000000000000" w:firstRow="0" w:lastRow="0" w:firstColumn="0" w:lastColumn="0" w:oddVBand="0" w:evenVBand="0" w:oddHBand="0" w:evenHBand="0" w:firstRowFirstColumn="0" w:firstRowLastColumn="0" w:lastRowFirstColumn="0" w:lastRowLastColumn="0"/>
              <w:rPr>
                <w:sz w:val="18"/>
                <w:szCs w:val="18"/>
                <w:lang w:eastAsia="ro-RO"/>
              </w:rPr>
            </w:pPr>
            <w:r w:rsidRPr="003979BF">
              <w:rPr>
                <w:sz w:val="18"/>
                <w:szCs w:val="18"/>
                <w:lang w:eastAsia="ro-RO"/>
              </w:rPr>
              <w:t>2894</w:t>
            </w:r>
          </w:p>
        </w:tc>
        <w:tc>
          <w:tcPr>
            <w:tcW w:w="1375" w:type="dxa"/>
          </w:tcPr>
          <w:p w14:paraId="0D403AEF" w14:textId="77777777" w:rsidR="00934806" w:rsidRPr="003979BF" w:rsidRDefault="00934806" w:rsidP="00716EBA">
            <w:pPr>
              <w:jc w:val="right"/>
              <w:cnfStyle w:val="000000000000" w:firstRow="0" w:lastRow="0" w:firstColumn="0" w:lastColumn="0" w:oddVBand="0" w:evenVBand="0" w:oddHBand="0" w:evenHBand="0" w:firstRowFirstColumn="0" w:firstRowLastColumn="0" w:lastRowFirstColumn="0" w:lastRowLastColumn="0"/>
              <w:rPr>
                <w:sz w:val="18"/>
                <w:szCs w:val="18"/>
                <w:lang w:eastAsia="ro-RO"/>
              </w:rPr>
            </w:pPr>
            <w:r w:rsidRPr="003979BF">
              <w:rPr>
                <w:sz w:val="18"/>
                <w:szCs w:val="18"/>
                <w:lang w:eastAsia="ro-RO"/>
              </w:rPr>
              <w:t>7899</w:t>
            </w:r>
          </w:p>
        </w:tc>
        <w:tc>
          <w:tcPr>
            <w:tcW w:w="1398" w:type="dxa"/>
          </w:tcPr>
          <w:p w14:paraId="7421A4D5" w14:textId="77777777" w:rsidR="00934806" w:rsidRPr="003979BF" w:rsidRDefault="00934806" w:rsidP="00716EBA">
            <w:pPr>
              <w:jc w:val="right"/>
              <w:cnfStyle w:val="000000000000" w:firstRow="0" w:lastRow="0" w:firstColumn="0" w:lastColumn="0" w:oddVBand="0" w:evenVBand="0" w:oddHBand="0" w:evenHBand="0" w:firstRowFirstColumn="0" w:firstRowLastColumn="0" w:lastRowFirstColumn="0" w:lastRowLastColumn="0"/>
              <w:rPr>
                <w:sz w:val="18"/>
                <w:szCs w:val="18"/>
                <w:lang w:eastAsia="ro-RO"/>
              </w:rPr>
            </w:pPr>
            <w:r w:rsidRPr="003979BF">
              <w:rPr>
                <w:sz w:val="18"/>
                <w:szCs w:val="18"/>
                <w:lang w:eastAsia="ro-RO"/>
              </w:rPr>
              <w:t>8.210</w:t>
            </w:r>
          </w:p>
        </w:tc>
      </w:tr>
    </w:tbl>
    <w:p w14:paraId="05F9A720" w14:textId="77777777" w:rsidR="00934806" w:rsidRPr="002F6715" w:rsidRDefault="00934806" w:rsidP="002F6715">
      <w:pPr>
        <w:spacing w:after="0"/>
        <w:rPr>
          <w:sz w:val="16"/>
          <w:szCs w:val="16"/>
        </w:rPr>
      </w:pPr>
      <w:r w:rsidRPr="002F6715">
        <w:rPr>
          <w:sz w:val="16"/>
          <w:szCs w:val="16"/>
        </w:rPr>
        <w:t xml:space="preserve">Sursa: </w:t>
      </w:r>
      <w:hyperlink r:id="rId18" w:history="1">
        <w:r w:rsidRPr="002F6715">
          <w:rPr>
            <w:sz w:val="16"/>
            <w:szCs w:val="16"/>
          </w:rPr>
          <w:t>https://violentaimpotrivafemeilor.ro/</w:t>
        </w:r>
      </w:hyperlink>
      <w:r w:rsidRPr="002F6715">
        <w:rPr>
          <w:sz w:val="16"/>
          <w:szCs w:val="16"/>
        </w:rPr>
        <w:t>, calcule proprii</w:t>
      </w:r>
    </w:p>
    <w:p w14:paraId="213C3426" w14:textId="77777777" w:rsidR="00934806" w:rsidRPr="007D1373" w:rsidRDefault="00934806" w:rsidP="000C3115">
      <w:pPr>
        <w:pStyle w:val="Heading2"/>
        <w:rPr>
          <w:lang w:eastAsia="ro-RO"/>
        </w:rPr>
      </w:pPr>
      <w:bookmarkStart w:id="17" w:name="_Toc86993588"/>
      <w:r w:rsidRPr="007D1373">
        <w:rPr>
          <w:lang w:eastAsia="ro-RO"/>
        </w:rPr>
        <w:t>Victime ale traficului de ființe umane</w:t>
      </w:r>
      <w:bookmarkEnd w:id="17"/>
    </w:p>
    <w:p w14:paraId="1DA95A24" w14:textId="77777777" w:rsidR="00934806" w:rsidRPr="007D1373" w:rsidRDefault="00934806" w:rsidP="00934806">
      <w:pPr>
        <w:rPr>
          <w:lang w:eastAsia="ro-RO"/>
        </w:rPr>
      </w:pPr>
      <w:r w:rsidRPr="007D1373">
        <w:rPr>
          <w:lang w:eastAsia="ro-RO"/>
        </w:rPr>
        <w:t>Numărul victimelor traficului de persoane identificate a vut o evoluție oscilantă în perioada 2016 – 2020 conform datelor Agenției Naționale Împotriva Traficului de Persoane. Datele indică pentru 2016 un număr de 756 de victime ale traficului de persoane din care 530 exploatate sexual, 132 exploatate prin muncă, iar 68 prin cerșetorie. În 2020 au fost doar 596 de victime identificate, cu aproape 100 mai puține decât în anul 2019, din care 426 exploatate sexual, 96 prin muncă și 37 prin cerșetorie. Scăderea numărului de victime se poate datora și dificultăților de identificare a acestora în contextul pandemiei de COVID-19 și a restricțiilor de circulație. (</w:t>
      </w:r>
      <w:r w:rsidRPr="007D1373">
        <w:rPr>
          <w:lang w:eastAsia="ro-RO"/>
        </w:rPr>
        <w:fldChar w:fldCharType="begin"/>
      </w:r>
      <w:r w:rsidRPr="007D1373">
        <w:rPr>
          <w:lang w:eastAsia="ro-RO"/>
        </w:rPr>
        <w:instrText xml:space="preserve"> REF _Ref86200323 \h </w:instrText>
      </w:r>
      <w:r w:rsidRPr="007D1373">
        <w:rPr>
          <w:lang w:eastAsia="ro-RO"/>
        </w:rPr>
      </w:r>
      <w:r w:rsidRPr="007D1373">
        <w:rPr>
          <w:lang w:eastAsia="ro-RO"/>
        </w:rPr>
        <w:fldChar w:fldCharType="separate"/>
      </w:r>
      <w:r w:rsidRPr="007D1373">
        <w:t xml:space="preserve">Tabelul </w:t>
      </w:r>
      <w:r w:rsidRPr="007D1373">
        <w:rPr>
          <w:noProof/>
        </w:rPr>
        <w:t>3</w:t>
      </w:r>
      <w:r w:rsidRPr="007D1373">
        <w:rPr>
          <w:lang w:eastAsia="ro-RO"/>
        </w:rPr>
        <w:fldChar w:fldCharType="end"/>
      </w:r>
      <w:r w:rsidRPr="007D1373">
        <w:rPr>
          <w:lang w:eastAsia="ro-RO"/>
        </w:rPr>
        <w:t>)</w:t>
      </w:r>
    </w:p>
    <w:p w14:paraId="04F3E3BC" w14:textId="68F57188" w:rsidR="00934806" w:rsidRPr="007D1373" w:rsidRDefault="005B25A4" w:rsidP="005B25A4">
      <w:pPr>
        <w:pStyle w:val="Caption"/>
        <w:rPr>
          <w:lang w:eastAsia="ro-RO"/>
        </w:rPr>
      </w:pPr>
      <w:bookmarkStart w:id="18" w:name="_Toc86993599"/>
      <w:r>
        <w:t xml:space="preserve">Tabel </w:t>
      </w:r>
      <w:r>
        <w:fldChar w:fldCharType="begin"/>
      </w:r>
      <w:r>
        <w:instrText xml:space="preserve"> SEQ Tabel \* ARABIC </w:instrText>
      </w:r>
      <w:r>
        <w:fldChar w:fldCharType="separate"/>
      </w:r>
      <w:r w:rsidR="0089533D">
        <w:rPr>
          <w:noProof/>
        </w:rPr>
        <w:t>3</w:t>
      </w:r>
      <w:r>
        <w:fldChar w:fldCharType="end"/>
      </w:r>
      <w:r>
        <w:t xml:space="preserve"> </w:t>
      </w:r>
      <w:r w:rsidRPr="0042174C">
        <w:t>Evoluția numărului victimelor traficului de persoane 2016 - 2020</w:t>
      </w:r>
      <w:bookmarkEnd w:id="18"/>
    </w:p>
    <w:tbl>
      <w:tblPr>
        <w:tblStyle w:val="GridTable4-Accent1"/>
        <w:tblW w:w="8926" w:type="dxa"/>
        <w:tblLook w:val="04A0" w:firstRow="1" w:lastRow="0" w:firstColumn="1" w:lastColumn="0" w:noHBand="0" w:noVBand="1"/>
      </w:tblPr>
      <w:tblGrid>
        <w:gridCol w:w="562"/>
        <w:gridCol w:w="3213"/>
        <w:gridCol w:w="1040"/>
        <w:gridCol w:w="709"/>
        <w:gridCol w:w="992"/>
        <w:gridCol w:w="1134"/>
        <w:gridCol w:w="1276"/>
      </w:tblGrid>
      <w:tr w:rsidR="00934806" w:rsidRPr="00510308" w14:paraId="559093CC" w14:textId="77777777" w:rsidTr="005103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B744FCF" w14:textId="77777777" w:rsidR="00934806" w:rsidRPr="00510308" w:rsidRDefault="00934806" w:rsidP="00716EBA">
            <w:pPr>
              <w:rPr>
                <w:b w:val="0"/>
                <w:sz w:val="18"/>
                <w:szCs w:val="18"/>
                <w:lang w:eastAsia="ro-RO"/>
              </w:rPr>
            </w:pPr>
            <w:r w:rsidRPr="00510308">
              <w:rPr>
                <w:sz w:val="18"/>
                <w:szCs w:val="18"/>
                <w:lang w:eastAsia="ro-RO"/>
              </w:rPr>
              <w:t>Nr. crt.</w:t>
            </w:r>
          </w:p>
        </w:tc>
        <w:tc>
          <w:tcPr>
            <w:tcW w:w="3213" w:type="dxa"/>
          </w:tcPr>
          <w:p w14:paraId="582667A1" w14:textId="77777777" w:rsidR="00934806" w:rsidRPr="00510308" w:rsidRDefault="00934806" w:rsidP="00716EBA">
            <w:pPr>
              <w:cnfStyle w:val="100000000000" w:firstRow="1" w:lastRow="0" w:firstColumn="0" w:lastColumn="0" w:oddVBand="0" w:evenVBand="0" w:oddHBand="0" w:evenHBand="0" w:firstRowFirstColumn="0" w:firstRowLastColumn="0" w:lastRowFirstColumn="0" w:lastRowLastColumn="0"/>
              <w:rPr>
                <w:b w:val="0"/>
                <w:sz w:val="18"/>
                <w:szCs w:val="18"/>
                <w:lang w:eastAsia="ro-RO"/>
              </w:rPr>
            </w:pPr>
          </w:p>
        </w:tc>
        <w:tc>
          <w:tcPr>
            <w:tcW w:w="1040" w:type="dxa"/>
          </w:tcPr>
          <w:p w14:paraId="54626481" w14:textId="77777777" w:rsidR="00934806" w:rsidRPr="00510308" w:rsidRDefault="00934806" w:rsidP="00716EBA">
            <w:pPr>
              <w:jc w:val="center"/>
              <w:cnfStyle w:val="100000000000" w:firstRow="1" w:lastRow="0" w:firstColumn="0" w:lastColumn="0" w:oddVBand="0" w:evenVBand="0" w:oddHBand="0" w:evenHBand="0" w:firstRowFirstColumn="0" w:firstRowLastColumn="0" w:lastRowFirstColumn="0" w:lastRowLastColumn="0"/>
              <w:rPr>
                <w:b w:val="0"/>
                <w:sz w:val="18"/>
                <w:szCs w:val="18"/>
                <w:lang w:eastAsia="ro-RO"/>
              </w:rPr>
            </w:pPr>
            <w:r w:rsidRPr="00510308">
              <w:rPr>
                <w:sz w:val="18"/>
                <w:szCs w:val="18"/>
                <w:lang w:eastAsia="ro-RO"/>
              </w:rPr>
              <w:t>2016</w:t>
            </w:r>
          </w:p>
        </w:tc>
        <w:tc>
          <w:tcPr>
            <w:tcW w:w="709" w:type="dxa"/>
          </w:tcPr>
          <w:p w14:paraId="5DB67A9C" w14:textId="77777777" w:rsidR="00934806" w:rsidRPr="00510308" w:rsidRDefault="00934806" w:rsidP="00716EBA">
            <w:pPr>
              <w:jc w:val="center"/>
              <w:cnfStyle w:val="100000000000" w:firstRow="1" w:lastRow="0" w:firstColumn="0" w:lastColumn="0" w:oddVBand="0" w:evenVBand="0" w:oddHBand="0" w:evenHBand="0" w:firstRowFirstColumn="0" w:firstRowLastColumn="0" w:lastRowFirstColumn="0" w:lastRowLastColumn="0"/>
              <w:rPr>
                <w:b w:val="0"/>
                <w:sz w:val="18"/>
                <w:szCs w:val="18"/>
                <w:lang w:eastAsia="ro-RO"/>
              </w:rPr>
            </w:pPr>
            <w:r w:rsidRPr="00510308">
              <w:rPr>
                <w:sz w:val="18"/>
                <w:szCs w:val="18"/>
                <w:lang w:eastAsia="ro-RO"/>
              </w:rPr>
              <w:t>2017</w:t>
            </w:r>
          </w:p>
        </w:tc>
        <w:tc>
          <w:tcPr>
            <w:tcW w:w="992" w:type="dxa"/>
          </w:tcPr>
          <w:p w14:paraId="3C8A9308" w14:textId="77777777" w:rsidR="00934806" w:rsidRPr="00510308" w:rsidRDefault="00934806" w:rsidP="00716EBA">
            <w:pPr>
              <w:jc w:val="center"/>
              <w:cnfStyle w:val="100000000000" w:firstRow="1" w:lastRow="0" w:firstColumn="0" w:lastColumn="0" w:oddVBand="0" w:evenVBand="0" w:oddHBand="0" w:evenHBand="0" w:firstRowFirstColumn="0" w:firstRowLastColumn="0" w:lastRowFirstColumn="0" w:lastRowLastColumn="0"/>
              <w:rPr>
                <w:b w:val="0"/>
                <w:sz w:val="18"/>
                <w:szCs w:val="18"/>
                <w:lang w:eastAsia="ro-RO"/>
              </w:rPr>
            </w:pPr>
            <w:r w:rsidRPr="00510308">
              <w:rPr>
                <w:sz w:val="18"/>
                <w:szCs w:val="18"/>
                <w:lang w:eastAsia="ro-RO"/>
              </w:rPr>
              <w:t>2018</w:t>
            </w:r>
          </w:p>
        </w:tc>
        <w:tc>
          <w:tcPr>
            <w:tcW w:w="1134" w:type="dxa"/>
          </w:tcPr>
          <w:p w14:paraId="2B376403" w14:textId="77777777" w:rsidR="00934806" w:rsidRPr="00510308" w:rsidRDefault="00934806" w:rsidP="00716EBA">
            <w:pPr>
              <w:jc w:val="center"/>
              <w:cnfStyle w:val="100000000000" w:firstRow="1" w:lastRow="0" w:firstColumn="0" w:lastColumn="0" w:oddVBand="0" w:evenVBand="0" w:oddHBand="0" w:evenHBand="0" w:firstRowFirstColumn="0" w:firstRowLastColumn="0" w:lastRowFirstColumn="0" w:lastRowLastColumn="0"/>
              <w:rPr>
                <w:b w:val="0"/>
                <w:sz w:val="18"/>
                <w:szCs w:val="18"/>
                <w:lang w:eastAsia="ro-RO"/>
              </w:rPr>
            </w:pPr>
            <w:r w:rsidRPr="00510308">
              <w:rPr>
                <w:sz w:val="18"/>
                <w:szCs w:val="18"/>
                <w:lang w:eastAsia="ro-RO"/>
              </w:rPr>
              <w:t>2019</w:t>
            </w:r>
          </w:p>
        </w:tc>
        <w:tc>
          <w:tcPr>
            <w:tcW w:w="1276" w:type="dxa"/>
          </w:tcPr>
          <w:p w14:paraId="07049339" w14:textId="77777777" w:rsidR="00934806" w:rsidRPr="00510308" w:rsidRDefault="00934806" w:rsidP="00716EBA">
            <w:pPr>
              <w:jc w:val="center"/>
              <w:cnfStyle w:val="100000000000" w:firstRow="1" w:lastRow="0" w:firstColumn="0" w:lastColumn="0" w:oddVBand="0" w:evenVBand="0" w:oddHBand="0" w:evenHBand="0" w:firstRowFirstColumn="0" w:firstRowLastColumn="0" w:lastRowFirstColumn="0" w:lastRowLastColumn="0"/>
              <w:rPr>
                <w:b w:val="0"/>
                <w:sz w:val="18"/>
                <w:szCs w:val="18"/>
                <w:lang w:eastAsia="ro-RO"/>
              </w:rPr>
            </w:pPr>
            <w:r w:rsidRPr="00510308">
              <w:rPr>
                <w:sz w:val="18"/>
                <w:szCs w:val="18"/>
                <w:lang w:eastAsia="ro-RO"/>
              </w:rPr>
              <w:t>2020</w:t>
            </w:r>
          </w:p>
        </w:tc>
      </w:tr>
      <w:tr w:rsidR="00934806" w:rsidRPr="00510308" w14:paraId="53890DE3" w14:textId="77777777" w:rsidTr="00510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682EBC0" w14:textId="3A65F856" w:rsidR="00934806" w:rsidRPr="00510308" w:rsidRDefault="00934806" w:rsidP="00716EBA">
            <w:pPr>
              <w:rPr>
                <w:b w:val="0"/>
                <w:bCs w:val="0"/>
                <w:sz w:val="18"/>
                <w:szCs w:val="18"/>
                <w:lang w:eastAsia="ro-RO"/>
              </w:rPr>
            </w:pPr>
            <w:r w:rsidRPr="00510308">
              <w:rPr>
                <w:b w:val="0"/>
                <w:bCs w:val="0"/>
                <w:sz w:val="18"/>
                <w:szCs w:val="18"/>
                <w:lang w:eastAsia="ro-RO"/>
              </w:rPr>
              <w:t>1</w:t>
            </w:r>
          </w:p>
        </w:tc>
        <w:tc>
          <w:tcPr>
            <w:tcW w:w="3213" w:type="dxa"/>
          </w:tcPr>
          <w:p w14:paraId="079AFB25" w14:textId="77777777" w:rsidR="00934806" w:rsidRPr="00510308" w:rsidRDefault="00934806" w:rsidP="00366219">
            <w:pPr>
              <w:jc w:val="left"/>
              <w:cnfStyle w:val="000000100000" w:firstRow="0" w:lastRow="0" w:firstColumn="0" w:lastColumn="0" w:oddVBand="0" w:evenVBand="0" w:oddHBand="1" w:evenHBand="0" w:firstRowFirstColumn="0" w:firstRowLastColumn="0" w:lastRowFirstColumn="0" w:lastRowLastColumn="0"/>
              <w:rPr>
                <w:sz w:val="18"/>
                <w:szCs w:val="18"/>
                <w:lang w:eastAsia="ro-RO"/>
              </w:rPr>
            </w:pPr>
            <w:r w:rsidRPr="00510308">
              <w:rPr>
                <w:sz w:val="18"/>
                <w:szCs w:val="18"/>
                <w:lang w:eastAsia="ro-RO"/>
              </w:rPr>
              <w:t>Număr victime, din care</w:t>
            </w:r>
          </w:p>
        </w:tc>
        <w:tc>
          <w:tcPr>
            <w:tcW w:w="1040" w:type="dxa"/>
          </w:tcPr>
          <w:p w14:paraId="5FA17E7A"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sz w:val="18"/>
                <w:szCs w:val="18"/>
                <w:lang w:eastAsia="ro-RO"/>
              </w:rPr>
            </w:pPr>
            <w:r w:rsidRPr="00510308">
              <w:rPr>
                <w:sz w:val="18"/>
                <w:szCs w:val="18"/>
                <w:lang w:eastAsia="ro-RO"/>
              </w:rPr>
              <w:t>756</w:t>
            </w:r>
          </w:p>
        </w:tc>
        <w:tc>
          <w:tcPr>
            <w:tcW w:w="709" w:type="dxa"/>
          </w:tcPr>
          <w:p w14:paraId="517DE576"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sz w:val="18"/>
                <w:szCs w:val="18"/>
                <w:lang w:eastAsia="ro-RO"/>
              </w:rPr>
            </w:pPr>
            <w:r w:rsidRPr="00510308">
              <w:rPr>
                <w:sz w:val="18"/>
                <w:szCs w:val="18"/>
                <w:lang w:eastAsia="ro-RO"/>
              </w:rPr>
              <w:t>662</w:t>
            </w:r>
          </w:p>
        </w:tc>
        <w:tc>
          <w:tcPr>
            <w:tcW w:w="992" w:type="dxa"/>
          </w:tcPr>
          <w:p w14:paraId="65D8C338"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sz w:val="18"/>
                <w:szCs w:val="18"/>
                <w:lang w:eastAsia="ro-RO"/>
              </w:rPr>
            </w:pPr>
            <w:r w:rsidRPr="00510308">
              <w:rPr>
                <w:sz w:val="18"/>
                <w:szCs w:val="18"/>
                <w:lang w:eastAsia="ro-RO"/>
              </w:rPr>
              <w:t>497</w:t>
            </w:r>
          </w:p>
        </w:tc>
        <w:tc>
          <w:tcPr>
            <w:tcW w:w="1134" w:type="dxa"/>
          </w:tcPr>
          <w:p w14:paraId="47C63600"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sz w:val="18"/>
                <w:szCs w:val="18"/>
                <w:lang w:eastAsia="ro-RO"/>
              </w:rPr>
            </w:pPr>
            <w:r w:rsidRPr="00510308">
              <w:rPr>
                <w:sz w:val="18"/>
                <w:szCs w:val="18"/>
                <w:lang w:eastAsia="ro-RO"/>
              </w:rPr>
              <w:t>698</w:t>
            </w:r>
          </w:p>
        </w:tc>
        <w:tc>
          <w:tcPr>
            <w:tcW w:w="1276" w:type="dxa"/>
          </w:tcPr>
          <w:p w14:paraId="1A12851B"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sz w:val="18"/>
                <w:szCs w:val="18"/>
                <w:lang w:eastAsia="ro-RO"/>
              </w:rPr>
            </w:pPr>
            <w:r w:rsidRPr="00510308">
              <w:rPr>
                <w:sz w:val="18"/>
                <w:szCs w:val="18"/>
                <w:lang w:eastAsia="ro-RO"/>
              </w:rPr>
              <w:t>596</w:t>
            </w:r>
          </w:p>
        </w:tc>
      </w:tr>
      <w:tr w:rsidR="00934806" w:rsidRPr="00510308" w14:paraId="150C3116" w14:textId="77777777" w:rsidTr="00510308">
        <w:tc>
          <w:tcPr>
            <w:cnfStyle w:val="001000000000" w:firstRow="0" w:lastRow="0" w:firstColumn="1" w:lastColumn="0" w:oddVBand="0" w:evenVBand="0" w:oddHBand="0" w:evenHBand="0" w:firstRowFirstColumn="0" w:firstRowLastColumn="0" w:lastRowFirstColumn="0" w:lastRowLastColumn="0"/>
            <w:tcW w:w="562" w:type="dxa"/>
          </w:tcPr>
          <w:p w14:paraId="4BE69654" w14:textId="74F4C9C4" w:rsidR="00934806" w:rsidRPr="00510308" w:rsidRDefault="00934806" w:rsidP="00716EBA">
            <w:pPr>
              <w:rPr>
                <w:b w:val="0"/>
                <w:bCs w:val="0"/>
                <w:sz w:val="18"/>
                <w:szCs w:val="18"/>
                <w:lang w:eastAsia="ro-RO"/>
              </w:rPr>
            </w:pPr>
            <w:r w:rsidRPr="00510308">
              <w:rPr>
                <w:b w:val="0"/>
                <w:bCs w:val="0"/>
                <w:sz w:val="18"/>
                <w:szCs w:val="18"/>
                <w:lang w:eastAsia="ro-RO"/>
              </w:rPr>
              <w:t>2</w:t>
            </w:r>
          </w:p>
        </w:tc>
        <w:tc>
          <w:tcPr>
            <w:tcW w:w="3213" w:type="dxa"/>
          </w:tcPr>
          <w:p w14:paraId="6821FEB0" w14:textId="77777777" w:rsidR="00934806" w:rsidRPr="00510308" w:rsidRDefault="00934806" w:rsidP="00366219">
            <w:pPr>
              <w:jc w:val="left"/>
              <w:cnfStyle w:val="000000000000" w:firstRow="0" w:lastRow="0" w:firstColumn="0" w:lastColumn="0" w:oddVBand="0" w:evenVBand="0" w:oddHBand="0" w:evenHBand="0" w:firstRowFirstColumn="0" w:firstRowLastColumn="0" w:lastRowFirstColumn="0" w:lastRowLastColumn="0"/>
              <w:rPr>
                <w:sz w:val="18"/>
                <w:szCs w:val="18"/>
                <w:lang w:eastAsia="ro-RO"/>
              </w:rPr>
            </w:pPr>
            <w:r w:rsidRPr="00510308">
              <w:rPr>
                <w:sz w:val="18"/>
                <w:szCs w:val="18"/>
                <w:lang w:eastAsia="ro-RO"/>
              </w:rPr>
              <w:t>Exploatare sexuală</w:t>
            </w:r>
          </w:p>
        </w:tc>
        <w:tc>
          <w:tcPr>
            <w:tcW w:w="1040" w:type="dxa"/>
          </w:tcPr>
          <w:p w14:paraId="7B348E89"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sz w:val="18"/>
                <w:szCs w:val="18"/>
                <w:lang w:eastAsia="ro-RO"/>
              </w:rPr>
            </w:pPr>
            <w:r w:rsidRPr="00510308">
              <w:rPr>
                <w:sz w:val="18"/>
                <w:szCs w:val="18"/>
                <w:lang w:eastAsia="ro-RO"/>
              </w:rPr>
              <w:t>530</w:t>
            </w:r>
          </w:p>
        </w:tc>
        <w:tc>
          <w:tcPr>
            <w:tcW w:w="709" w:type="dxa"/>
          </w:tcPr>
          <w:p w14:paraId="2A4D0D7D"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sz w:val="18"/>
                <w:szCs w:val="18"/>
                <w:lang w:eastAsia="ro-RO"/>
              </w:rPr>
            </w:pPr>
            <w:r w:rsidRPr="00510308">
              <w:rPr>
                <w:sz w:val="18"/>
                <w:szCs w:val="18"/>
                <w:lang w:eastAsia="ro-RO"/>
              </w:rPr>
              <w:t>454</w:t>
            </w:r>
          </w:p>
        </w:tc>
        <w:tc>
          <w:tcPr>
            <w:tcW w:w="992" w:type="dxa"/>
          </w:tcPr>
          <w:p w14:paraId="690B47A7"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sz w:val="18"/>
                <w:szCs w:val="18"/>
                <w:lang w:eastAsia="ro-RO"/>
              </w:rPr>
            </w:pPr>
            <w:r w:rsidRPr="00510308">
              <w:rPr>
                <w:sz w:val="18"/>
                <w:szCs w:val="18"/>
                <w:lang w:eastAsia="ro-RO"/>
              </w:rPr>
              <w:t>335</w:t>
            </w:r>
          </w:p>
        </w:tc>
        <w:tc>
          <w:tcPr>
            <w:tcW w:w="1134" w:type="dxa"/>
          </w:tcPr>
          <w:p w14:paraId="70C8CA4D"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sz w:val="18"/>
                <w:szCs w:val="18"/>
                <w:lang w:eastAsia="ro-RO"/>
              </w:rPr>
            </w:pPr>
            <w:r w:rsidRPr="00510308">
              <w:rPr>
                <w:sz w:val="18"/>
                <w:szCs w:val="18"/>
                <w:lang w:eastAsia="ro-RO"/>
              </w:rPr>
              <w:t>518</w:t>
            </w:r>
          </w:p>
        </w:tc>
        <w:tc>
          <w:tcPr>
            <w:tcW w:w="1276" w:type="dxa"/>
          </w:tcPr>
          <w:p w14:paraId="6205D6BE"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sz w:val="18"/>
                <w:szCs w:val="18"/>
                <w:lang w:eastAsia="ro-RO"/>
              </w:rPr>
            </w:pPr>
            <w:r w:rsidRPr="00510308">
              <w:rPr>
                <w:sz w:val="18"/>
                <w:szCs w:val="18"/>
                <w:lang w:eastAsia="ro-RO"/>
              </w:rPr>
              <w:t>426</w:t>
            </w:r>
          </w:p>
        </w:tc>
      </w:tr>
      <w:tr w:rsidR="00934806" w:rsidRPr="00510308" w14:paraId="680724AE" w14:textId="77777777" w:rsidTr="00510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FC3C85A" w14:textId="6DED4BD4" w:rsidR="00934806" w:rsidRPr="00510308" w:rsidRDefault="00934806" w:rsidP="00716EBA">
            <w:pPr>
              <w:rPr>
                <w:b w:val="0"/>
                <w:bCs w:val="0"/>
                <w:sz w:val="18"/>
                <w:szCs w:val="18"/>
                <w:lang w:eastAsia="ro-RO"/>
              </w:rPr>
            </w:pPr>
            <w:r w:rsidRPr="00510308">
              <w:rPr>
                <w:b w:val="0"/>
                <w:bCs w:val="0"/>
                <w:sz w:val="18"/>
                <w:szCs w:val="18"/>
                <w:lang w:eastAsia="ro-RO"/>
              </w:rPr>
              <w:t>3</w:t>
            </w:r>
          </w:p>
        </w:tc>
        <w:tc>
          <w:tcPr>
            <w:tcW w:w="3213" w:type="dxa"/>
          </w:tcPr>
          <w:p w14:paraId="64E9D060" w14:textId="77777777" w:rsidR="00934806" w:rsidRPr="00510308" w:rsidRDefault="00934806" w:rsidP="00366219">
            <w:pPr>
              <w:jc w:val="left"/>
              <w:cnfStyle w:val="000000100000" w:firstRow="0" w:lastRow="0" w:firstColumn="0" w:lastColumn="0" w:oddVBand="0" w:evenVBand="0" w:oddHBand="1" w:evenHBand="0" w:firstRowFirstColumn="0" w:firstRowLastColumn="0" w:lastRowFirstColumn="0" w:lastRowLastColumn="0"/>
              <w:rPr>
                <w:sz w:val="18"/>
                <w:szCs w:val="18"/>
                <w:lang w:eastAsia="ro-RO"/>
              </w:rPr>
            </w:pPr>
            <w:r w:rsidRPr="00510308">
              <w:rPr>
                <w:sz w:val="18"/>
                <w:szCs w:val="18"/>
                <w:lang w:eastAsia="ro-RO"/>
              </w:rPr>
              <w:t>Exploatare prin muncă</w:t>
            </w:r>
          </w:p>
        </w:tc>
        <w:tc>
          <w:tcPr>
            <w:tcW w:w="1040" w:type="dxa"/>
          </w:tcPr>
          <w:p w14:paraId="78EBEF1A"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sz w:val="18"/>
                <w:szCs w:val="18"/>
                <w:lang w:eastAsia="ro-RO"/>
              </w:rPr>
            </w:pPr>
            <w:r w:rsidRPr="00510308">
              <w:rPr>
                <w:sz w:val="18"/>
                <w:szCs w:val="18"/>
                <w:lang w:eastAsia="ro-RO"/>
              </w:rPr>
              <w:t>132</w:t>
            </w:r>
          </w:p>
        </w:tc>
        <w:tc>
          <w:tcPr>
            <w:tcW w:w="709" w:type="dxa"/>
          </w:tcPr>
          <w:p w14:paraId="0E40BECC"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sz w:val="18"/>
                <w:szCs w:val="18"/>
                <w:lang w:eastAsia="ro-RO"/>
              </w:rPr>
            </w:pPr>
            <w:r w:rsidRPr="00510308">
              <w:rPr>
                <w:sz w:val="18"/>
                <w:szCs w:val="18"/>
                <w:lang w:eastAsia="ro-RO"/>
              </w:rPr>
              <w:t>79</w:t>
            </w:r>
          </w:p>
        </w:tc>
        <w:tc>
          <w:tcPr>
            <w:tcW w:w="992" w:type="dxa"/>
          </w:tcPr>
          <w:p w14:paraId="64E43F72"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sz w:val="18"/>
                <w:szCs w:val="18"/>
                <w:lang w:eastAsia="ro-RO"/>
              </w:rPr>
            </w:pPr>
            <w:r w:rsidRPr="00510308">
              <w:rPr>
                <w:sz w:val="18"/>
                <w:szCs w:val="18"/>
                <w:lang w:eastAsia="ro-RO"/>
              </w:rPr>
              <w:t>100</w:t>
            </w:r>
          </w:p>
        </w:tc>
        <w:tc>
          <w:tcPr>
            <w:tcW w:w="1134" w:type="dxa"/>
          </w:tcPr>
          <w:p w14:paraId="2362E01E"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sz w:val="18"/>
                <w:szCs w:val="18"/>
                <w:lang w:eastAsia="ro-RO"/>
              </w:rPr>
            </w:pPr>
            <w:r w:rsidRPr="00510308">
              <w:rPr>
                <w:sz w:val="18"/>
                <w:szCs w:val="18"/>
                <w:lang w:eastAsia="ro-RO"/>
              </w:rPr>
              <w:t>115</w:t>
            </w:r>
          </w:p>
        </w:tc>
        <w:tc>
          <w:tcPr>
            <w:tcW w:w="1276" w:type="dxa"/>
          </w:tcPr>
          <w:p w14:paraId="233CA15D"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sz w:val="18"/>
                <w:szCs w:val="18"/>
                <w:lang w:eastAsia="ro-RO"/>
              </w:rPr>
            </w:pPr>
            <w:r w:rsidRPr="00510308">
              <w:rPr>
                <w:sz w:val="18"/>
                <w:szCs w:val="18"/>
                <w:lang w:eastAsia="ro-RO"/>
              </w:rPr>
              <w:t>96</w:t>
            </w:r>
          </w:p>
        </w:tc>
      </w:tr>
      <w:tr w:rsidR="00934806" w:rsidRPr="00510308" w14:paraId="560B2D0A" w14:textId="77777777" w:rsidTr="00510308">
        <w:tc>
          <w:tcPr>
            <w:cnfStyle w:val="001000000000" w:firstRow="0" w:lastRow="0" w:firstColumn="1" w:lastColumn="0" w:oddVBand="0" w:evenVBand="0" w:oddHBand="0" w:evenHBand="0" w:firstRowFirstColumn="0" w:firstRowLastColumn="0" w:lastRowFirstColumn="0" w:lastRowLastColumn="0"/>
            <w:tcW w:w="562" w:type="dxa"/>
          </w:tcPr>
          <w:p w14:paraId="75171461" w14:textId="4382E5F2" w:rsidR="00934806" w:rsidRPr="00510308" w:rsidRDefault="00934806" w:rsidP="00716EBA">
            <w:pPr>
              <w:rPr>
                <w:b w:val="0"/>
                <w:bCs w:val="0"/>
                <w:sz w:val="18"/>
                <w:szCs w:val="18"/>
                <w:lang w:eastAsia="ro-RO"/>
              </w:rPr>
            </w:pPr>
            <w:r w:rsidRPr="00510308">
              <w:rPr>
                <w:b w:val="0"/>
                <w:bCs w:val="0"/>
                <w:sz w:val="18"/>
                <w:szCs w:val="18"/>
                <w:lang w:eastAsia="ro-RO"/>
              </w:rPr>
              <w:lastRenderedPageBreak/>
              <w:t>4</w:t>
            </w:r>
          </w:p>
        </w:tc>
        <w:tc>
          <w:tcPr>
            <w:tcW w:w="3213" w:type="dxa"/>
          </w:tcPr>
          <w:p w14:paraId="1175C008" w14:textId="77777777" w:rsidR="00934806" w:rsidRPr="00510308" w:rsidRDefault="00934806" w:rsidP="00366219">
            <w:pPr>
              <w:jc w:val="left"/>
              <w:cnfStyle w:val="000000000000" w:firstRow="0" w:lastRow="0" w:firstColumn="0" w:lastColumn="0" w:oddVBand="0" w:evenVBand="0" w:oddHBand="0" w:evenHBand="0" w:firstRowFirstColumn="0" w:firstRowLastColumn="0" w:lastRowFirstColumn="0" w:lastRowLastColumn="0"/>
              <w:rPr>
                <w:sz w:val="18"/>
                <w:szCs w:val="18"/>
                <w:lang w:eastAsia="ro-RO"/>
              </w:rPr>
            </w:pPr>
            <w:r w:rsidRPr="00510308">
              <w:rPr>
                <w:sz w:val="18"/>
                <w:szCs w:val="18"/>
                <w:lang w:eastAsia="ro-RO"/>
              </w:rPr>
              <w:t>Cerșetorie</w:t>
            </w:r>
          </w:p>
        </w:tc>
        <w:tc>
          <w:tcPr>
            <w:tcW w:w="1040" w:type="dxa"/>
          </w:tcPr>
          <w:p w14:paraId="6D54B0DF"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sz w:val="18"/>
                <w:szCs w:val="18"/>
                <w:lang w:eastAsia="ro-RO"/>
              </w:rPr>
            </w:pPr>
            <w:r w:rsidRPr="00510308">
              <w:rPr>
                <w:sz w:val="18"/>
                <w:szCs w:val="18"/>
                <w:lang w:eastAsia="ro-RO"/>
              </w:rPr>
              <w:t>68</w:t>
            </w:r>
          </w:p>
        </w:tc>
        <w:tc>
          <w:tcPr>
            <w:tcW w:w="709" w:type="dxa"/>
          </w:tcPr>
          <w:p w14:paraId="65123D2A"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sz w:val="18"/>
                <w:szCs w:val="18"/>
                <w:lang w:eastAsia="ro-RO"/>
              </w:rPr>
            </w:pPr>
            <w:r w:rsidRPr="00510308">
              <w:rPr>
                <w:sz w:val="18"/>
                <w:szCs w:val="18"/>
                <w:lang w:eastAsia="ro-RO"/>
              </w:rPr>
              <w:t>35</w:t>
            </w:r>
          </w:p>
        </w:tc>
        <w:tc>
          <w:tcPr>
            <w:tcW w:w="992" w:type="dxa"/>
          </w:tcPr>
          <w:p w14:paraId="07C172AA"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sz w:val="18"/>
                <w:szCs w:val="18"/>
                <w:lang w:eastAsia="ro-RO"/>
              </w:rPr>
            </w:pPr>
            <w:r w:rsidRPr="00510308">
              <w:rPr>
                <w:sz w:val="18"/>
                <w:szCs w:val="18"/>
                <w:lang w:eastAsia="ro-RO"/>
              </w:rPr>
              <w:t>26</w:t>
            </w:r>
          </w:p>
        </w:tc>
        <w:tc>
          <w:tcPr>
            <w:tcW w:w="1134" w:type="dxa"/>
          </w:tcPr>
          <w:p w14:paraId="2358A7A5"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sz w:val="18"/>
                <w:szCs w:val="18"/>
                <w:lang w:eastAsia="ro-RO"/>
              </w:rPr>
            </w:pPr>
            <w:r w:rsidRPr="00510308">
              <w:rPr>
                <w:sz w:val="18"/>
                <w:szCs w:val="18"/>
                <w:lang w:eastAsia="ro-RO"/>
              </w:rPr>
              <w:t>20</w:t>
            </w:r>
          </w:p>
        </w:tc>
        <w:tc>
          <w:tcPr>
            <w:tcW w:w="1276" w:type="dxa"/>
          </w:tcPr>
          <w:p w14:paraId="1B242E26"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sz w:val="18"/>
                <w:szCs w:val="18"/>
                <w:lang w:eastAsia="ro-RO"/>
              </w:rPr>
            </w:pPr>
            <w:r w:rsidRPr="00510308">
              <w:rPr>
                <w:sz w:val="18"/>
                <w:szCs w:val="18"/>
                <w:lang w:eastAsia="ro-RO"/>
              </w:rPr>
              <w:t>37</w:t>
            </w:r>
          </w:p>
        </w:tc>
      </w:tr>
    </w:tbl>
    <w:p w14:paraId="05CBAC2F" w14:textId="219B39C1" w:rsidR="00934806" w:rsidRPr="002F6715" w:rsidRDefault="00934806" w:rsidP="002F6715">
      <w:pPr>
        <w:spacing w:after="0"/>
        <w:rPr>
          <w:sz w:val="16"/>
          <w:szCs w:val="16"/>
        </w:rPr>
      </w:pPr>
      <w:r w:rsidRPr="002F6715">
        <w:rPr>
          <w:sz w:val="16"/>
          <w:szCs w:val="16"/>
        </w:rPr>
        <w:t xml:space="preserve">Sursa: ANITP, 2021, calcule </w:t>
      </w:r>
      <w:r w:rsidR="00366219">
        <w:rPr>
          <w:sz w:val="16"/>
          <w:szCs w:val="16"/>
        </w:rPr>
        <w:t>autori</w:t>
      </w:r>
    </w:p>
    <w:p w14:paraId="7199287D" w14:textId="77777777" w:rsidR="00934806" w:rsidRPr="007D1373" w:rsidRDefault="00934806" w:rsidP="00934806">
      <w:pPr>
        <w:rPr>
          <w:lang w:eastAsia="ro-RO"/>
        </w:rPr>
      </w:pPr>
      <w:r w:rsidRPr="007D1373">
        <w:rPr>
          <w:lang w:eastAsia="ro-RO"/>
        </w:rPr>
        <w:t xml:space="preserve">Datele Raportului privind traficul de persoane din 2020 realizat de Departamentul de Stat al Statelor Unite indică faptul că numărul victimelor este mai mare, mai ales în condițiile în care acestea sunt greu de identificat, iar faptele sunt greu de probat. În plus, raportul indică o serie de deficiențe ale sistemului din România cum ar fi lipsa identificării victimelor din rândul refugiaților și solicitanților de azil, lipsa capacității de prevenire și consiliere la nivelul instituțiilor pentru copii de unde provin victimele, lipsa de susținere a ONG-urilor care activează în acest domeniu. </w:t>
      </w:r>
    </w:p>
    <w:p w14:paraId="4746EF01" w14:textId="35FDEA05" w:rsidR="00934806" w:rsidRPr="005D44B2" w:rsidRDefault="005D44B2" w:rsidP="00934806">
      <w:pPr>
        <w:pStyle w:val="Heading1"/>
        <w:rPr>
          <w:rFonts w:eastAsia="Times New Roman"/>
          <w:lang w:eastAsia="ro-RO"/>
        </w:rPr>
      </w:pPr>
      <w:bookmarkStart w:id="19" w:name="_Toc86993589"/>
      <w:r w:rsidRPr="005D44B2">
        <w:rPr>
          <w:rFonts w:eastAsia="Times New Roman"/>
          <w:lang w:eastAsia="ro-RO"/>
        </w:rPr>
        <w:t>ACCESUL LA SERVICII SOCIALE, MEDICALE, SOCIO-PROFESIONALE, GRUPURI SUPORT ETC.</w:t>
      </w:r>
      <w:bookmarkEnd w:id="19"/>
    </w:p>
    <w:p w14:paraId="05F780C7" w14:textId="77777777" w:rsidR="00934806" w:rsidRPr="007D1373" w:rsidRDefault="00934806" w:rsidP="00934806">
      <w:r w:rsidRPr="007D1373">
        <w:t>În perioada 2017 – 2020 numărul furnizorilor de servicii sociale acreditați a crescut cu 787 din care 368 în urban și 419 în rural. Dintre acești furnizori, 494 sunt privați, iar 293 publici. Dacă în cazul celor private, cei mai mulți sunt în mediul urban, cei publici s-au dezvoltat cu precădere în cel rural (aproape 80%). Numărul de localități în care există furnizori acreditati a crescut cu 297, din care 267 sunt în rural, iar 30 în urban. Cu toate că numărul localităților rurale unde există furnizori de servicii sociale acreditați este de peste 3 ori mai mare decât al celor urbane, doar 37% dintre comunele din România au un furnizor acreditat de servicii sociale. Serviciile sociale licentiate au crescut cu 1259 de unități, din care 663 dezvoltate de sectorul public și 596 de cel privat. În mediul rural se regăsesc 1238 servicii sociale licentiate, iar în cel urban un număr de trei ori mai mare. Chiar dacă există furnizori acreditați în 1318 de localități, doar în 968 sunt și servicii sociale licentiate, din care 695 sunt din rural. (</w:t>
      </w:r>
      <w:r w:rsidRPr="007D1373">
        <w:fldChar w:fldCharType="begin"/>
      </w:r>
      <w:r w:rsidRPr="007D1373">
        <w:instrText xml:space="preserve"> REF _Ref61052502 \h </w:instrText>
      </w:r>
      <w:r w:rsidRPr="007D1373">
        <w:fldChar w:fldCharType="separate"/>
      </w:r>
      <w:r w:rsidRPr="007D1373">
        <w:t xml:space="preserve">Tabelul </w:t>
      </w:r>
      <w:r w:rsidRPr="007D1373">
        <w:rPr>
          <w:noProof/>
        </w:rPr>
        <w:t>4</w:t>
      </w:r>
      <w:r w:rsidRPr="007D1373">
        <w:fldChar w:fldCharType="end"/>
      </w:r>
      <w:r w:rsidRPr="007D1373">
        <w:t>)</w:t>
      </w:r>
    </w:p>
    <w:p w14:paraId="0314094B" w14:textId="7B4747E3" w:rsidR="00934806" w:rsidRPr="007D1373" w:rsidRDefault="005B25A4" w:rsidP="005B25A4">
      <w:pPr>
        <w:pStyle w:val="Caption"/>
      </w:pPr>
      <w:bookmarkStart w:id="20" w:name="_Toc86993600"/>
      <w:r>
        <w:t xml:space="preserve">Tabel </w:t>
      </w:r>
      <w:r>
        <w:fldChar w:fldCharType="begin"/>
      </w:r>
      <w:r>
        <w:instrText xml:space="preserve"> SEQ Tabel \* ARABIC </w:instrText>
      </w:r>
      <w:r>
        <w:fldChar w:fldCharType="separate"/>
      </w:r>
      <w:r w:rsidR="0089533D">
        <w:rPr>
          <w:noProof/>
        </w:rPr>
        <w:t>4</w:t>
      </w:r>
      <w:r>
        <w:fldChar w:fldCharType="end"/>
      </w:r>
      <w:r>
        <w:t xml:space="preserve"> </w:t>
      </w:r>
      <w:r w:rsidRPr="00271BFB">
        <w:t>Furnizori de servicii sociale acreditați și servicii sociale licențiate – dinamica generală</w:t>
      </w:r>
      <w:bookmarkEnd w:id="20"/>
    </w:p>
    <w:tbl>
      <w:tblPr>
        <w:tblStyle w:val="GridTable4-Accent1"/>
        <w:tblW w:w="9992" w:type="dxa"/>
        <w:tblLook w:val="04A0" w:firstRow="1" w:lastRow="0" w:firstColumn="1" w:lastColumn="0" w:noHBand="0" w:noVBand="1"/>
      </w:tblPr>
      <w:tblGrid>
        <w:gridCol w:w="1795"/>
        <w:gridCol w:w="732"/>
        <w:gridCol w:w="655"/>
        <w:gridCol w:w="640"/>
        <w:gridCol w:w="732"/>
        <w:gridCol w:w="684"/>
        <w:gridCol w:w="640"/>
        <w:gridCol w:w="732"/>
        <w:gridCol w:w="655"/>
        <w:gridCol w:w="669"/>
        <w:gridCol w:w="732"/>
        <w:gridCol w:w="663"/>
        <w:gridCol w:w="663"/>
      </w:tblGrid>
      <w:tr w:rsidR="00934806" w:rsidRPr="002B255B" w14:paraId="22B0F1C7" w14:textId="77777777" w:rsidTr="003662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5" w:type="dxa"/>
            <w:vMerge w:val="restart"/>
            <w:noWrap/>
            <w:hideMark/>
          </w:tcPr>
          <w:p w14:paraId="32B54229" w14:textId="77777777" w:rsidR="00934806" w:rsidRPr="002B255B" w:rsidRDefault="00934806" w:rsidP="00716EBA">
            <w:pPr>
              <w:jc w:val="left"/>
              <w:rPr>
                <w:rFonts w:eastAsia="Times New Roman" w:cstheme="minorHAnsi"/>
                <w:sz w:val="18"/>
                <w:szCs w:val="18"/>
              </w:rPr>
            </w:pPr>
            <w:r w:rsidRPr="002B255B">
              <w:rPr>
                <w:rFonts w:eastAsia="Times New Roman" w:cstheme="minorHAnsi"/>
                <w:sz w:val="18"/>
                <w:szCs w:val="18"/>
              </w:rPr>
              <w:t>Furnizori de servicii sociale și servicii sociale</w:t>
            </w:r>
          </w:p>
        </w:tc>
        <w:tc>
          <w:tcPr>
            <w:tcW w:w="2027" w:type="dxa"/>
            <w:gridSpan w:val="3"/>
            <w:noWrap/>
            <w:hideMark/>
          </w:tcPr>
          <w:p w14:paraId="6EB7F669" w14:textId="77777777" w:rsidR="00934806" w:rsidRPr="002B255B" w:rsidRDefault="00934806" w:rsidP="00716EB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2B255B">
              <w:rPr>
                <w:rFonts w:eastAsia="Times New Roman" w:cstheme="minorHAnsi"/>
                <w:sz w:val="18"/>
                <w:szCs w:val="18"/>
              </w:rPr>
              <w:t>2017</w:t>
            </w:r>
          </w:p>
        </w:tc>
        <w:tc>
          <w:tcPr>
            <w:tcW w:w="2056" w:type="dxa"/>
            <w:gridSpan w:val="3"/>
            <w:noWrap/>
            <w:hideMark/>
          </w:tcPr>
          <w:p w14:paraId="227510FC" w14:textId="77777777" w:rsidR="00934806" w:rsidRPr="002B255B" w:rsidRDefault="00934806" w:rsidP="00716EB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2B255B">
              <w:rPr>
                <w:rFonts w:eastAsia="Times New Roman" w:cstheme="minorHAnsi"/>
                <w:sz w:val="18"/>
                <w:szCs w:val="18"/>
              </w:rPr>
              <w:t>2018</w:t>
            </w:r>
          </w:p>
        </w:tc>
        <w:tc>
          <w:tcPr>
            <w:tcW w:w="2056" w:type="dxa"/>
            <w:gridSpan w:val="3"/>
            <w:noWrap/>
            <w:hideMark/>
          </w:tcPr>
          <w:p w14:paraId="00194A53" w14:textId="77777777" w:rsidR="00934806" w:rsidRPr="002B255B" w:rsidRDefault="00934806" w:rsidP="00716EB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2B255B">
              <w:rPr>
                <w:rFonts w:eastAsia="Times New Roman" w:cstheme="minorHAnsi"/>
                <w:sz w:val="18"/>
                <w:szCs w:val="18"/>
              </w:rPr>
              <w:t>2019</w:t>
            </w:r>
          </w:p>
        </w:tc>
        <w:tc>
          <w:tcPr>
            <w:tcW w:w="2058" w:type="dxa"/>
            <w:gridSpan w:val="3"/>
          </w:tcPr>
          <w:p w14:paraId="6544FD29" w14:textId="77777777" w:rsidR="00934806" w:rsidRPr="002B255B" w:rsidRDefault="00934806" w:rsidP="00716EB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2B255B">
              <w:rPr>
                <w:rFonts w:eastAsia="Times New Roman" w:cstheme="minorHAnsi"/>
                <w:sz w:val="18"/>
                <w:szCs w:val="18"/>
              </w:rPr>
              <w:t>2020</w:t>
            </w:r>
          </w:p>
        </w:tc>
      </w:tr>
      <w:tr w:rsidR="00934806" w:rsidRPr="002B255B" w14:paraId="0963C9A7" w14:textId="77777777" w:rsidTr="003662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5" w:type="dxa"/>
            <w:vMerge/>
            <w:noWrap/>
            <w:hideMark/>
          </w:tcPr>
          <w:p w14:paraId="79382546" w14:textId="77777777" w:rsidR="00934806" w:rsidRPr="002B255B" w:rsidRDefault="00934806" w:rsidP="00716EBA">
            <w:pPr>
              <w:jc w:val="left"/>
              <w:rPr>
                <w:rFonts w:eastAsia="Times New Roman" w:cstheme="minorHAnsi"/>
                <w:sz w:val="18"/>
                <w:szCs w:val="18"/>
              </w:rPr>
            </w:pPr>
          </w:p>
        </w:tc>
        <w:tc>
          <w:tcPr>
            <w:tcW w:w="732" w:type="dxa"/>
            <w:noWrap/>
            <w:hideMark/>
          </w:tcPr>
          <w:p w14:paraId="79FAE14B" w14:textId="77777777" w:rsidR="00934806" w:rsidRPr="002B255B" w:rsidRDefault="00934806" w:rsidP="00716EBA">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8"/>
                <w:szCs w:val="18"/>
              </w:rPr>
            </w:pPr>
            <w:r w:rsidRPr="002B255B">
              <w:rPr>
                <w:rFonts w:eastAsia="Times New Roman" w:cstheme="minorHAnsi"/>
                <w:b/>
                <w:color w:val="000000"/>
                <w:sz w:val="18"/>
                <w:szCs w:val="18"/>
              </w:rPr>
              <w:t>Urban</w:t>
            </w:r>
          </w:p>
        </w:tc>
        <w:tc>
          <w:tcPr>
            <w:tcW w:w="655" w:type="dxa"/>
            <w:noWrap/>
            <w:hideMark/>
          </w:tcPr>
          <w:p w14:paraId="28A1E59F" w14:textId="77777777" w:rsidR="00934806" w:rsidRPr="002B255B" w:rsidRDefault="00934806" w:rsidP="00716EBA">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8"/>
                <w:szCs w:val="18"/>
              </w:rPr>
            </w:pPr>
            <w:r w:rsidRPr="002B255B">
              <w:rPr>
                <w:rFonts w:eastAsia="Times New Roman" w:cstheme="minorHAnsi"/>
                <w:b/>
                <w:color w:val="000000"/>
                <w:sz w:val="18"/>
                <w:szCs w:val="18"/>
              </w:rPr>
              <w:t>Rural</w:t>
            </w:r>
          </w:p>
        </w:tc>
        <w:tc>
          <w:tcPr>
            <w:tcW w:w="640" w:type="dxa"/>
            <w:noWrap/>
            <w:hideMark/>
          </w:tcPr>
          <w:p w14:paraId="65F2C37A" w14:textId="77777777" w:rsidR="00934806" w:rsidRPr="002B255B" w:rsidRDefault="00934806" w:rsidP="00716EBA">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8"/>
                <w:szCs w:val="18"/>
              </w:rPr>
            </w:pPr>
            <w:r w:rsidRPr="002B255B">
              <w:rPr>
                <w:rFonts w:eastAsia="Times New Roman" w:cstheme="minorHAnsi"/>
                <w:b/>
                <w:color w:val="000000"/>
                <w:sz w:val="18"/>
                <w:szCs w:val="18"/>
              </w:rPr>
              <w:t>Total</w:t>
            </w:r>
          </w:p>
        </w:tc>
        <w:tc>
          <w:tcPr>
            <w:tcW w:w="732" w:type="dxa"/>
            <w:noWrap/>
            <w:hideMark/>
          </w:tcPr>
          <w:p w14:paraId="2D41FA6F" w14:textId="77777777" w:rsidR="00934806" w:rsidRPr="002B255B" w:rsidRDefault="00934806" w:rsidP="00716EBA">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8"/>
                <w:szCs w:val="18"/>
              </w:rPr>
            </w:pPr>
            <w:r w:rsidRPr="002B255B">
              <w:rPr>
                <w:rFonts w:eastAsia="Times New Roman" w:cstheme="minorHAnsi"/>
                <w:b/>
                <w:color w:val="000000"/>
                <w:sz w:val="18"/>
                <w:szCs w:val="18"/>
              </w:rPr>
              <w:t>Urban</w:t>
            </w:r>
          </w:p>
        </w:tc>
        <w:tc>
          <w:tcPr>
            <w:tcW w:w="684" w:type="dxa"/>
            <w:noWrap/>
            <w:hideMark/>
          </w:tcPr>
          <w:p w14:paraId="5731495E" w14:textId="77777777" w:rsidR="00934806" w:rsidRPr="002B255B" w:rsidRDefault="00934806" w:rsidP="00716EBA">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8"/>
                <w:szCs w:val="18"/>
              </w:rPr>
            </w:pPr>
            <w:r w:rsidRPr="002B255B">
              <w:rPr>
                <w:rFonts w:eastAsia="Times New Roman" w:cstheme="minorHAnsi"/>
                <w:b/>
                <w:color w:val="000000"/>
                <w:sz w:val="18"/>
                <w:szCs w:val="18"/>
              </w:rPr>
              <w:t>Rural</w:t>
            </w:r>
          </w:p>
        </w:tc>
        <w:tc>
          <w:tcPr>
            <w:tcW w:w="640" w:type="dxa"/>
            <w:noWrap/>
            <w:hideMark/>
          </w:tcPr>
          <w:p w14:paraId="18D87B36" w14:textId="77777777" w:rsidR="00934806" w:rsidRPr="002B255B" w:rsidRDefault="00934806" w:rsidP="00716EBA">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8"/>
                <w:szCs w:val="18"/>
              </w:rPr>
            </w:pPr>
            <w:r w:rsidRPr="002B255B">
              <w:rPr>
                <w:rFonts w:eastAsia="Times New Roman" w:cstheme="minorHAnsi"/>
                <w:b/>
                <w:color w:val="000000"/>
                <w:sz w:val="18"/>
                <w:szCs w:val="18"/>
              </w:rPr>
              <w:t>Total</w:t>
            </w:r>
          </w:p>
        </w:tc>
        <w:tc>
          <w:tcPr>
            <w:tcW w:w="732" w:type="dxa"/>
            <w:noWrap/>
            <w:hideMark/>
          </w:tcPr>
          <w:p w14:paraId="43FB74D9" w14:textId="77777777" w:rsidR="00934806" w:rsidRPr="002B255B" w:rsidRDefault="00934806" w:rsidP="00716EBA">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8"/>
                <w:szCs w:val="18"/>
              </w:rPr>
            </w:pPr>
            <w:r w:rsidRPr="002B255B">
              <w:rPr>
                <w:rFonts w:eastAsia="Times New Roman" w:cstheme="minorHAnsi"/>
                <w:b/>
                <w:color w:val="000000"/>
                <w:sz w:val="18"/>
                <w:szCs w:val="18"/>
              </w:rPr>
              <w:t>Urban</w:t>
            </w:r>
          </w:p>
        </w:tc>
        <w:tc>
          <w:tcPr>
            <w:tcW w:w="655" w:type="dxa"/>
            <w:noWrap/>
            <w:hideMark/>
          </w:tcPr>
          <w:p w14:paraId="20BE8572" w14:textId="77777777" w:rsidR="00934806" w:rsidRPr="002B255B" w:rsidRDefault="00934806" w:rsidP="00716EBA">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8"/>
                <w:szCs w:val="18"/>
              </w:rPr>
            </w:pPr>
            <w:r w:rsidRPr="002B255B">
              <w:rPr>
                <w:rFonts w:eastAsia="Times New Roman" w:cstheme="minorHAnsi"/>
                <w:b/>
                <w:color w:val="000000"/>
                <w:sz w:val="18"/>
                <w:szCs w:val="18"/>
              </w:rPr>
              <w:t>Rural</w:t>
            </w:r>
          </w:p>
        </w:tc>
        <w:tc>
          <w:tcPr>
            <w:tcW w:w="669" w:type="dxa"/>
            <w:noWrap/>
            <w:hideMark/>
          </w:tcPr>
          <w:p w14:paraId="48122D5F" w14:textId="77777777" w:rsidR="00934806" w:rsidRPr="002B255B" w:rsidRDefault="00934806" w:rsidP="00716EBA">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8"/>
                <w:szCs w:val="18"/>
              </w:rPr>
            </w:pPr>
            <w:r w:rsidRPr="002B255B">
              <w:rPr>
                <w:rFonts w:eastAsia="Times New Roman" w:cstheme="minorHAnsi"/>
                <w:b/>
                <w:color w:val="000000"/>
                <w:sz w:val="18"/>
                <w:szCs w:val="18"/>
              </w:rPr>
              <w:t>Total</w:t>
            </w:r>
          </w:p>
        </w:tc>
        <w:tc>
          <w:tcPr>
            <w:tcW w:w="732" w:type="dxa"/>
          </w:tcPr>
          <w:p w14:paraId="7C636FDF" w14:textId="77777777" w:rsidR="00934806" w:rsidRPr="002B255B" w:rsidRDefault="00934806" w:rsidP="00716EBA">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8"/>
                <w:szCs w:val="18"/>
              </w:rPr>
            </w:pPr>
            <w:r w:rsidRPr="002B255B">
              <w:rPr>
                <w:rFonts w:eastAsia="Times New Roman" w:cstheme="minorHAnsi"/>
                <w:b/>
                <w:color w:val="000000"/>
                <w:sz w:val="18"/>
                <w:szCs w:val="18"/>
              </w:rPr>
              <w:t>Urban</w:t>
            </w:r>
          </w:p>
        </w:tc>
        <w:tc>
          <w:tcPr>
            <w:tcW w:w="663" w:type="dxa"/>
          </w:tcPr>
          <w:p w14:paraId="0DC7C077" w14:textId="77777777" w:rsidR="00934806" w:rsidRPr="002B255B" w:rsidRDefault="00934806" w:rsidP="00716EBA">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8"/>
                <w:szCs w:val="18"/>
              </w:rPr>
            </w:pPr>
            <w:r w:rsidRPr="002B255B">
              <w:rPr>
                <w:rFonts w:eastAsia="Times New Roman" w:cstheme="minorHAnsi"/>
                <w:b/>
                <w:color w:val="000000"/>
                <w:sz w:val="18"/>
                <w:szCs w:val="18"/>
              </w:rPr>
              <w:t>Rural</w:t>
            </w:r>
          </w:p>
        </w:tc>
        <w:tc>
          <w:tcPr>
            <w:tcW w:w="663" w:type="dxa"/>
          </w:tcPr>
          <w:p w14:paraId="432F51D9" w14:textId="77777777" w:rsidR="00934806" w:rsidRPr="002B255B" w:rsidRDefault="00934806" w:rsidP="00716EBA">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8"/>
                <w:szCs w:val="18"/>
              </w:rPr>
            </w:pPr>
            <w:r w:rsidRPr="002B255B">
              <w:rPr>
                <w:rFonts w:eastAsia="Times New Roman" w:cstheme="minorHAnsi"/>
                <w:b/>
                <w:color w:val="000000"/>
                <w:sz w:val="18"/>
                <w:szCs w:val="18"/>
              </w:rPr>
              <w:t>Total</w:t>
            </w:r>
          </w:p>
        </w:tc>
      </w:tr>
      <w:tr w:rsidR="00934806" w:rsidRPr="002B255B" w14:paraId="63F2B04A" w14:textId="77777777" w:rsidTr="00366219">
        <w:trPr>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543BBAA6" w14:textId="77777777" w:rsidR="00934806" w:rsidRPr="002B255B" w:rsidRDefault="00934806" w:rsidP="00716EBA">
            <w:pPr>
              <w:jc w:val="left"/>
              <w:rPr>
                <w:rFonts w:eastAsia="Times New Roman" w:cstheme="minorHAnsi"/>
                <w:b w:val="0"/>
                <w:bCs w:val="0"/>
                <w:color w:val="000000"/>
                <w:sz w:val="18"/>
                <w:szCs w:val="18"/>
              </w:rPr>
            </w:pPr>
            <w:r w:rsidRPr="002B255B">
              <w:rPr>
                <w:rFonts w:eastAsia="Times New Roman" w:cstheme="minorHAnsi"/>
                <w:b w:val="0"/>
                <w:bCs w:val="0"/>
                <w:color w:val="000000"/>
                <w:sz w:val="18"/>
                <w:szCs w:val="18"/>
              </w:rPr>
              <w:t>Furnizori de servicii sociale acreditați</w:t>
            </w:r>
          </w:p>
        </w:tc>
        <w:tc>
          <w:tcPr>
            <w:tcW w:w="732" w:type="dxa"/>
            <w:noWrap/>
            <w:hideMark/>
          </w:tcPr>
          <w:p w14:paraId="127447E0"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1527</w:t>
            </w:r>
          </w:p>
        </w:tc>
        <w:tc>
          <w:tcPr>
            <w:tcW w:w="655" w:type="dxa"/>
            <w:noWrap/>
            <w:hideMark/>
          </w:tcPr>
          <w:p w14:paraId="11F6207D"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965</w:t>
            </w:r>
          </w:p>
        </w:tc>
        <w:tc>
          <w:tcPr>
            <w:tcW w:w="640" w:type="dxa"/>
            <w:noWrap/>
            <w:hideMark/>
          </w:tcPr>
          <w:p w14:paraId="2A491329"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2492</w:t>
            </w:r>
          </w:p>
        </w:tc>
        <w:tc>
          <w:tcPr>
            <w:tcW w:w="732" w:type="dxa"/>
            <w:noWrap/>
            <w:hideMark/>
          </w:tcPr>
          <w:p w14:paraId="5070C4C4"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1679</w:t>
            </w:r>
          </w:p>
        </w:tc>
        <w:tc>
          <w:tcPr>
            <w:tcW w:w="684" w:type="dxa"/>
            <w:noWrap/>
            <w:hideMark/>
          </w:tcPr>
          <w:p w14:paraId="113967E0"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1019</w:t>
            </w:r>
          </w:p>
        </w:tc>
        <w:tc>
          <w:tcPr>
            <w:tcW w:w="640" w:type="dxa"/>
            <w:noWrap/>
            <w:hideMark/>
          </w:tcPr>
          <w:p w14:paraId="6252B997"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2698</w:t>
            </w:r>
          </w:p>
        </w:tc>
        <w:tc>
          <w:tcPr>
            <w:tcW w:w="732" w:type="dxa"/>
            <w:noWrap/>
            <w:hideMark/>
          </w:tcPr>
          <w:p w14:paraId="1AA6BF0F"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1768</w:t>
            </w:r>
          </w:p>
        </w:tc>
        <w:tc>
          <w:tcPr>
            <w:tcW w:w="655" w:type="dxa"/>
            <w:noWrap/>
            <w:hideMark/>
          </w:tcPr>
          <w:p w14:paraId="09FC56D4"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1163</w:t>
            </w:r>
          </w:p>
        </w:tc>
        <w:tc>
          <w:tcPr>
            <w:tcW w:w="669" w:type="dxa"/>
            <w:noWrap/>
            <w:hideMark/>
          </w:tcPr>
          <w:p w14:paraId="309BB538"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2931</w:t>
            </w:r>
          </w:p>
        </w:tc>
        <w:tc>
          <w:tcPr>
            <w:tcW w:w="732" w:type="dxa"/>
          </w:tcPr>
          <w:p w14:paraId="6083F3A4"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sz w:val="18"/>
                <w:szCs w:val="18"/>
              </w:rPr>
            </w:pPr>
            <w:r w:rsidRPr="002B255B">
              <w:rPr>
                <w:sz w:val="18"/>
                <w:szCs w:val="18"/>
              </w:rPr>
              <w:t>1895</w:t>
            </w:r>
          </w:p>
        </w:tc>
        <w:tc>
          <w:tcPr>
            <w:tcW w:w="663" w:type="dxa"/>
          </w:tcPr>
          <w:p w14:paraId="4126D3AA"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sz w:val="18"/>
                <w:szCs w:val="18"/>
              </w:rPr>
            </w:pPr>
            <w:r w:rsidRPr="002B255B">
              <w:rPr>
                <w:sz w:val="18"/>
                <w:szCs w:val="18"/>
              </w:rPr>
              <w:t>1384</w:t>
            </w:r>
          </w:p>
        </w:tc>
        <w:tc>
          <w:tcPr>
            <w:tcW w:w="663" w:type="dxa"/>
          </w:tcPr>
          <w:p w14:paraId="0992E89E"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sz w:val="18"/>
                <w:szCs w:val="18"/>
              </w:rPr>
            </w:pPr>
            <w:r w:rsidRPr="002B255B">
              <w:rPr>
                <w:sz w:val="18"/>
                <w:szCs w:val="18"/>
              </w:rPr>
              <w:t>3279</w:t>
            </w:r>
          </w:p>
        </w:tc>
      </w:tr>
      <w:tr w:rsidR="00934806" w:rsidRPr="002B255B" w14:paraId="27B74012" w14:textId="77777777" w:rsidTr="003662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7061FE3E" w14:textId="77777777" w:rsidR="00934806" w:rsidRPr="002B255B" w:rsidRDefault="00934806" w:rsidP="00716EBA">
            <w:pPr>
              <w:jc w:val="left"/>
              <w:rPr>
                <w:rFonts w:eastAsia="Times New Roman" w:cstheme="minorHAnsi"/>
                <w:b w:val="0"/>
                <w:bCs w:val="0"/>
                <w:color w:val="000000"/>
                <w:sz w:val="18"/>
                <w:szCs w:val="18"/>
              </w:rPr>
            </w:pPr>
            <w:r w:rsidRPr="002B255B">
              <w:rPr>
                <w:rFonts w:eastAsia="Times New Roman" w:cstheme="minorHAnsi"/>
                <w:b w:val="0"/>
                <w:bCs w:val="0"/>
                <w:color w:val="000000"/>
                <w:sz w:val="18"/>
                <w:szCs w:val="18"/>
              </w:rPr>
              <w:t>Număr localități unde activau furnizorii de servicii sociale acreditați</w:t>
            </w:r>
          </w:p>
        </w:tc>
        <w:tc>
          <w:tcPr>
            <w:tcW w:w="732" w:type="dxa"/>
            <w:noWrap/>
            <w:hideMark/>
          </w:tcPr>
          <w:p w14:paraId="7A6377EC"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240</w:t>
            </w:r>
          </w:p>
        </w:tc>
        <w:tc>
          <w:tcPr>
            <w:tcW w:w="655" w:type="dxa"/>
            <w:noWrap/>
            <w:hideMark/>
          </w:tcPr>
          <w:p w14:paraId="54FC8C0C"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781</w:t>
            </w:r>
          </w:p>
        </w:tc>
        <w:tc>
          <w:tcPr>
            <w:tcW w:w="640" w:type="dxa"/>
            <w:noWrap/>
            <w:hideMark/>
          </w:tcPr>
          <w:p w14:paraId="7795972D"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1021</w:t>
            </w:r>
          </w:p>
        </w:tc>
        <w:tc>
          <w:tcPr>
            <w:tcW w:w="732" w:type="dxa"/>
            <w:noWrap/>
            <w:hideMark/>
          </w:tcPr>
          <w:p w14:paraId="40D58BFD"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256</w:t>
            </w:r>
          </w:p>
        </w:tc>
        <w:tc>
          <w:tcPr>
            <w:tcW w:w="684" w:type="dxa"/>
            <w:noWrap/>
            <w:hideMark/>
          </w:tcPr>
          <w:p w14:paraId="5B683F73"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796</w:t>
            </w:r>
          </w:p>
        </w:tc>
        <w:tc>
          <w:tcPr>
            <w:tcW w:w="640" w:type="dxa"/>
            <w:noWrap/>
            <w:hideMark/>
          </w:tcPr>
          <w:p w14:paraId="4957171D"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1052</w:t>
            </w:r>
          </w:p>
        </w:tc>
        <w:tc>
          <w:tcPr>
            <w:tcW w:w="732" w:type="dxa"/>
            <w:noWrap/>
            <w:hideMark/>
          </w:tcPr>
          <w:p w14:paraId="2D1E8270"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267</w:t>
            </w:r>
          </w:p>
        </w:tc>
        <w:tc>
          <w:tcPr>
            <w:tcW w:w="655" w:type="dxa"/>
            <w:noWrap/>
            <w:hideMark/>
          </w:tcPr>
          <w:p w14:paraId="067EC06F"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899</w:t>
            </w:r>
          </w:p>
        </w:tc>
        <w:tc>
          <w:tcPr>
            <w:tcW w:w="669" w:type="dxa"/>
            <w:noWrap/>
            <w:hideMark/>
          </w:tcPr>
          <w:p w14:paraId="47A90936"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1166</w:t>
            </w:r>
          </w:p>
        </w:tc>
        <w:tc>
          <w:tcPr>
            <w:tcW w:w="732" w:type="dxa"/>
          </w:tcPr>
          <w:p w14:paraId="3AD340DF"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sz w:val="18"/>
                <w:szCs w:val="18"/>
              </w:rPr>
            </w:pPr>
            <w:r w:rsidRPr="002B255B">
              <w:rPr>
                <w:sz w:val="18"/>
                <w:szCs w:val="18"/>
              </w:rPr>
              <w:t>270</w:t>
            </w:r>
          </w:p>
        </w:tc>
        <w:tc>
          <w:tcPr>
            <w:tcW w:w="663" w:type="dxa"/>
          </w:tcPr>
          <w:p w14:paraId="556C8633"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sz w:val="18"/>
                <w:szCs w:val="18"/>
              </w:rPr>
            </w:pPr>
            <w:r w:rsidRPr="002B255B">
              <w:rPr>
                <w:sz w:val="18"/>
                <w:szCs w:val="18"/>
              </w:rPr>
              <w:t>1048</w:t>
            </w:r>
          </w:p>
        </w:tc>
        <w:tc>
          <w:tcPr>
            <w:tcW w:w="663" w:type="dxa"/>
          </w:tcPr>
          <w:p w14:paraId="3F652E8A"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sz w:val="18"/>
                <w:szCs w:val="18"/>
              </w:rPr>
            </w:pPr>
            <w:r w:rsidRPr="002B255B">
              <w:rPr>
                <w:sz w:val="18"/>
                <w:szCs w:val="18"/>
              </w:rPr>
              <w:t>1318</w:t>
            </w:r>
          </w:p>
        </w:tc>
      </w:tr>
      <w:tr w:rsidR="00934806" w:rsidRPr="002B255B" w14:paraId="00CE9259" w14:textId="77777777" w:rsidTr="00366219">
        <w:trPr>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3C21C782" w14:textId="77777777" w:rsidR="00934806" w:rsidRPr="002B255B" w:rsidRDefault="00934806" w:rsidP="00716EBA">
            <w:pPr>
              <w:jc w:val="left"/>
              <w:rPr>
                <w:rFonts w:eastAsia="Times New Roman" w:cstheme="minorHAnsi"/>
                <w:b w:val="0"/>
                <w:bCs w:val="0"/>
                <w:color w:val="000000"/>
                <w:sz w:val="18"/>
                <w:szCs w:val="18"/>
              </w:rPr>
            </w:pPr>
            <w:r w:rsidRPr="002B255B">
              <w:rPr>
                <w:rFonts w:eastAsia="Times New Roman" w:cstheme="minorHAnsi"/>
                <w:b w:val="0"/>
                <w:bCs w:val="0"/>
                <w:color w:val="000000"/>
                <w:sz w:val="18"/>
                <w:szCs w:val="18"/>
              </w:rPr>
              <w:t>Servicii sociale licențiate</w:t>
            </w:r>
          </w:p>
        </w:tc>
        <w:tc>
          <w:tcPr>
            <w:tcW w:w="732" w:type="dxa"/>
            <w:noWrap/>
            <w:hideMark/>
          </w:tcPr>
          <w:p w14:paraId="76EF9F50"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2679</w:t>
            </w:r>
          </w:p>
        </w:tc>
        <w:tc>
          <w:tcPr>
            <w:tcW w:w="655" w:type="dxa"/>
            <w:noWrap/>
            <w:hideMark/>
          </w:tcPr>
          <w:p w14:paraId="61BFBF24"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854</w:t>
            </w:r>
          </w:p>
        </w:tc>
        <w:tc>
          <w:tcPr>
            <w:tcW w:w="640" w:type="dxa"/>
            <w:noWrap/>
            <w:hideMark/>
          </w:tcPr>
          <w:p w14:paraId="1414A451"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3533</w:t>
            </w:r>
          </w:p>
        </w:tc>
        <w:tc>
          <w:tcPr>
            <w:tcW w:w="732" w:type="dxa"/>
            <w:noWrap/>
            <w:hideMark/>
          </w:tcPr>
          <w:p w14:paraId="76F081E7"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2866</w:t>
            </w:r>
          </w:p>
        </w:tc>
        <w:tc>
          <w:tcPr>
            <w:tcW w:w="684" w:type="dxa"/>
            <w:noWrap/>
            <w:hideMark/>
          </w:tcPr>
          <w:p w14:paraId="03B469E4"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925</w:t>
            </w:r>
          </w:p>
        </w:tc>
        <w:tc>
          <w:tcPr>
            <w:tcW w:w="640" w:type="dxa"/>
            <w:noWrap/>
            <w:hideMark/>
          </w:tcPr>
          <w:p w14:paraId="3B4F03C1"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3791</w:t>
            </w:r>
          </w:p>
        </w:tc>
        <w:tc>
          <w:tcPr>
            <w:tcW w:w="732" w:type="dxa"/>
            <w:noWrap/>
            <w:hideMark/>
          </w:tcPr>
          <w:p w14:paraId="614FD83B"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3106</w:t>
            </w:r>
          </w:p>
        </w:tc>
        <w:tc>
          <w:tcPr>
            <w:tcW w:w="655" w:type="dxa"/>
            <w:noWrap/>
            <w:hideMark/>
          </w:tcPr>
          <w:p w14:paraId="4F273676"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1069</w:t>
            </w:r>
          </w:p>
        </w:tc>
        <w:tc>
          <w:tcPr>
            <w:tcW w:w="669" w:type="dxa"/>
            <w:noWrap/>
            <w:hideMark/>
          </w:tcPr>
          <w:p w14:paraId="2E611D57"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4175</w:t>
            </w:r>
          </w:p>
        </w:tc>
        <w:tc>
          <w:tcPr>
            <w:tcW w:w="732" w:type="dxa"/>
          </w:tcPr>
          <w:p w14:paraId="5EAF6F97"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sz w:val="18"/>
                <w:szCs w:val="18"/>
              </w:rPr>
            </w:pPr>
            <w:r w:rsidRPr="002B255B">
              <w:rPr>
                <w:sz w:val="18"/>
                <w:szCs w:val="18"/>
              </w:rPr>
              <w:t>3554</w:t>
            </w:r>
          </w:p>
        </w:tc>
        <w:tc>
          <w:tcPr>
            <w:tcW w:w="663" w:type="dxa"/>
          </w:tcPr>
          <w:p w14:paraId="0B58DDA8"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sz w:val="18"/>
                <w:szCs w:val="18"/>
              </w:rPr>
            </w:pPr>
            <w:r w:rsidRPr="002B255B">
              <w:rPr>
                <w:sz w:val="18"/>
                <w:szCs w:val="18"/>
              </w:rPr>
              <w:t>1238</w:t>
            </w:r>
          </w:p>
        </w:tc>
        <w:tc>
          <w:tcPr>
            <w:tcW w:w="663" w:type="dxa"/>
          </w:tcPr>
          <w:p w14:paraId="6B3C3BCA"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sz w:val="18"/>
                <w:szCs w:val="18"/>
              </w:rPr>
            </w:pPr>
            <w:r w:rsidRPr="002B255B">
              <w:rPr>
                <w:sz w:val="18"/>
                <w:szCs w:val="18"/>
              </w:rPr>
              <w:t>4792</w:t>
            </w:r>
          </w:p>
        </w:tc>
      </w:tr>
      <w:tr w:rsidR="00934806" w:rsidRPr="002B255B" w14:paraId="4E7E9A78" w14:textId="77777777" w:rsidTr="003662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0FD10B6B" w14:textId="77777777" w:rsidR="00934806" w:rsidRPr="002B255B" w:rsidRDefault="00934806" w:rsidP="00716EBA">
            <w:pPr>
              <w:jc w:val="left"/>
              <w:rPr>
                <w:rFonts w:eastAsia="Times New Roman" w:cstheme="minorHAnsi"/>
                <w:b w:val="0"/>
                <w:bCs w:val="0"/>
                <w:color w:val="000000"/>
                <w:sz w:val="18"/>
                <w:szCs w:val="18"/>
              </w:rPr>
            </w:pPr>
            <w:r w:rsidRPr="002B255B">
              <w:rPr>
                <w:rFonts w:eastAsia="Times New Roman" w:cstheme="minorHAnsi"/>
                <w:b w:val="0"/>
                <w:bCs w:val="0"/>
                <w:color w:val="000000"/>
                <w:sz w:val="18"/>
                <w:szCs w:val="18"/>
              </w:rPr>
              <w:t>Număr localități unde funcționau servicii sociale licențiate</w:t>
            </w:r>
          </w:p>
        </w:tc>
        <w:tc>
          <w:tcPr>
            <w:tcW w:w="732" w:type="dxa"/>
            <w:noWrap/>
            <w:hideMark/>
          </w:tcPr>
          <w:p w14:paraId="61AFCC5B"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p>
        </w:tc>
        <w:tc>
          <w:tcPr>
            <w:tcW w:w="655" w:type="dxa"/>
            <w:noWrap/>
            <w:hideMark/>
          </w:tcPr>
          <w:p w14:paraId="303FA526"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p>
        </w:tc>
        <w:tc>
          <w:tcPr>
            <w:tcW w:w="640" w:type="dxa"/>
            <w:noWrap/>
            <w:hideMark/>
          </w:tcPr>
          <w:p w14:paraId="14AF7C1F"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812</w:t>
            </w:r>
          </w:p>
        </w:tc>
        <w:tc>
          <w:tcPr>
            <w:tcW w:w="732" w:type="dxa"/>
            <w:noWrap/>
            <w:hideMark/>
          </w:tcPr>
          <w:p w14:paraId="2B397885"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256</w:t>
            </w:r>
          </w:p>
        </w:tc>
        <w:tc>
          <w:tcPr>
            <w:tcW w:w="684" w:type="dxa"/>
            <w:noWrap/>
            <w:hideMark/>
          </w:tcPr>
          <w:p w14:paraId="56D15630"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586</w:t>
            </w:r>
          </w:p>
        </w:tc>
        <w:tc>
          <w:tcPr>
            <w:tcW w:w="640" w:type="dxa"/>
            <w:noWrap/>
            <w:hideMark/>
          </w:tcPr>
          <w:p w14:paraId="37E46167"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842</w:t>
            </w:r>
          </w:p>
        </w:tc>
        <w:tc>
          <w:tcPr>
            <w:tcW w:w="732" w:type="dxa"/>
            <w:noWrap/>
            <w:hideMark/>
          </w:tcPr>
          <w:p w14:paraId="4F7990D2"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238</w:t>
            </w:r>
          </w:p>
        </w:tc>
        <w:tc>
          <w:tcPr>
            <w:tcW w:w="655" w:type="dxa"/>
            <w:noWrap/>
            <w:hideMark/>
          </w:tcPr>
          <w:p w14:paraId="05B5B16B"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445</w:t>
            </w:r>
          </w:p>
        </w:tc>
        <w:tc>
          <w:tcPr>
            <w:tcW w:w="669" w:type="dxa"/>
            <w:noWrap/>
            <w:hideMark/>
          </w:tcPr>
          <w:p w14:paraId="26640348"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B255B">
              <w:rPr>
                <w:rFonts w:eastAsia="Times New Roman" w:cstheme="minorHAnsi"/>
                <w:color w:val="000000"/>
                <w:sz w:val="18"/>
                <w:szCs w:val="18"/>
              </w:rPr>
              <w:t>683</w:t>
            </w:r>
          </w:p>
        </w:tc>
        <w:tc>
          <w:tcPr>
            <w:tcW w:w="732" w:type="dxa"/>
          </w:tcPr>
          <w:p w14:paraId="65DE977A"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sz w:val="18"/>
                <w:szCs w:val="18"/>
              </w:rPr>
            </w:pPr>
            <w:r w:rsidRPr="002B255B">
              <w:rPr>
                <w:sz w:val="18"/>
                <w:szCs w:val="18"/>
              </w:rPr>
              <w:t>273</w:t>
            </w:r>
          </w:p>
        </w:tc>
        <w:tc>
          <w:tcPr>
            <w:tcW w:w="663" w:type="dxa"/>
          </w:tcPr>
          <w:p w14:paraId="2766179C"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sz w:val="18"/>
                <w:szCs w:val="18"/>
              </w:rPr>
            </w:pPr>
            <w:r w:rsidRPr="002B255B">
              <w:rPr>
                <w:sz w:val="18"/>
                <w:szCs w:val="18"/>
              </w:rPr>
              <w:t>695</w:t>
            </w:r>
          </w:p>
        </w:tc>
        <w:tc>
          <w:tcPr>
            <w:tcW w:w="663" w:type="dxa"/>
          </w:tcPr>
          <w:p w14:paraId="12A491EB"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sz w:val="18"/>
                <w:szCs w:val="18"/>
              </w:rPr>
            </w:pPr>
            <w:r w:rsidRPr="002B255B">
              <w:rPr>
                <w:sz w:val="18"/>
                <w:szCs w:val="18"/>
              </w:rPr>
              <w:t>968</w:t>
            </w:r>
          </w:p>
        </w:tc>
      </w:tr>
    </w:tbl>
    <w:p w14:paraId="69F8CCFA" w14:textId="77777777" w:rsidR="00934806" w:rsidRPr="002F6715" w:rsidRDefault="00934806" w:rsidP="002F6715">
      <w:pPr>
        <w:spacing w:after="0"/>
        <w:rPr>
          <w:sz w:val="16"/>
          <w:szCs w:val="16"/>
        </w:rPr>
      </w:pPr>
      <w:r w:rsidRPr="002F6715">
        <w:rPr>
          <w:sz w:val="16"/>
          <w:szCs w:val="16"/>
        </w:rPr>
        <w:t>Sursa: MMPS, Buletine statistice în domeniul Asistenței Sociale 2017, 2018, 2019, 2020</w:t>
      </w:r>
    </w:p>
    <w:p w14:paraId="08DC756E" w14:textId="77777777" w:rsidR="00934806" w:rsidRPr="007D1373" w:rsidRDefault="00934806" w:rsidP="00934806">
      <w:r w:rsidRPr="007D1373">
        <w:t xml:space="preserve">Numărul serviciilor sociale licențiate a înregistrat creștere  pe toate tipurile de grupuri vulnerabile în perioada 2017 – 2020. </w:t>
      </w:r>
      <w:r>
        <w:t>Astfel pentru copii și familiile cu copii, numărul serviciilor licențiate a crescut cu 538. Pentru persoanele vârstnice creșterea a fost de 393, pentru cele cu dizabilități de 79, pentru victimele violenței domestice de 51. În cazul persoanelor fără adăpost creșterea a fost de 19 servicii sociale, iar în cel al celor cu diferite adicții de 7. (</w:t>
      </w:r>
      <w:r>
        <w:fldChar w:fldCharType="begin"/>
      </w:r>
      <w:r>
        <w:instrText xml:space="preserve"> REF _Ref86928347 \h </w:instrText>
      </w:r>
      <w:r>
        <w:fldChar w:fldCharType="separate"/>
      </w:r>
      <w:r w:rsidRPr="007D1373">
        <w:t xml:space="preserve">Tabelul </w:t>
      </w:r>
      <w:r w:rsidRPr="007D1373">
        <w:rPr>
          <w:noProof/>
        </w:rPr>
        <w:t>5</w:t>
      </w:r>
      <w:r>
        <w:fldChar w:fldCharType="end"/>
      </w:r>
      <w:r>
        <w:t>)</w:t>
      </w:r>
    </w:p>
    <w:p w14:paraId="0C91B1F0" w14:textId="2CC47CBC" w:rsidR="00934806" w:rsidRPr="007D1373" w:rsidRDefault="005B25A4" w:rsidP="005B25A4">
      <w:pPr>
        <w:pStyle w:val="Caption"/>
      </w:pPr>
      <w:bookmarkStart w:id="21" w:name="_Toc86993601"/>
      <w:r>
        <w:t xml:space="preserve">Tabel </w:t>
      </w:r>
      <w:r>
        <w:fldChar w:fldCharType="begin"/>
      </w:r>
      <w:r>
        <w:instrText xml:space="preserve"> SEQ Tabel \* ARABIC </w:instrText>
      </w:r>
      <w:r>
        <w:fldChar w:fldCharType="separate"/>
      </w:r>
      <w:r w:rsidR="0089533D">
        <w:rPr>
          <w:noProof/>
        </w:rPr>
        <w:t>5</w:t>
      </w:r>
      <w:r>
        <w:fldChar w:fldCharType="end"/>
      </w:r>
      <w:r>
        <w:t xml:space="preserve"> </w:t>
      </w:r>
      <w:r w:rsidRPr="00A566ED">
        <w:t>Servicii sociale licențiate pe tipuri de beneficiari la finalul anului</w:t>
      </w:r>
      <w:bookmarkEnd w:id="21"/>
    </w:p>
    <w:tbl>
      <w:tblPr>
        <w:tblStyle w:val="GridTable4-Accent1"/>
        <w:tblW w:w="8926" w:type="dxa"/>
        <w:tblLook w:val="04A0" w:firstRow="1" w:lastRow="0" w:firstColumn="1" w:lastColumn="0" w:noHBand="0" w:noVBand="1"/>
      </w:tblPr>
      <w:tblGrid>
        <w:gridCol w:w="3140"/>
        <w:gridCol w:w="824"/>
        <w:gridCol w:w="851"/>
        <w:gridCol w:w="850"/>
        <w:gridCol w:w="1134"/>
        <w:gridCol w:w="2127"/>
      </w:tblGrid>
      <w:tr w:rsidR="00934806" w:rsidRPr="00510308" w14:paraId="5C8FB90E" w14:textId="77777777" w:rsidTr="0055443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noWrap/>
            <w:hideMark/>
          </w:tcPr>
          <w:p w14:paraId="4C6407C6" w14:textId="77777777" w:rsidR="00934806" w:rsidRPr="00510308" w:rsidRDefault="00934806" w:rsidP="00716EBA">
            <w:pPr>
              <w:jc w:val="left"/>
              <w:rPr>
                <w:rFonts w:ascii="Calibri" w:eastAsia="Times New Roman" w:hAnsi="Calibri" w:cs="Calibri"/>
                <w:b w:val="0"/>
                <w:sz w:val="18"/>
                <w:szCs w:val="18"/>
              </w:rPr>
            </w:pPr>
            <w:r w:rsidRPr="00510308">
              <w:rPr>
                <w:rFonts w:ascii="Calibri" w:eastAsia="Times New Roman" w:hAnsi="Calibri" w:cs="Calibri"/>
                <w:sz w:val="18"/>
                <w:szCs w:val="18"/>
              </w:rPr>
              <w:t>Servicii sociale licențiate</w:t>
            </w:r>
          </w:p>
        </w:tc>
        <w:tc>
          <w:tcPr>
            <w:tcW w:w="824" w:type="dxa"/>
            <w:noWrap/>
            <w:hideMark/>
          </w:tcPr>
          <w:p w14:paraId="348B0AA0" w14:textId="77777777" w:rsidR="00934806" w:rsidRPr="00510308" w:rsidRDefault="00934806" w:rsidP="00716EB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18"/>
                <w:szCs w:val="18"/>
              </w:rPr>
            </w:pPr>
            <w:r w:rsidRPr="00510308">
              <w:rPr>
                <w:rFonts w:ascii="Calibri" w:eastAsia="Times New Roman" w:hAnsi="Calibri" w:cs="Calibri"/>
                <w:sz w:val="18"/>
                <w:szCs w:val="18"/>
              </w:rPr>
              <w:t>2017</w:t>
            </w:r>
          </w:p>
        </w:tc>
        <w:tc>
          <w:tcPr>
            <w:tcW w:w="851" w:type="dxa"/>
            <w:noWrap/>
            <w:hideMark/>
          </w:tcPr>
          <w:p w14:paraId="552371D8" w14:textId="77777777" w:rsidR="00934806" w:rsidRPr="00510308" w:rsidRDefault="00934806" w:rsidP="00716EB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18"/>
                <w:szCs w:val="18"/>
              </w:rPr>
            </w:pPr>
            <w:r w:rsidRPr="00510308">
              <w:rPr>
                <w:rFonts w:ascii="Calibri" w:eastAsia="Times New Roman" w:hAnsi="Calibri" w:cs="Calibri"/>
                <w:sz w:val="18"/>
                <w:szCs w:val="18"/>
              </w:rPr>
              <w:t>2018</w:t>
            </w:r>
          </w:p>
        </w:tc>
        <w:tc>
          <w:tcPr>
            <w:tcW w:w="850" w:type="dxa"/>
            <w:noWrap/>
            <w:hideMark/>
          </w:tcPr>
          <w:p w14:paraId="4BD33D84" w14:textId="77777777" w:rsidR="00934806" w:rsidRPr="00510308" w:rsidRDefault="00934806" w:rsidP="00716EB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18"/>
                <w:szCs w:val="18"/>
              </w:rPr>
            </w:pPr>
            <w:r w:rsidRPr="00510308">
              <w:rPr>
                <w:rFonts w:ascii="Calibri" w:eastAsia="Times New Roman" w:hAnsi="Calibri" w:cs="Calibri"/>
                <w:sz w:val="18"/>
                <w:szCs w:val="18"/>
              </w:rPr>
              <w:t>2019</w:t>
            </w:r>
          </w:p>
        </w:tc>
        <w:tc>
          <w:tcPr>
            <w:tcW w:w="1134" w:type="dxa"/>
            <w:noWrap/>
            <w:hideMark/>
          </w:tcPr>
          <w:p w14:paraId="01EBC6D3" w14:textId="77777777" w:rsidR="00934806" w:rsidRPr="00510308" w:rsidRDefault="00934806" w:rsidP="00716EB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18"/>
                <w:szCs w:val="18"/>
              </w:rPr>
            </w:pPr>
            <w:r w:rsidRPr="00510308">
              <w:rPr>
                <w:rFonts w:ascii="Calibri" w:eastAsia="Times New Roman" w:hAnsi="Calibri" w:cs="Calibri"/>
                <w:sz w:val="18"/>
                <w:szCs w:val="18"/>
              </w:rPr>
              <w:t>2020</w:t>
            </w:r>
          </w:p>
        </w:tc>
        <w:tc>
          <w:tcPr>
            <w:tcW w:w="2127" w:type="dxa"/>
          </w:tcPr>
          <w:p w14:paraId="4D374646" w14:textId="77777777" w:rsidR="00934806" w:rsidRPr="00510308" w:rsidRDefault="00934806" w:rsidP="00716EB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18"/>
                <w:szCs w:val="18"/>
              </w:rPr>
            </w:pPr>
            <w:r w:rsidRPr="00510308">
              <w:rPr>
                <w:rFonts w:ascii="Calibri" w:eastAsia="Times New Roman" w:hAnsi="Calibri" w:cs="Calibri"/>
                <w:sz w:val="18"/>
                <w:szCs w:val="18"/>
              </w:rPr>
              <w:t>Diferență 2017 - 2020</w:t>
            </w:r>
          </w:p>
        </w:tc>
      </w:tr>
      <w:tr w:rsidR="00934806" w:rsidRPr="00510308" w14:paraId="3C4965E9" w14:textId="77777777" w:rsidTr="005544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noWrap/>
            <w:hideMark/>
          </w:tcPr>
          <w:p w14:paraId="10BB45D3" w14:textId="77777777" w:rsidR="00934806" w:rsidRPr="00510308" w:rsidRDefault="00934806" w:rsidP="00716EBA">
            <w:pPr>
              <w:jc w:val="left"/>
              <w:rPr>
                <w:rFonts w:ascii="Calibri" w:eastAsia="Times New Roman" w:hAnsi="Calibri" w:cs="Calibri"/>
                <w:b w:val="0"/>
                <w:bCs w:val="0"/>
                <w:color w:val="000000"/>
                <w:sz w:val="18"/>
                <w:szCs w:val="18"/>
              </w:rPr>
            </w:pPr>
            <w:r w:rsidRPr="00510308">
              <w:rPr>
                <w:rFonts w:ascii="Calibri" w:eastAsia="Times New Roman" w:hAnsi="Calibri" w:cs="Calibri"/>
                <w:b w:val="0"/>
                <w:bCs w:val="0"/>
                <w:color w:val="000000"/>
                <w:sz w:val="18"/>
                <w:szCs w:val="18"/>
              </w:rPr>
              <w:t>Copii și familii cu copii</w:t>
            </w:r>
          </w:p>
        </w:tc>
        <w:tc>
          <w:tcPr>
            <w:tcW w:w="824" w:type="dxa"/>
            <w:hideMark/>
          </w:tcPr>
          <w:p w14:paraId="7B726D2A" w14:textId="77777777" w:rsidR="00934806" w:rsidRPr="00510308" w:rsidRDefault="00934806" w:rsidP="005544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10308">
              <w:rPr>
                <w:rFonts w:ascii="Calibri" w:eastAsia="Times New Roman" w:hAnsi="Calibri" w:cs="Calibri"/>
                <w:color w:val="000000"/>
                <w:sz w:val="18"/>
                <w:szCs w:val="18"/>
              </w:rPr>
              <w:t>1747</w:t>
            </w:r>
          </w:p>
        </w:tc>
        <w:tc>
          <w:tcPr>
            <w:tcW w:w="851" w:type="dxa"/>
            <w:noWrap/>
            <w:hideMark/>
          </w:tcPr>
          <w:p w14:paraId="6FD2E954" w14:textId="77777777" w:rsidR="00934806" w:rsidRPr="00510308" w:rsidRDefault="00934806" w:rsidP="005544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10308">
              <w:rPr>
                <w:rFonts w:ascii="Calibri" w:eastAsia="Times New Roman" w:hAnsi="Calibri" w:cs="Calibri"/>
                <w:color w:val="000000"/>
                <w:sz w:val="18"/>
                <w:szCs w:val="18"/>
              </w:rPr>
              <w:t>1910</w:t>
            </w:r>
          </w:p>
        </w:tc>
        <w:tc>
          <w:tcPr>
            <w:tcW w:w="850" w:type="dxa"/>
            <w:noWrap/>
            <w:hideMark/>
          </w:tcPr>
          <w:p w14:paraId="094E2C23" w14:textId="77777777" w:rsidR="00934806" w:rsidRPr="00510308" w:rsidRDefault="00934806" w:rsidP="005544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10308">
              <w:rPr>
                <w:rFonts w:ascii="Calibri" w:eastAsia="Times New Roman" w:hAnsi="Calibri" w:cs="Calibri"/>
                <w:color w:val="000000"/>
                <w:sz w:val="18"/>
                <w:szCs w:val="18"/>
              </w:rPr>
              <w:t>2074</w:t>
            </w:r>
          </w:p>
        </w:tc>
        <w:tc>
          <w:tcPr>
            <w:tcW w:w="1134" w:type="dxa"/>
            <w:noWrap/>
            <w:hideMark/>
          </w:tcPr>
          <w:p w14:paraId="16FFEE7E" w14:textId="77777777" w:rsidR="00934806" w:rsidRPr="00510308" w:rsidRDefault="00934806" w:rsidP="005544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10308">
              <w:rPr>
                <w:rFonts w:ascii="Calibri" w:eastAsia="Times New Roman" w:hAnsi="Calibri" w:cs="Calibri"/>
                <w:color w:val="000000"/>
                <w:sz w:val="18"/>
                <w:szCs w:val="18"/>
              </w:rPr>
              <w:t>2285</w:t>
            </w:r>
          </w:p>
        </w:tc>
        <w:tc>
          <w:tcPr>
            <w:tcW w:w="2127" w:type="dxa"/>
          </w:tcPr>
          <w:p w14:paraId="736D1EF4" w14:textId="77777777" w:rsidR="00934806" w:rsidRPr="00510308" w:rsidRDefault="00934806" w:rsidP="0055443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10308">
              <w:rPr>
                <w:rFonts w:ascii="Calibri" w:hAnsi="Calibri" w:cs="Calibri"/>
                <w:color w:val="000000"/>
                <w:sz w:val="18"/>
                <w:szCs w:val="18"/>
              </w:rPr>
              <w:t>538</w:t>
            </w:r>
          </w:p>
        </w:tc>
      </w:tr>
      <w:tr w:rsidR="00934806" w:rsidRPr="00510308" w14:paraId="37E7390C" w14:textId="77777777" w:rsidTr="00554439">
        <w:trPr>
          <w:trHeight w:val="300"/>
        </w:trPr>
        <w:tc>
          <w:tcPr>
            <w:cnfStyle w:val="001000000000" w:firstRow="0" w:lastRow="0" w:firstColumn="1" w:lastColumn="0" w:oddVBand="0" w:evenVBand="0" w:oddHBand="0" w:evenHBand="0" w:firstRowFirstColumn="0" w:firstRowLastColumn="0" w:lastRowFirstColumn="0" w:lastRowLastColumn="0"/>
            <w:tcW w:w="3140" w:type="dxa"/>
            <w:noWrap/>
            <w:hideMark/>
          </w:tcPr>
          <w:p w14:paraId="66D76B71" w14:textId="77777777" w:rsidR="00934806" w:rsidRPr="00510308" w:rsidRDefault="00934806" w:rsidP="00716EBA">
            <w:pPr>
              <w:jc w:val="left"/>
              <w:rPr>
                <w:rFonts w:ascii="Calibri" w:eastAsia="Times New Roman" w:hAnsi="Calibri" w:cs="Calibri"/>
                <w:b w:val="0"/>
                <w:bCs w:val="0"/>
                <w:color w:val="000000"/>
                <w:sz w:val="18"/>
                <w:szCs w:val="18"/>
              </w:rPr>
            </w:pPr>
            <w:r w:rsidRPr="00510308">
              <w:rPr>
                <w:rFonts w:ascii="Calibri" w:eastAsia="Times New Roman" w:hAnsi="Calibri" w:cs="Calibri"/>
                <w:b w:val="0"/>
                <w:bCs w:val="0"/>
                <w:color w:val="000000"/>
                <w:sz w:val="18"/>
                <w:szCs w:val="18"/>
              </w:rPr>
              <w:t>Persoane vârstnice</w:t>
            </w:r>
          </w:p>
        </w:tc>
        <w:tc>
          <w:tcPr>
            <w:tcW w:w="824" w:type="dxa"/>
            <w:noWrap/>
            <w:hideMark/>
          </w:tcPr>
          <w:p w14:paraId="7141B90C" w14:textId="77777777" w:rsidR="00934806" w:rsidRPr="00510308" w:rsidRDefault="00934806" w:rsidP="005544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10308">
              <w:rPr>
                <w:rFonts w:ascii="Calibri" w:eastAsia="Times New Roman" w:hAnsi="Calibri" w:cs="Calibri"/>
                <w:color w:val="000000"/>
                <w:sz w:val="18"/>
                <w:szCs w:val="18"/>
              </w:rPr>
              <w:t>704</w:t>
            </w:r>
          </w:p>
        </w:tc>
        <w:tc>
          <w:tcPr>
            <w:tcW w:w="851" w:type="dxa"/>
            <w:noWrap/>
            <w:hideMark/>
          </w:tcPr>
          <w:p w14:paraId="0164E9E3" w14:textId="77777777" w:rsidR="00934806" w:rsidRPr="00510308" w:rsidRDefault="00934806" w:rsidP="005544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10308">
              <w:rPr>
                <w:rFonts w:ascii="Calibri" w:eastAsia="Times New Roman" w:hAnsi="Calibri" w:cs="Calibri"/>
                <w:color w:val="000000"/>
                <w:sz w:val="18"/>
                <w:szCs w:val="18"/>
              </w:rPr>
              <w:t>748</w:t>
            </w:r>
          </w:p>
        </w:tc>
        <w:tc>
          <w:tcPr>
            <w:tcW w:w="850" w:type="dxa"/>
            <w:noWrap/>
            <w:hideMark/>
          </w:tcPr>
          <w:p w14:paraId="176D6BEE" w14:textId="77777777" w:rsidR="00934806" w:rsidRPr="00510308" w:rsidRDefault="00934806" w:rsidP="005544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10308">
              <w:rPr>
                <w:rFonts w:ascii="Calibri" w:eastAsia="Times New Roman" w:hAnsi="Calibri" w:cs="Calibri"/>
                <w:color w:val="000000"/>
                <w:sz w:val="18"/>
                <w:szCs w:val="18"/>
              </w:rPr>
              <w:t>923</w:t>
            </w:r>
          </w:p>
        </w:tc>
        <w:tc>
          <w:tcPr>
            <w:tcW w:w="1134" w:type="dxa"/>
            <w:noWrap/>
            <w:hideMark/>
          </w:tcPr>
          <w:p w14:paraId="5BD2415B" w14:textId="77777777" w:rsidR="00934806" w:rsidRPr="00510308" w:rsidRDefault="00934806" w:rsidP="005544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10308">
              <w:rPr>
                <w:rFonts w:ascii="Calibri" w:eastAsia="Times New Roman" w:hAnsi="Calibri" w:cs="Calibri"/>
                <w:color w:val="000000"/>
                <w:sz w:val="18"/>
                <w:szCs w:val="18"/>
              </w:rPr>
              <w:t>1097</w:t>
            </w:r>
          </w:p>
        </w:tc>
        <w:tc>
          <w:tcPr>
            <w:tcW w:w="2127" w:type="dxa"/>
          </w:tcPr>
          <w:p w14:paraId="2C2238BB" w14:textId="77777777" w:rsidR="00934806" w:rsidRPr="00510308" w:rsidRDefault="00934806" w:rsidP="0055443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10308">
              <w:rPr>
                <w:rFonts w:ascii="Calibri" w:hAnsi="Calibri" w:cs="Calibri"/>
                <w:color w:val="000000"/>
                <w:sz w:val="18"/>
                <w:szCs w:val="18"/>
              </w:rPr>
              <w:t>393</w:t>
            </w:r>
          </w:p>
        </w:tc>
      </w:tr>
      <w:tr w:rsidR="00934806" w:rsidRPr="00510308" w14:paraId="5F285657" w14:textId="77777777" w:rsidTr="005544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noWrap/>
            <w:hideMark/>
          </w:tcPr>
          <w:p w14:paraId="3C845667" w14:textId="77777777" w:rsidR="00934806" w:rsidRPr="00510308" w:rsidRDefault="00934806" w:rsidP="00716EBA">
            <w:pPr>
              <w:jc w:val="left"/>
              <w:rPr>
                <w:rFonts w:ascii="Calibri" w:eastAsia="Times New Roman" w:hAnsi="Calibri" w:cs="Calibri"/>
                <w:b w:val="0"/>
                <w:bCs w:val="0"/>
                <w:color w:val="000000"/>
                <w:sz w:val="18"/>
                <w:szCs w:val="18"/>
              </w:rPr>
            </w:pPr>
            <w:r w:rsidRPr="00510308">
              <w:rPr>
                <w:rFonts w:ascii="Calibri" w:eastAsia="Times New Roman" w:hAnsi="Calibri" w:cs="Calibri"/>
                <w:b w:val="0"/>
                <w:bCs w:val="0"/>
                <w:color w:val="000000"/>
                <w:sz w:val="18"/>
                <w:szCs w:val="18"/>
              </w:rPr>
              <w:t>Persoane cu dizabilități</w:t>
            </w:r>
          </w:p>
        </w:tc>
        <w:tc>
          <w:tcPr>
            <w:tcW w:w="824" w:type="dxa"/>
            <w:noWrap/>
            <w:hideMark/>
          </w:tcPr>
          <w:p w14:paraId="3BF38D7A" w14:textId="77777777" w:rsidR="00934806" w:rsidRPr="00510308" w:rsidRDefault="00934806" w:rsidP="005544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10308">
              <w:rPr>
                <w:rFonts w:ascii="Calibri" w:eastAsia="Times New Roman" w:hAnsi="Calibri" w:cs="Calibri"/>
                <w:color w:val="000000"/>
                <w:sz w:val="18"/>
                <w:szCs w:val="18"/>
              </w:rPr>
              <w:t>440</w:t>
            </w:r>
          </w:p>
        </w:tc>
        <w:tc>
          <w:tcPr>
            <w:tcW w:w="851" w:type="dxa"/>
            <w:noWrap/>
            <w:hideMark/>
          </w:tcPr>
          <w:p w14:paraId="098755EB" w14:textId="77777777" w:rsidR="00934806" w:rsidRPr="00510308" w:rsidRDefault="00934806" w:rsidP="005544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10308">
              <w:rPr>
                <w:rFonts w:ascii="Calibri" w:eastAsia="Times New Roman" w:hAnsi="Calibri" w:cs="Calibri"/>
                <w:color w:val="000000"/>
                <w:sz w:val="18"/>
                <w:szCs w:val="18"/>
              </w:rPr>
              <w:t>432</w:t>
            </w:r>
          </w:p>
        </w:tc>
        <w:tc>
          <w:tcPr>
            <w:tcW w:w="850" w:type="dxa"/>
            <w:noWrap/>
            <w:hideMark/>
          </w:tcPr>
          <w:p w14:paraId="27F7CE9F" w14:textId="77777777" w:rsidR="00934806" w:rsidRPr="00510308" w:rsidRDefault="00934806" w:rsidP="005544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10308">
              <w:rPr>
                <w:rFonts w:ascii="Calibri" w:eastAsia="Times New Roman" w:hAnsi="Calibri" w:cs="Calibri"/>
                <w:color w:val="000000"/>
                <w:sz w:val="18"/>
                <w:szCs w:val="18"/>
              </w:rPr>
              <w:t>441</w:t>
            </w:r>
          </w:p>
        </w:tc>
        <w:tc>
          <w:tcPr>
            <w:tcW w:w="1134" w:type="dxa"/>
            <w:noWrap/>
            <w:hideMark/>
          </w:tcPr>
          <w:p w14:paraId="68BE70B7" w14:textId="77777777" w:rsidR="00934806" w:rsidRPr="00510308" w:rsidRDefault="00934806" w:rsidP="005544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10308">
              <w:rPr>
                <w:rFonts w:ascii="Calibri" w:eastAsia="Times New Roman" w:hAnsi="Calibri" w:cs="Calibri"/>
                <w:color w:val="000000"/>
                <w:sz w:val="18"/>
                <w:szCs w:val="18"/>
              </w:rPr>
              <w:t>519</w:t>
            </w:r>
          </w:p>
        </w:tc>
        <w:tc>
          <w:tcPr>
            <w:tcW w:w="2127" w:type="dxa"/>
          </w:tcPr>
          <w:p w14:paraId="6CF71D34" w14:textId="77777777" w:rsidR="00934806" w:rsidRPr="00510308" w:rsidRDefault="00934806" w:rsidP="0055443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10308">
              <w:rPr>
                <w:rFonts w:ascii="Calibri" w:hAnsi="Calibri" w:cs="Calibri"/>
                <w:color w:val="000000"/>
                <w:sz w:val="18"/>
                <w:szCs w:val="18"/>
              </w:rPr>
              <w:t>79</w:t>
            </w:r>
          </w:p>
        </w:tc>
      </w:tr>
      <w:tr w:rsidR="00934806" w:rsidRPr="00510308" w14:paraId="36B03951" w14:textId="77777777" w:rsidTr="00554439">
        <w:trPr>
          <w:trHeight w:val="300"/>
        </w:trPr>
        <w:tc>
          <w:tcPr>
            <w:cnfStyle w:val="001000000000" w:firstRow="0" w:lastRow="0" w:firstColumn="1" w:lastColumn="0" w:oddVBand="0" w:evenVBand="0" w:oddHBand="0" w:evenHBand="0" w:firstRowFirstColumn="0" w:firstRowLastColumn="0" w:lastRowFirstColumn="0" w:lastRowLastColumn="0"/>
            <w:tcW w:w="3140" w:type="dxa"/>
            <w:noWrap/>
            <w:hideMark/>
          </w:tcPr>
          <w:p w14:paraId="29852A96" w14:textId="77777777" w:rsidR="00934806" w:rsidRPr="00510308" w:rsidRDefault="00934806" w:rsidP="00716EBA">
            <w:pPr>
              <w:jc w:val="left"/>
              <w:rPr>
                <w:rFonts w:ascii="Calibri" w:eastAsia="Times New Roman" w:hAnsi="Calibri" w:cs="Calibri"/>
                <w:b w:val="0"/>
                <w:bCs w:val="0"/>
                <w:color w:val="000000"/>
                <w:sz w:val="18"/>
                <w:szCs w:val="18"/>
              </w:rPr>
            </w:pPr>
            <w:r w:rsidRPr="00510308">
              <w:rPr>
                <w:rFonts w:ascii="Calibri" w:eastAsia="Times New Roman" w:hAnsi="Calibri" w:cs="Calibri"/>
                <w:b w:val="0"/>
                <w:bCs w:val="0"/>
                <w:color w:val="000000"/>
                <w:sz w:val="18"/>
                <w:szCs w:val="18"/>
              </w:rPr>
              <w:t>Persoane fără adăpost</w:t>
            </w:r>
          </w:p>
        </w:tc>
        <w:tc>
          <w:tcPr>
            <w:tcW w:w="824" w:type="dxa"/>
            <w:noWrap/>
            <w:hideMark/>
          </w:tcPr>
          <w:p w14:paraId="74BF944E" w14:textId="77777777" w:rsidR="00934806" w:rsidRPr="00510308" w:rsidRDefault="00934806" w:rsidP="005544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10308">
              <w:rPr>
                <w:rFonts w:ascii="Calibri" w:eastAsia="Times New Roman" w:hAnsi="Calibri" w:cs="Calibri"/>
                <w:color w:val="000000"/>
                <w:sz w:val="18"/>
                <w:szCs w:val="18"/>
              </w:rPr>
              <w:t>62</w:t>
            </w:r>
          </w:p>
        </w:tc>
        <w:tc>
          <w:tcPr>
            <w:tcW w:w="851" w:type="dxa"/>
            <w:noWrap/>
            <w:hideMark/>
          </w:tcPr>
          <w:p w14:paraId="74A9700A" w14:textId="77777777" w:rsidR="00934806" w:rsidRPr="00510308" w:rsidRDefault="00934806" w:rsidP="005544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10308">
              <w:rPr>
                <w:rFonts w:ascii="Calibri" w:eastAsia="Times New Roman" w:hAnsi="Calibri" w:cs="Calibri"/>
                <w:color w:val="000000"/>
                <w:sz w:val="18"/>
                <w:szCs w:val="18"/>
              </w:rPr>
              <w:t>69</w:t>
            </w:r>
          </w:p>
        </w:tc>
        <w:tc>
          <w:tcPr>
            <w:tcW w:w="850" w:type="dxa"/>
            <w:noWrap/>
            <w:hideMark/>
          </w:tcPr>
          <w:p w14:paraId="233C2BA4" w14:textId="77777777" w:rsidR="00934806" w:rsidRPr="00510308" w:rsidRDefault="00934806" w:rsidP="005544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10308">
              <w:rPr>
                <w:rFonts w:ascii="Calibri" w:eastAsia="Times New Roman" w:hAnsi="Calibri" w:cs="Calibri"/>
                <w:color w:val="000000"/>
                <w:sz w:val="18"/>
                <w:szCs w:val="18"/>
              </w:rPr>
              <w:t>73</w:t>
            </w:r>
          </w:p>
        </w:tc>
        <w:tc>
          <w:tcPr>
            <w:tcW w:w="1134" w:type="dxa"/>
            <w:noWrap/>
            <w:hideMark/>
          </w:tcPr>
          <w:p w14:paraId="5662FDBB" w14:textId="77777777" w:rsidR="00934806" w:rsidRPr="00510308" w:rsidRDefault="00934806" w:rsidP="005544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10308">
              <w:rPr>
                <w:rFonts w:ascii="Calibri" w:eastAsia="Times New Roman" w:hAnsi="Calibri" w:cs="Calibri"/>
                <w:color w:val="000000"/>
                <w:sz w:val="18"/>
                <w:szCs w:val="18"/>
              </w:rPr>
              <w:t>81</w:t>
            </w:r>
          </w:p>
        </w:tc>
        <w:tc>
          <w:tcPr>
            <w:tcW w:w="2127" w:type="dxa"/>
          </w:tcPr>
          <w:p w14:paraId="2EACCFE4" w14:textId="77777777" w:rsidR="00934806" w:rsidRPr="00510308" w:rsidRDefault="00934806" w:rsidP="0055443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10308">
              <w:rPr>
                <w:rFonts w:ascii="Calibri" w:hAnsi="Calibri" w:cs="Calibri"/>
                <w:color w:val="000000"/>
                <w:sz w:val="18"/>
                <w:szCs w:val="18"/>
              </w:rPr>
              <w:t>19</w:t>
            </w:r>
          </w:p>
        </w:tc>
      </w:tr>
      <w:tr w:rsidR="00934806" w:rsidRPr="00510308" w14:paraId="636B5FBD" w14:textId="77777777" w:rsidTr="005544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noWrap/>
            <w:hideMark/>
          </w:tcPr>
          <w:p w14:paraId="2193A9F3" w14:textId="77777777" w:rsidR="00934806" w:rsidRPr="00510308" w:rsidRDefault="00934806" w:rsidP="00716EBA">
            <w:pPr>
              <w:jc w:val="left"/>
              <w:rPr>
                <w:rFonts w:ascii="Calibri" w:eastAsia="Times New Roman" w:hAnsi="Calibri" w:cs="Calibri"/>
                <w:b w:val="0"/>
                <w:bCs w:val="0"/>
                <w:color w:val="000000"/>
                <w:sz w:val="18"/>
                <w:szCs w:val="18"/>
              </w:rPr>
            </w:pPr>
            <w:r w:rsidRPr="00510308">
              <w:rPr>
                <w:rFonts w:ascii="Calibri" w:eastAsia="Times New Roman" w:hAnsi="Calibri" w:cs="Calibri"/>
                <w:b w:val="0"/>
                <w:bCs w:val="0"/>
                <w:color w:val="000000"/>
                <w:sz w:val="18"/>
                <w:szCs w:val="18"/>
              </w:rPr>
              <w:t>Victime ale violenței în familie</w:t>
            </w:r>
          </w:p>
        </w:tc>
        <w:tc>
          <w:tcPr>
            <w:tcW w:w="824" w:type="dxa"/>
            <w:noWrap/>
            <w:hideMark/>
          </w:tcPr>
          <w:p w14:paraId="38EB9ABB" w14:textId="77777777" w:rsidR="00934806" w:rsidRPr="00510308" w:rsidRDefault="00934806" w:rsidP="005544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10308">
              <w:rPr>
                <w:rFonts w:ascii="Calibri" w:eastAsia="Times New Roman" w:hAnsi="Calibri" w:cs="Calibri"/>
                <w:color w:val="000000"/>
                <w:sz w:val="18"/>
                <w:szCs w:val="18"/>
              </w:rPr>
              <w:t>52</w:t>
            </w:r>
          </w:p>
        </w:tc>
        <w:tc>
          <w:tcPr>
            <w:tcW w:w="851" w:type="dxa"/>
            <w:noWrap/>
            <w:hideMark/>
          </w:tcPr>
          <w:p w14:paraId="419BCE67" w14:textId="77777777" w:rsidR="00934806" w:rsidRPr="00510308" w:rsidRDefault="00934806" w:rsidP="005544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10308">
              <w:rPr>
                <w:rFonts w:ascii="Calibri" w:eastAsia="Times New Roman" w:hAnsi="Calibri" w:cs="Calibri"/>
                <w:color w:val="000000"/>
                <w:sz w:val="18"/>
                <w:szCs w:val="18"/>
              </w:rPr>
              <w:t>61</w:t>
            </w:r>
          </w:p>
        </w:tc>
        <w:tc>
          <w:tcPr>
            <w:tcW w:w="850" w:type="dxa"/>
            <w:noWrap/>
            <w:hideMark/>
          </w:tcPr>
          <w:p w14:paraId="114A106D" w14:textId="77777777" w:rsidR="00934806" w:rsidRPr="00510308" w:rsidRDefault="00934806" w:rsidP="005544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10308">
              <w:rPr>
                <w:rFonts w:ascii="Calibri" w:eastAsia="Times New Roman" w:hAnsi="Calibri" w:cs="Calibri"/>
                <w:color w:val="000000"/>
                <w:sz w:val="18"/>
                <w:szCs w:val="18"/>
              </w:rPr>
              <w:t>72</w:t>
            </w:r>
          </w:p>
        </w:tc>
        <w:tc>
          <w:tcPr>
            <w:tcW w:w="1134" w:type="dxa"/>
            <w:noWrap/>
            <w:hideMark/>
          </w:tcPr>
          <w:p w14:paraId="6164D241" w14:textId="77777777" w:rsidR="00934806" w:rsidRPr="00510308" w:rsidRDefault="00934806" w:rsidP="005544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10308">
              <w:rPr>
                <w:rFonts w:ascii="Calibri" w:eastAsia="Times New Roman" w:hAnsi="Calibri" w:cs="Calibri"/>
                <w:color w:val="000000"/>
                <w:sz w:val="18"/>
                <w:szCs w:val="18"/>
              </w:rPr>
              <w:t>103</w:t>
            </w:r>
          </w:p>
        </w:tc>
        <w:tc>
          <w:tcPr>
            <w:tcW w:w="2127" w:type="dxa"/>
          </w:tcPr>
          <w:p w14:paraId="73E2EB57" w14:textId="77777777" w:rsidR="00934806" w:rsidRPr="00510308" w:rsidRDefault="00934806" w:rsidP="0055443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10308">
              <w:rPr>
                <w:rFonts w:ascii="Calibri" w:hAnsi="Calibri" w:cs="Calibri"/>
                <w:color w:val="000000"/>
                <w:sz w:val="18"/>
                <w:szCs w:val="18"/>
              </w:rPr>
              <w:t>51</w:t>
            </w:r>
          </w:p>
        </w:tc>
      </w:tr>
      <w:tr w:rsidR="00934806" w:rsidRPr="00510308" w14:paraId="31586C00" w14:textId="77777777" w:rsidTr="00554439">
        <w:trPr>
          <w:trHeight w:val="300"/>
        </w:trPr>
        <w:tc>
          <w:tcPr>
            <w:cnfStyle w:val="001000000000" w:firstRow="0" w:lastRow="0" w:firstColumn="1" w:lastColumn="0" w:oddVBand="0" w:evenVBand="0" w:oddHBand="0" w:evenHBand="0" w:firstRowFirstColumn="0" w:firstRowLastColumn="0" w:lastRowFirstColumn="0" w:lastRowLastColumn="0"/>
            <w:tcW w:w="3140" w:type="dxa"/>
            <w:noWrap/>
            <w:hideMark/>
          </w:tcPr>
          <w:p w14:paraId="2944CEAC" w14:textId="77777777" w:rsidR="00934806" w:rsidRPr="00510308" w:rsidRDefault="00934806" w:rsidP="00716EBA">
            <w:pPr>
              <w:jc w:val="left"/>
              <w:rPr>
                <w:rFonts w:ascii="Calibri" w:eastAsia="Times New Roman" w:hAnsi="Calibri" w:cs="Calibri"/>
                <w:b w:val="0"/>
                <w:bCs w:val="0"/>
                <w:color w:val="000000"/>
                <w:sz w:val="18"/>
                <w:szCs w:val="18"/>
              </w:rPr>
            </w:pPr>
            <w:r w:rsidRPr="00510308">
              <w:rPr>
                <w:rFonts w:ascii="Calibri" w:eastAsia="Times New Roman" w:hAnsi="Calibri" w:cs="Calibri"/>
                <w:b w:val="0"/>
                <w:bCs w:val="0"/>
                <w:color w:val="000000"/>
                <w:sz w:val="18"/>
                <w:szCs w:val="18"/>
              </w:rPr>
              <w:t>Persoane cu diferite adicții</w:t>
            </w:r>
          </w:p>
        </w:tc>
        <w:tc>
          <w:tcPr>
            <w:tcW w:w="824" w:type="dxa"/>
            <w:noWrap/>
            <w:hideMark/>
          </w:tcPr>
          <w:p w14:paraId="4FB95D5F" w14:textId="77777777" w:rsidR="00934806" w:rsidRPr="00510308" w:rsidRDefault="00934806" w:rsidP="005544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10308">
              <w:rPr>
                <w:rFonts w:ascii="Calibri" w:eastAsia="Times New Roman" w:hAnsi="Calibri" w:cs="Calibri"/>
                <w:color w:val="000000"/>
                <w:sz w:val="18"/>
                <w:szCs w:val="18"/>
              </w:rPr>
              <w:t>42</w:t>
            </w:r>
          </w:p>
        </w:tc>
        <w:tc>
          <w:tcPr>
            <w:tcW w:w="851" w:type="dxa"/>
            <w:noWrap/>
            <w:hideMark/>
          </w:tcPr>
          <w:p w14:paraId="153FEAE5" w14:textId="77777777" w:rsidR="00934806" w:rsidRPr="00510308" w:rsidRDefault="00934806" w:rsidP="005544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10308">
              <w:rPr>
                <w:rFonts w:ascii="Calibri" w:eastAsia="Times New Roman" w:hAnsi="Calibri" w:cs="Calibri"/>
                <w:color w:val="000000"/>
                <w:sz w:val="18"/>
                <w:szCs w:val="18"/>
              </w:rPr>
              <w:t>44</w:t>
            </w:r>
          </w:p>
        </w:tc>
        <w:tc>
          <w:tcPr>
            <w:tcW w:w="850" w:type="dxa"/>
            <w:noWrap/>
            <w:hideMark/>
          </w:tcPr>
          <w:p w14:paraId="5022FD73" w14:textId="77777777" w:rsidR="00934806" w:rsidRPr="00510308" w:rsidRDefault="00934806" w:rsidP="005544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10308">
              <w:rPr>
                <w:rFonts w:ascii="Calibri" w:eastAsia="Times New Roman" w:hAnsi="Calibri" w:cs="Calibri"/>
                <w:color w:val="000000"/>
                <w:sz w:val="18"/>
                <w:szCs w:val="18"/>
              </w:rPr>
              <w:t>48</w:t>
            </w:r>
          </w:p>
        </w:tc>
        <w:tc>
          <w:tcPr>
            <w:tcW w:w="1134" w:type="dxa"/>
            <w:noWrap/>
            <w:hideMark/>
          </w:tcPr>
          <w:p w14:paraId="69620FB3" w14:textId="77777777" w:rsidR="00934806" w:rsidRPr="00510308" w:rsidRDefault="00934806" w:rsidP="005544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10308">
              <w:rPr>
                <w:rFonts w:ascii="Calibri" w:eastAsia="Times New Roman" w:hAnsi="Calibri" w:cs="Calibri"/>
                <w:color w:val="000000"/>
                <w:sz w:val="18"/>
                <w:szCs w:val="18"/>
              </w:rPr>
              <w:t>49</w:t>
            </w:r>
          </w:p>
        </w:tc>
        <w:tc>
          <w:tcPr>
            <w:tcW w:w="2127" w:type="dxa"/>
          </w:tcPr>
          <w:p w14:paraId="72012795" w14:textId="77777777" w:rsidR="00934806" w:rsidRPr="00510308" w:rsidRDefault="00934806" w:rsidP="0055443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10308">
              <w:rPr>
                <w:rFonts w:ascii="Calibri" w:hAnsi="Calibri" w:cs="Calibri"/>
                <w:color w:val="000000"/>
                <w:sz w:val="18"/>
                <w:szCs w:val="18"/>
              </w:rPr>
              <w:t>7</w:t>
            </w:r>
          </w:p>
        </w:tc>
      </w:tr>
      <w:tr w:rsidR="00934806" w:rsidRPr="00510308" w14:paraId="43D90E77" w14:textId="77777777" w:rsidTr="005544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noWrap/>
            <w:hideMark/>
          </w:tcPr>
          <w:p w14:paraId="283412FE" w14:textId="77777777" w:rsidR="00934806" w:rsidRPr="00510308" w:rsidRDefault="00934806" w:rsidP="00716EBA">
            <w:pPr>
              <w:jc w:val="left"/>
              <w:rPr>
                <w:rFonts w:ascii="Calibri" w:eastAsia="Times New Roman" w:hAnsi="Calibri" w:cs="Calibri"/>
                <w:b w:val="0"/>
                <w:bCs w:val="0"/>
                <w:color w:val="000000"/>
                <w:sz w:val="18"/>
                <w:szCs w:val="18"/>
              </w:rPr>
            </w:pPr>
            <w:r w:rsidRPr="00510308">
              <w:rPr>
                <w:rFonts w:ascii="Calibri" w:eastAsia="Times New Roman" w:hAnsi="Calibri" w:cs="Calibri"/>
                <w:b w:val="0"/>
                <w:bCs w:val="0"/>
                <w:color w:val="000000"/>
                <w:sz w:val="18"/>
                <w:szCs w:val="18"/>
              </w:rPr>
              <w:lastRenderedPageBreak/>
              <w:t>Altele</w:t>
            </w:r>
          </w:p>
        </w:tc>
        <w:tc>
          <w:tcPr>
            <w:tcW w:w="824" w:type="dxa"/>
            <w:noWrap/>
            <w:hideMark/>
          </w:tcPr>
          <w:p w14:paraId="70C96FB0" w14:textId="77777777" w:rsidR="00934806" w:rsidRPr="00510308" w:rsidRDefault="00934806" w:rsidP="005544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10308">
              <w:rPr>
                <w:rFonts w:ascii="Calibri" w:eastAsia="Times New Roman" w:hAnsi="Calibri" w:cs="Calibri"/>
                <w:color w:val="000000"/>
                <w:sz w:val="18"/>
                <w:szCs w:val="18"/>
              </w:rPr>
              <w:t>486</w:t>
            </w:r>
          </w:p>
        </w:tc>
        <w:tc>
          <w:tcPr>
            <w:tcW w:w="851" w:type="dxa"/>
            <w:noWrap/>
            <w:hideMark/>
          </w:tcPr>
          <w:p w14:paraId="7ACEB5D5" w14:textId="77777777" w:rsidR="00934806" w:rsidRPr="00510308" w:rsidRDefault="00934806" w:rsidP="005544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10308">
              <w:rPr>
                <w:rFonts w:ascii="Calibri" w:eastAsia="Times New Roman" w:hAnsi="Calibri" w:cs="Calibri"/>
                <w:color w:val="000000"/>
                <w:sz w:val="18"/>
                <w:szCs w:val="18"/>
              </w:rPr>
              <w:t>527</w:t>
            </w:r>
          </w:p>
        </w:tc>
        <w:tc>
          <w:tcPr>
            <w:tcW w:w="850" w:type="dxa"/>
            <w:noWrap/>
            <w:hideMark/>
          </w:tcPr>
          <w:p w14:paraId="6722B92B" w14:textId="77777777" w:rsidR="00934806" w:rsidRPr="00510308" w:rsidRDefault="00934806" w:rsidP="005544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10308">
              <w:rPr>
                <w:rFonts w:ascii="Calibri" w:eastAsia="Times New Roman" w:hAnsi="Calibri" w:cs="Calibri"/>
                <w:color w:val="000000"/>
                <w:sz w:val="18"/>
                <w:szCs w:val="18"/>
              </w:rPr>
              <w:t>544</w:t>
            </w:r>
          </w:p>
        </w:tc>
        <w:tc>
          <w:tcPr>
            <w:tcW w:w="1134" w:type="dxa"/>
            <w:noWrap/>
            <w:hideMark/>
          </w:tcPr>
          <w:p w14:paraId="3A268C26" w14:textId="77777777" w:rsidR="00934806" w:rsidRPr="00510308" w:rsidRDefault="00934806" w:rsidP="005544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10308">
              <w:rPr>
                <w:rFonts w:ascii="Calibri" w:eastAsia="Times New Roman" w:hAnsi="Calibri" w:cs="Calibri"/>
                <w:color w:val="000000"/>
                <w:sz w:val="18"/>
                <w:szCs w:val="18"/>
              </w:rPr>
              <w:t>658</w:t>
            </w:r>
          </w:p>
        </w:tc>
        <w:tc>
          <w:tcPr>
            <w:tcW w:w="2127" w:type="dxa"/>
          </w:tcPr>
          <w:p w14:paraId="73DB6C5D" w14:textId="77777777" w:rsidR="00934806" w:rsidRPr="00510308" w:rsidRDefault="00934806" w:rsidP="0055443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10308">
              <w:rPr>
                <w:rFonts w:ascii="Calibri" w:hAnsi="Calibri" w:cs="Calibri"/>
                <w:color w:val="000000"/>
                <w:sz w:val="18"/>
                <w:szCs w:val="18"/>
              </w:rPr>
              <w:t>172</w:t>
            </w:r>
          </w:p>
        </w:tc>
      </w:tr>
      <w:tr w:rsidR="00934806" w:rsidRPr="00510308" w14:paraId="6B1A888E" w14:textId="77777777" w:rsidTr="00554439">
        <w:trPr>
          <w:trHeight w:val="300"/>
        </w:trPr>
        <w:tc>
          <w:tcPr>
            <w:cnfStyle w:val="001000000000" w:firstRow="0" w:lastRow="0" w:firstColumn="1" w:lastColumn="0" w:oddVBand="0" w:evenVBand="0" w:oddHBand="0" w:evenHBand="0" w:firstRowFirstColumn="0" w:firstRowLastColumn="0" w:lastRowFirstColumn="0" w:lastRowLastColumn="0"/>
            <w:tcW w:w="3140" w:type="dxa"/>
            <w:noWrap/>
            <w:hideMark/>
          </w:tcPr>
          <w:p w14:paraId="790CCD9C" w14:textId="77777777" w:rsidR="00934806" w:rsidRPr="00510308" w:rsidRDefault="00934806" w:rsidP="00716EBA">
            <w:pPr>
              <w:jc w:val="left"/>
              <w:rPr>
                <w:rFonts w:ascii="Calibri" w:eastAsia="Times New Roman" w:hAnsi="Calibri" w:cs="Calibri"/>
                <w:b w:val="0"/>
                <w:color w:val="000000"/>
                <w:sz w:val="18"/>
                <w:szCs w:val="18"/>
              </w:rPr>
            </w:pPr>
            <w:r w:rsidRPr="00510308">
              <w:rPr>
                <w:rFonts w:ascii="Calibri" w:eastAsia="Times New Roman" w:hAnsi="Calibri" w:cs="Calibri"/>
                <w:color w:val="000000"/>
                <w:sz w:val="18"/>
                <w:szCs w:val="18"/>
              </w:rPr>
              <w:t>Total</w:t>
            </w:r>
          </w:p>
        </w:tc>
        <w:tc>
          <w:tcPr>
            <w:tcW w:w="824" w:type="dxa"/>
            <w:noWrap/>
            <w:hideMark/>
          </w:tcPr>
          <w:p w14:paraId="7B38C677" w14:textId="77777777" w:rsidR="00934806" w:rsidRPr="00510308" w:rsidRDefault="00934806" w:rsidP="005544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rPr>
            </w:pPr>
            <w:r w:rsidRPr="00510308">
              <w:rPr>
                <w:rFonts w:ascii="Calibri" w:eastAsia="Times New Roman" w:hAnsi="Calibri" w:cs="Calibri"/>
                <w:b/>
                <w:color w:val="000000"/>
                <w:sz w:val="18"/>
                <w:szCs w:val="18"/>
              </w:rPr>
              <w:t>3533</w:t>
            </w:r>
          </w:p>
        </w:tc>
        <w:tc>
          <w:tcPr>
            <w:tcW w:w="851" w:type="dxa"/>
            <w:noWrap/>
            <w:hideMark/>
          </w:tcPr>
          <w:p w14:paraId="4C22B98B" w14:textId="77777777" w:rsidR="00934806" w:rsidRPr="00510308" w:rsidRDefault="00934806" w:rsidP="005544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rPr>
            </w:pPr>
            <w:r w:rsidRPr="00510308">
              <w:rPr>
                <w:rFonts w:ascii="Calibri" w:eastAsia="Times New Roman" w:hAnsi="Calibri" w:cs="Calibri"/>
                <w:b/>
                <w:color w:val="000000"/>
                <w:sz w:val="18"/>
                <w:szCs w:val="18"/>
              </w:rPr>
              <w:t>3791</w:t>
            </w:r>
          </w:p>
        </w:tc>
        <w:tc>
          <w:tcPr>
            <w:tcW w:w="850" w:type="dxa"/>
            <w:noWrap/>
            <w:hideMark/>
          </w:tcPr>
          <w:p w14:paraId="6B34DC24" w14:textId="77777777" w:rsidR="00934806" w:rsidRPr="00510308" w:rsidRDefault="00934806" w:rsidP="005544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rPr>
            </w:pPr>
            <w:r w:rsidRPr="00510308">
              <w:rPr>
                <w:rFonts w:ascii="Calibri" w:eastAsia="Times New Roman" w:hAnsi="Calibri" w:cs="Calibri"/>
                <w:b/>
                <w:color w:val="000000"/>
                <w:sz w:val="18"/>
                <w:szCs w:val="18"/>
              </w:rPr>
              <w:t>4175</w:t>
            </w:r>
          </w:p>
        </w:tc>
        <w:tc>
          <w:tcPr>
            <w:tcW w:w="1134" w:type="dxa"/>
            <w:noWrap/>
            <w:hideMark/>
          </w:tcPr>
          <w:p w14:paraId="65EE3854" w14:textId="77777777" w:rsidR="00934806" w:rsidRPr="00510308" w:rsidRDefault="00934806" w:rsidP="005544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rPr>
            </w:pPr>
            <w:r w:rsidRPr="00510308">
              <w:rPr>
                <w:rFonts w:ascii="Calibri" w:eastAsia="Times New Roman" w:hAnsi="Calibri" w:cs="Calibri"/>
                <w:b/>
                <w:color w:val="000000"/>
                <w:sz w:val="18"/>
                <w:szCs w:val="18"/>
              </w:rPr>
              <w:t>4792</w:t>
            </w:r>
          </w:p>
        </w:tc>
        <w:tc>
          <w:tcPr>
            <w:tcW w:w="2127" w:type="dxa"/>
          </w:tcPr>
          <w:p w14:paraId="7EF3D40A" w14:textId="77777777" w:rsidR="00934806" w:rsidRPr="00510308" w:rsidRDefault="00934806" w:rsidP="00554439">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510308">
              <w:rPr>
                <w:rFonts w:ascii="Calibri" w:hAnsi="Calibri" w:cs="Calibri"/>
                <w:b/>
                <w:color w:val="000000"/>
                <w:sz w:val="18"/>
                <w:szCs w:val="18"/>
              </w:rPr>
              <w:t>1259</w:t>
            </w:r>
          </w:p>
        </w:tc>
      </w:tr>
    </w:tbl>
    <w:p w14:paraId="73F5926A" w14:textId="77777777" w:rsidR="00934806" w:rsidRPr="002F6715" w:rsidRDefault="00934806" w:rsidP="002F6715">
      <w:pPr>
        <w:spacing w:after="0"/>
        <w:rPr>
          <w:sz w:val="16"/>
          <w:szCs w:val="16"/>
        </w:rPr>
      </w:pPr>
      <w:r w:rsidRPr="002F6715">
        <w:rPr>
          <w:sz w:val="16"/>
          <w:szCs w:val="16"/>
        </w:rPr>
        <w:t>Sursa: MMPS, Buletine statistice în domeniul Asistenței Sociale 2017, 2018, 2019, 2020</w:t>
      </w:r>
    </w:p>
    <w:p w14:paraId="026A6F49" w14:textId="77777777" w:rsidR="00934806" w:rsidRPr="007D1373" w:rsidRDefault="00934806" w:rsidP="00934806">
      <w:r>
        <w:t>Există diferențe între regiuni în ce privește numărul serviciilor sociale licențiate și a tipurilor de grupuri vulnerabile adresate de către acestea. În ce privește numărul serviciilor sociale licențiate, cele mai mari valori le regăsim în regiunile Centru (863 de servicii sociale licențiate), Nord-Vest (776 servicii sociale licențiate) și Nord-Est (741 servicii sociale licențiate). Cele mai puține sunt în regiunea Sud Vest Oltenia (365). Se poate observa că în regiunile cu un nivel de dezvoltare mai redus și cu rate ale riscului de sărăcie și excluziune socială mai mari, sunt mai puține  servicii sociale licențiate (Sud-Muntenia, Sud-Vest Oltenia, Sud-Est). Serviciile pentru persoanele vârstnice sunt mai numeroase în regiunile Nord-Vest (211) și Centru (204). În cazul persoanelor cu dizabilități cele mai multe servicii sunt în regiunea Centru (105), urmată de regiunea Nord-Vest (81), Sud-Est (75) și Nord-Est (71). Persoanele fără adăpost au 17 servicii sociale licențiate în regiunea Nord-Vest, urmată de Centru (12), București-Ilfov (11) și Sud Muntenia (11).  Victimele violenței în familie au cele mai multe servicii sociale licențiate în regiunile Centru (19), Sud-Est (16) și Sud Muntenia (16). În cazul persoanelor cu diferite adicții, cele mai multe servicii sociale licențiate sunt în regiunea Nord-Est (9), Sud Muntenia (8) și Centru (8). (</w:t>
      </w:r>
      <w:r>
        <w:fldChar w:fldCharType="begin"/>
      </w:r>
      <w:r>
        <w:instrText xml:space="preserve"> REF _Ref86929061 \h </w:instrText>
      </w:r>
      <w:r>
        <w:fldChar w:fldCharType="separate"/>
      </w:r>
      <w:r w:rsidRPr="007D1373">
        <w:t xml:space="preserve">Tabelul </w:t>
      </w:r>
      <w:r w:rsidRPr="007D1373">
        <w:rPr>
          <w:noProof/>
        </w:rPr>
        <w:t>6</w:t>
      </w:r>
      <w:r>
        <w:fldChar w:fldCharType="end"/>
      </w:r>
      <w:r>
        <w:t>)</w:t>
      </w:r>
    </w:p>
    <w:p w14:paraId="483BF4D2" w14:textId="4D88B878" w:rsidR="00934806" w:rsidRPr="007D1373" w:rsidRDefault="005B25A4" w:rsidP="005B25A4">
      <w:pPr>
        <w:pStyle w:val="Caption"/>
      </w:pPr>
      <w:bookmarkStart w:id="22" w:name="_Toc86993602"/>
      <w:r>
        <w:t xml:space="preserve">Tabel </w:t>
      </w:r>
      <w:r>
        <w:fldChar w:fldCharType="begin"/>
      </w:r>
      <w:r>
        <w:instrText xml:space="preserve"> SEQ Tabel \* ARABIC </w:instrText>
      </w:r>
      <w:r>
        <w:fldChar w:fldCharType="separate"/>
      </w:r>
      <w:r w:rsidR="0089533D">
        <w:rPr>
          <w:noProof/>
        </w:rPr>
        <w:t>6</w:t>
      </w:r>
      <w:r>
        <w:fldChar w:fldCharType="end"/>
      </w:r>
      <w:r>
        <w:t xml:space="preserve"> </w:t>
      </w:r>
      <w:r w:rsidRPr="00030D12">
        <w:t>Servicii sociale licențiate pe tipuri de beneficiari și regiuni în 2020</w:t>
      </w:r>
      <w:bookmarkEnd w:id="22"/>
    </w:p>
    <w:tbl>
      <w:tblPr>
        <w:tblStyle w:val="GridTable4-Accent1"/>
        <w:tblW w:w="10075" w:type="dxa"/>
        <w:tblLook w:val="04A0" w:firstRow="1" w:lastRow="0" w:firstColumn="1" w:lastColumn="0" w:noHBand="0" w:noVBand="1"/>
      </w:tblPr>
      <w:tblGrid>
        <w:gridCol w:w="2425"/>
        <w:gridCol w:w="960"/>
        <w:gridCol w:w="1049"/>
        <w:gridCol w:w="1145"/>
        <w:gridCol w:w="1049"/>
        <w:gridCol w:w="992"/>
        <w:gridCol w:w="1049"/>
        <w:gridCol w:w="737"/>
        <w:gridCol w:w="669"/>
      </w:tblGrid>
      <w:tr w:rsidR="00934806" w:rsidRPr="00510308" w14:paraId="7C3DD8D5" w14:textId="77777777" w:rsidTr="0037440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14:paraId="3F2C0A10" w14:textId="77777777" w:rsidR="00934806" w:rsidRPr="00510308" w:rsidRDefault="00934806" w:rsidP="00374409">
            <w:pPr>
              <w:jc w:val="center"/>
              <w:rPr>
                <w:rFonts w:eastAsia="Times New Roman" w:cstheme="minorHAnsi"/>
                <w:sz w:val="18"/>
                <w:szCs w:val="18"/>
              </w:rPr>
            </w:pPr>
            <w:r w:rsidRPr="00510308">
              <w:rPr>
                <w:rFonts w:eastAsia="Times New Roman" w:cstheme="minorHAnsi"/>
                <w:sz w:val="18"/>
                <w:szCs w:val="18"/>
              </w:rPr>
              <w:t>Regiune</w:t>
            </w:r>
          </w:p>
        </w:tc>
        <w:tc>
          <w:tcPr>
            <w:tcW w:w="960" w:type="dxa"/>
            <w:noWrap/>
            <w:hideMark/>
          </w:tcPr>
          <w:p w14:paraId="178AD644" w14:textId="77777777" w:rsidR="00934806" w:rsidRPr="00510308" w:rsidRDefault="00934806" w:rsidP="0037440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510308">
              <w:rPr>
                <w:rFonts w:eastAsia="Times New Roman" w:cstheme="minorHAnsi"/>
                <w:sz w:val="18"/>
                <w:szCs w:val="18"/>
              </w:rPr>
              <w:t>Copii și familii</w:t>
            </w:r>
            <w:r w:rsidRPr="00510308">
              <w:rPr>
                <w:rFonts w:eastAsia="Times New Roman" w:cstheme="minorHAnsi"/>
                <w:sz w:val="18"/>
                <w:szCs w:val="18"/>
              </w:rPr>
              <w:br/>
              <w:t>cu copii</w:t>
            </w:r>
          </w:p>
        </w:tc>
        <w:tc>
          <w:tcPr>
            <w:tcW w:w="1049" w:type="dxa"/>
            <w:noWrap/>
            <w:hideMark/>
          </w:tcPr>
          <w:p w14:paraId="444AA8FF" w14:textId="77777777" w:rsidR="00934806" w:rsidRPr="00510308" w:rsidRDefault="00934806" w:rsidP="0037440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510308">
              <w:rPr>
                <w:rFonts w:eastAsia="Times New Roman" w:cstheme="minorHAnsi"/>
                <w:sz w:val="18"/>
                <w:szCs w:val="18"/>
              </w:rPr>
              <w:t>Persoane vârstnice</w:t>
            </w:r>
          </w:p>
        </w:tc>
        <w:tc>
          <w:tcPr>
            <w:tcW w:w="1145" w:type="dxa"/>
            <w:noWrap/>
            <w:hideMark/>
          </w:tcPr>
          <w:p w14:paraId="7F42249C" w14:textId="77777777" w:rsidR="00934806" w:rsidRPr="00510308" w:rsidRDefault="00934806" w:rsidP="0037440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510308">
              <w:rPr>
                <w:rFonts w:eastAsia="Times New Roman" w:cstheme="minorHAnsi"/>
                <w:sz w:val="18"/>
                <w:szCs w:val="18"/>
              </w:rPr>
              <w:t>Persoane cu dizabilități</w:t>
            </w:r>
          </w:p>
        </w:tc>
        <w:tc>
          <w:tcPr>
            <w:tcW w:w="1049" w:type="dxa"/>
            <w:noWrap/>
            <w:hideMark/>
          </w:tcPr>
          <w:p w14:paraId="27837D0B" w14:textId="77777777" w:rsidR="00934806" w:rsidRPr="00510308" w:rsidRDefault="00934806" w:rsidP="0037440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510308">
              <w:rPr>
                <w:rFonts w:eastAsia="Times New Roman" w:cstheme="minorHAnsi"/>
                <w:sz w:val="18"/>
                <w:szCs w:val="18"/>
              </w:rPr>
              <w:t>Persoane fără adăpost</w:t>
            </w:r>
          </w:p>
        </w:tc>
        <w:tc>
          <w:tcPr>
            <w:tcW w:w="992" w:type="dxa"/>
            <w:noWrap/>
            <w:hideMark/>
          </w:tcPr>
          <w:p w14:paraId="7A60D8F2" w14:textId="77777777" w:rsidR="00934806" w:rsidRPr="00510308" w:rsidRDefault="00934806" w:rsidP="0037440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510308">
              <w:rPr>
                <w:rFonts w:eastAsia="Times New Roman" w:cstheme="minorHAnsi"/>
                <w:sz w:val="18"/>
                <w:szCs w:val="18"/>
              </w:rPr>
              <w:t>Victime ale violenței în familie</w:t>
            </w:r>
          </w:p>
        </w:tc>
        <w:tc>
          <w:tcPr>
            <w:tcW w:w="1049" w:type="dxa"/>
            <w:noWrap/>
            <w:hideMark/>
          </w:tcPr>
          <w:p w14:paraId="706FC6D4" w14:textId="77777777" w:rsidR="00934806" w:rsidRPr="00510308" w:rsidRDefault="00934806" w:rsidP="0037440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510308">
              <w:rPr>
                <w:rFonts w:eastAsia="Times New Roman" w:cstheme="minorHAnsi"/>
                <w:sz w:val="18"/>
                <w:szCs w:val="18"/>
              </w:rPr>
              <w:t>Persoane cu diferite adicții</w:t>
            </w:r>
          </w:p>
        </w:tc>
        <w:tc>
          <w:tcPr>
            <w:tcW w:w="737" w:type="dxa"/>
            <w:noWrap/>
            <w:hideMark/>
          </w:tcPr>
          <w:p w14:paraId="0B2BAA3B" w14:textId="77777777" w:rsidR="00934806" w:rsidRPr="00510308" w:rsidRDefault="00934806" w:rsidP="0037440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510308">
              <w:rPr>
                <w:rFonts w:eastAsia="Times New Roman" w:cstheme="minorHAnsi"/>
                <w:sz w:val="18"/>
                <w:szCs w:val="18"/>
              </w:rPr>
              <w:t>Altele</w:t>
            </w:r>
          </w:p>
        </w:tc>
        <w:tc>
          <w:tcPr>
            <w:tcW w:w="669" w:type="dxa"/>
            <w:noWrap/>
            <w:hideMark/>
          </w:tcPr>
          <w:p w14:paraId="252E4C9D" w14:textId="77777777" w:rsidR="00934806" w:rsidRPr="00510308" w:rsidRDefault="00934806" w:rsidP="0037440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510308">
              <w:rPr>
                <w:rFonts w:eastAsia="Times New Roman" w:cstheme="minorHAnsi"/>
                <w:sz w:val="18"/>
                <w:szCs w:val="18"/>
              </w:rPr>
              <w:t>Total</w:t>
            </w:r>
          </w:p>
        </w:tc>
      </w:tr>
      <w:tr w:rsidR="00934806" w:rsidRPr="00510308" w14:paraId="6D85FC9D" w14:textId="77777777" w:rsidTr="003744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14:paraId="6BB44D40" w14:textId="77777777" w:rsidR="00934806" w:rsidRPr="00510308" w:rsidRDefault="00934806" w:rsidP="00716EBA">
            <w:pPr>
              <w:jc w:val="left"/>
              <w:rPr>
                <w:rFonts w:eastAsia="Times New Roman" w:cstheme="minorHAnsi"/>
                <w:b w:val="0"/>
                <w:bCs w:val="0"/>
                <w:color w:val="000000"/>
                <w:sz w:val="18"/>
                <w:szCs w:val="18"/>
              </w:rPr>
            </w:pPr>
            <w:r w:rsidRPr="00510308">
              <w:rPr>
                <w:rFonts w:eastAsia="Times New Roman" w:cstheme="minorHAnsi"/>
                <w:b w:val="0"/>
                <w:bCs w:val="0"/>
                <w:color w:val="000000"/>
                <w:sz w:val="18"/>
                <w:szCs w:val="18"/>
              </w:rPr>
              <w:t>Regiunea Nord-Est</w:t>
            </w:r>
          </w:p>
        </w:tc>
        <w:tc>
          <w:tcPr>
            <w:tcW w:w="960" w:type="dxa"/>
            <w:noWrap/>
            <w:hideMark/>
          </w:tcPr>
          <w:p w14:paraId="7F048369"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399</w:t>
            </w:r>
          </w:p>
        </w:tc>
        <w:tc>
          <w:tcPr>
            <w:tcW w:w="1049" w:type="dxa"/>
            <w:noWrap/>
            <w:hideMark/>
          </w:tcPr>
          <w:p w14:paraId="6B325A63"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147</w:t>
            </w:r>
          </w:p>
        </w:tc>
        <w:tc>
          <w:tcPr>
            <w:tcW w:w="1145" w:type="dxa"/>
            <w:noWrap/>
            <w:hideMark/>
          </w:tcPr>
          <w:p w14:paraId="05C282ED"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71</w:t>
            </w:r>
          </w:p>
        </w:tc>
        <w:tc>
          <w:tcPr>
            <w:tcW w:w="1049" w:type="dxa"/>
            <w:noWrap/>
            <w:hideMark/>
          </w:tcPr>
          <w:p w14:paraId="1225746C"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10</w:t>
            </w:r>
          </w:p>
        </w:tc>
        <w:tc>
          <w:tcPr>
            <w:tcW w:w="992" w:type="dxa"/>
            <w:noWrap/>
            <w:hideMark/>
          </w:tcPr>
          <w:p w14:paraId="41F02129"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11</w:t>
            </w:r>
          </w:p>
        </w:tc>
        <w:tc>
          <w:tcPr>
            <w:tcW w:w="1049" w:type="dxa"/>
            <w:noWrap/>
            <w:hideMark/>
          </w:tcPr>
          <w:p w14:paraId="3434F823"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9</w:t>
            </w:r>
          </w:p>
        </w:tc>
        <w:tc>
          <w:tcPr>
            <w:tcW w:w="737" w:type="dxa"/>
            <w:noWrap/>
            <w:hideMark/>
          </w:tcPr>
          <w:p w14:paraId="6F20332C"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94</w:t>
            </w:r>
          </w:p>
        </w:tc>
        <w:tc>
          <w:tcPr>
            <w:tcW w:w="669" w:type="dxa"/>
            <w:noWrap/>
            <w:hideMark/>
          </w:tcPr>
          <w:p w14:paraId="415824BB"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741</w:t>
            </w:r>
          </w:p>
        </w:tc>
      </w:tr>
      <w:tr w:rsidR="00934806" w:rsidRPr="00510308" w14:paraId="4B808FF9" w14:textId="77777777" w:rsidTr="00374409">
        <w:trPr>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14:paraId="4838F557" w14:textId="77777777" w:rsidR="00934806" w:rsidRPr="00510308" w:rsidRDefault="00934806" w:rsidP="00716EBA">
            <w:pPr>
              <w:jc w:val="left"/>
              <w:rPr>
                <w:rFonts w:eastAsia="Times New Roman" w:cstheme="minorHAnsi"/>
                <w:b w:val="0"/>
                <w:bCs w:val="0"/>
                <w:color w:val="000000"/>
                <w:sz w:val="18"/>
                <w:szCs w:val="18"/>
              </w:rPr>
            </w:pPr>
            <w:r w:rsidRPr="00510308">
              <w:rPr>
                <w:rFonts w:eastAsia="Times New Roman" w:cstheme="minorHAnsi"/>
                <w:b w:val="0"/>
                <w:bCs w:val="0"/>
                <w:color w:val="000000"/>
                <w:sz w:val="18"/>
                <w:szCs w:val="18"/>
              </w:rPr>
              <w:t>Regiunea Sud-Est</w:t>
            </w:r>
          </w:p>
        </w:tc>
        <w:tc>
          <w:tcPr>
            <w:tcW w:w="960" w:type="dxa"/>
            <w:noWrap/>
            <w:hideMark/>
          </w:tcPr>
          <w:p w14:paraId="4C28F06F"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256</w:t>
            </w:r>
          </w:p>
        </w:tc>
        <w:tc>
          <w:tcPr>
            <w:tcW w:w="1049" w:type="dxa"/>
            <w:noWrap/>
            <w:hideMark/>
          </w:tcPr>
          <w:p w14:paraId="599CA664"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101</w:t>
            </w:r>
          </w:p>
        </w:tc>
        <w:tc>
          <w:tcPr>
            <w:tcW w:w="1145" w:type="dxa"/>
            <w:noWrap/>
            <w:hideMark/>
          </w:tcPr>
          <w:p w14:paraId="69A842E3"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75</w:t>
            </w:r>
          </w:p>
        </w:tc>
        <w:tc>
          <w:tcPr>
            <w:tcW w:w="1049" w:type="dxa"/>
            <w:noWrap/>
            <w:hideMark/>
          </w:tcPr>
          <w:p w14:paraId="771AE244"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8</w:t>
            </w:r>
          </w:p>
        </w:tc>
        <w:tc>
          <w:tcPr>
            <w:tcW w:w="992" w:type="dxa"/>
            <w:noWrap/>
            <w:hideMark/>
          </w:tcPr>
          <w:p w14:paraId="5D6748CE"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16</w:t>
            </w:r>
          </w:p>
        </w:tc>
        <w:tc>
          <w:tcPr>
            <w:tcW w:w="1049" w:type="dxa"/>
            <w:noWrap/>
            <w:hideMark/>
          </w:tcPr>
          <w:p w14:paraId="5E60FBA6"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4</w:t>
            </w:r>
          </w:p>
        </w:tc>
        <w:tc>
          <w:tcPr>
            <w:tcW w:w="737" w:type="dxa"/>
            <w:noWrap/>
            <w:hideMark/>
          </w:tcPr>
          <w:p w14:paraId="49A2EFF6"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60</w:t>
            </w:r>
          </w:p>
        </w:tc>
        <w:tc>
          <w:tcPr>
            <w:tcW w:w="669" w:type="dxa"/>
            <w:noWrap/>
            <w:hideMark/>
          </w:tcPr>
          <w:p w14:paraId="0ADC9659"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520</w:t>
            </w:r>
          </w:p>
        </w:tc>
      </w:tr>
      <w:tr w:rsidR="00934806" w:rsidRPr="00510308" w14:paraId="22096169" w14:textId="77777777" w:rsidTr="003744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14:paraId="1E2033C7" w14:textId="77777777" w:rsidR="00934806" w:rsidRPr="00510308" w:rsidRDefault="00934806" w:rsidP="00716EBA">
            <w:pPr>
              <w:jc w:val="left"/>
              <w:rPr>
                <w:rFonts w:eastAsia="Times New Roman" w:cstheme="minorHAnsi"/>
                <w:b w:val="0"/>
                <w:bCs w:val="0"/>
                <w:color w:val="000000"/>
                <w:sz w:val="18"/>
                <w:szCs w:val="18"/>
              </w:rPr>
            </w:pPr>
            <w:r w:rsidRPr="00510308">
              <w:rPr>
                <w:rFonts w:eastAsia="Times New Roman" w:cstheme="minorHAnsi"/>
                <w:b w:val="0"/>
                <w:bCs w:val="0"/>
                <w:color w:val="000000"/>
                <w:sz w:val="18"/>
                <w:szCs w:val="18"/>
              </w:rPr>
              <w:t>Regiunea Sud-Muntenia</w:t>
            </w:r>
          </w:p>
        </w:tc>
        <w:tc>
          <w:tcPr>
            <w:tcW w:w="960" w:type="dxa"/>
            <w:noWrap/>
            <w:hideMark/>
          </w:tcPr>
          <w:p w14:paraId="546F177C"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288</w:t>
            </w:r>
          </w:p>
        </w:tc>
        <w:tc>
          <w:tcPr>
            <w:tcW w:w="1049" w:type="dxa"/>
            <w:noWrap/>
            <w:hideMark/>
          </w:tcPr>
          <w:p w14:paraId="44E4C0BF"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101</w:t>
            </w:r>
          </w:p>
        </w:tc>
        <w:tc>
          <w:tcPr>
            <w:tcW w:w="1145" w:type="dxa"/>
            <w:noWrap/>
            <w:hideMark/>
          </w:tcPr>
          <w:p w14:paraId="16C32AEB"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66</w:t>
            </w:r>
          </w:p>
        </w:tc>
        <w:tc>
          <w:tcPr>
            <w:tcW w:w="1049" w:type="dxa"/>
            <w:noWrap/>
            <w:hideMark/>
          </w:tcPr>
          <w:p w14:paraId="58523071"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11</w:t>
            </w:r>
          </w:p>
        </w:tc>
        <w:tc>
          <w:tcPr>
            <w:tcW w:w="992" w:type="dxa"/>
            <w:noWrap/>
            <w:hideMark/>
          </w:tcPr>
          <w:p w14:paraId="64194C4B"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16</w:t>
            </w:r>
          </w:p>
        </w:tc>
        <w:tc>
          <w:tcPr>
            <w:tcW w:w="1049" w:type="dxa"/>
            <w:noWrap/>
            <w:hideMark/>
          </w:tcPr>
          <w:p w14:paraId="3990D301"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8</w:t>
            </w:r>
          </w:p>
        </w:tc>
        <w:tc>
          <w:tcPr>
            <w:tcW w:w="737" w:type="dxa"/>
            <w:noWrap/>
            <w:hideMark/>
          </w:tcPr>
          <w:p w14:paraId="03FBAD93"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70</w:t>
            </w:r>
          </w:p>
        </w:tc>
        <w:tc>
          <w:tcPr>
            <w:tcW w:w="669" w:type="dxa"/>
            <w:noWrap/>
            <w:hideMark/>
          </w:tcPr>
          <w:p w14:paraId="693E9C91"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560</w:t>
            </w:r>
          </w:p>
        </w:tc>
      </w:tr>
      <w:tr w:rsidR="00934806" w:rsidRPr="00510308" w14:paraId="7E19AEAB" w14:textId="77777777" w:rsidTr="00374409">
        <w:trPr>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14:paraId="5CEAC0D9" w14:textId="77777777" w:rsidR="00934806" w:rsidRPr="00510308" w:rsidRDefault="00934806" w:rsidP="00716EBA">
            <w:pPr>
              <w:jc w:val="left"/>
              <w:rPr>
                <w:rFonts w:eastAsia="Times New Roman" w:cstheme="minorHAnsi"/>
                <w:b w:val="0"/>
                <w:bCs w:val="0"/>
                <w:color w:val="000000"/>
                <w:sz w:val="18"/>
                <w:szCs w:val="18"/>
              </w:rPr>
            </w:pPr>
            <w:r w:rsidRPr="00510308">
              <w:rPr>
                <w:rFonts w:eastAsia="Times New Roman" w:cstheme="minorHAnsi"/>
                <w:b w:val="0"/>
                <w:bCs w:val="0"/>
                <w:color w:val="000000"/>
                <w:sz w:val="18"/>
                <w:szCs w:val="18"/>
              </w:rPr>
              <w:t>Regiunea Sud-Vest Oltenia</w:t>
            </w:r>
          </w:p>
        </w:tc>
        <w:tc>
          <w:tcPr>
            <w:tcW w:w="960" w:type="dxa"/>
            <w:noWrap/>
            <w:hideMark/>
          </w:tcPr>
          <w:p w14:paraId="34F53E84"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202</w:t>
            </w:r>
          </w:p>
        </w:tc>
        <w:tc>
          <w:tcPr>
            <w:tcW w:w="1049" w:type="dxa"/>
            <w:noWrap/>
            <w:hideMark/>
          </w:tcPr>
          <w:p w14:paraId="3F6C2731"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54</w:t>
            </w:r>
          </w:p>
        </w:tc>
        <w:tc>
          <w:tcPr>
            <w:tcW w:w="1145" w:type="dxa"/>
            <w:noWrap/>
            <w:hideMark/>
          </w:tcPr>
          <w:p w14:paraId="33286974"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43</w:t>
            </w:r>
          </w:p>
        </w:tc>
        <w:tc>
          <w:tcPr>
            <w:tcW w:w="1049" w:type="dxa"/>
            <w:noWrap/>
            <w:hideMark/>
          </w:tcPr>
          <w:p w14:paraId="30625B23"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5</w:t>
            </w:r>
          </w:p>
        </w:tc>
        <w:tc>
          <w:tcPr>
            <w:tcW w:w="992" w:type="dxa"/>
            <w:noWrap/>
            <w:hideMark/>
          </w:tcPr>
          <w:p w14:paraId="484F18F1"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11</w:t>
            </w:r>
          </w:p>
        </w:tc>
        <w:tc>
          <w:tcPr>
            <w:tcW w:w="1049" w:type="dxa"/>
            <w:noWrap/>
            <w:hideMark/>
          </w:tcPr>
          <w:p w14:paraId="1D7CBD7B"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5</w:t>
            </w:r>
          </w:p>
        </w:tc>
        <w:tc>
          <w:tcPr>
            <w:tcW w:w="737" w:type="dxa"/>
            <w:noWrap/>
            <w:hideMark/>
          </w:tcPr>
          <w:p w14:paraId="557DC8B0"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45</w:t>
            </w:r>
          </w:p>
        </w:tc>
        <w:tc>
          <w:tcPr>
            <w:tcW w:w="669" w:type="dxa"/>
            <w:noWrap/>
            <w:hideMark/>
          </w:tcPr>
          <w:p w14:paraId="5588D9D5"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365</w:t>
            </w:r>
          </w:p>
        </w:tc>
      </w:tr>
      <w:tr w:rsidR="00934806" w:rsidRPr="00510308" w14:paraId="4C9332D6" w14:textId="77777777" w:rsidTr="003744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14:paraId="3A4EE4B6" w14:textId="77777777" w:rsidR="00934806" w:rsidRPr="00510308" w:rsidRDefault="00934806" w:rsidP="00716EBA">
            <w:pPr>
              <w:jc w:val="left"/>
              <w:rPr>
                <w:rFonts w:eastAsia="Times New Roman" w:cstheme="minorHAnsi"/>
                <w:b w:val="0"/>
                <w:bCs w:val="0"/>
                <w:color w:val="000000"/>
                <w:sz w:val="18"/>
                <w:szCs w:val="18"/>
              </w:rPr>
            </w:pPr>
            <w:r w:rsidRPr="00510308">
              <w:rPr>
                <w:rFonts w:eastAsia="Times New Roman" w:cstheme="minorHAnsi"/>
                <w:b w:val="0"/>
                <w:bCs w:val="0"/>
                <w:color w:val="000000"/>
                <w:sz w:val="18"/>
                <w:szCs w:val="18"/>
              </w:rPr>
              <w:t>Regiunea Vest</w:t>
            </w:r>
          </w:p>
        </w:tc>
        <w:tc>
          <w:tcPr>
            <w:tcW w:w="960" w:type="dxa"/>
            <w:noWrap/>
            <w:hideMark/>
          </w:tcPr>
          <w:p w14:paraId="7FA8E711"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226</w:t>
            </w:r>
          </w:p>
        </w:tc>
        <w:tc>
          <w:tcPr>
            <w:tcW w:w="1049" w:type="dxa"/>
            <w:noWrap/>
            <w:hideMark/>
          </w:tcPr>
          <w:p w14:paraId="0DB565EC"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142</w:t>
            </w:r>
          </w:p>
        </w:tc>
        <w:tc>
          <w:tcPr>
            <w:tcW w:w="1145" w:type="dxa"/>
            <w:noWrap/>
            <w:hideMark/>
          </w:tcPr>
          <w:p w14:paraId="0313D432"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46</w:t>
            </w:r>
          </w:p>
        </w:tc>
        <w:tc>
          <w:tcPr>
            <w:tcW w:w="1049" w:type="dxa"/>
            <w:noWrap/>
            <w:hideMark/>
          </w:tcPr>
          <w:p w14:paraId="2AC04441"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7</w:t>
            </w:r>
          </w:p>
        </w:tc>
        <w:tc>
          <w:tcPr>
            <w:tcW w:w="992" w:type="dxa"/>
            <w:noWrap/>
            <w:hideMark/>
          </w:tcPr>
          <w:p w14:paraId="2D072D09"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6</w:t>
            </w:r>
          </w:p>
        </w:tc>
        <w:tc>
          <w:tcPr>
            <w:tcW w:w="1049" w:type="dxa"/>
            <w:noWrap/>
            <w:hideMark/>
          </w:tcPr>
          <w:p w14:paraId="07577E53"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1</w:t>
            </w:r>
          </w:p>
        </w:tc>
        <w:tc>
          <w:tcPr>
            <w:tcW w:w="737" w:type="dxa"/>
            <w:noWrap/>
            <w:hideMark/>
          </w:tcPr>
          <w:p w14:paraId="4295F7A4"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71</w:t>
            </w:r>
          </w:p>
        </w:tc>
        <w:tc>
          <w:tcPr>
            <w:tcW w:w="669" w:type="dxa"/>
            <w:noWrap/>
            <w:hideMark/>
          </w:tcPr>
          <w:p w14:paraId="0E4A1EFB"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499</w:t>
            </w:r>
          </w:p>
        </w:tc>
      </w:tr>
      <w:tr w:rsidR="00934806" w:rsidRPr="00510308" w14:paraId="5E19BA93" w14:textId="77777777" w:rsidTr="00374409">
        <w:trPr>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14:paraId="461229A9" w14:textId="77777777" w:rsidR="00934806" w:rsidRPr="00510308" w:rsidRDefault="00934806" w:rsidP="00716EBA">
            <w:pPr>
              <w:jc w:val="left"/>
              <w:rPr>
                <w:rFonts w:eastAsia="Times New Roman" w:cstheme="minorHAnsi"/>
                <w:b w:val="0"/>
                <w:bCs w:val="0"/>
                <w:color w:val="000000"/>
                <w:sz w:val="18"/>
                <w:szCs w:val="18"/>
              </w:rPr>
            </w:pPr>
            <w:r w:rsidRPr="00510308">
              <w:rPr>
                <w:rFonts w:eastAsia="Times New Roman" w:cstheme="minorHAnsi"/>
                <w:b w:val="0"/>
                <w:bCs w:val="0"/>
                <w:color w:val="000000"/>
                <w:sz w:val="18"/>
                <w:szCs w:val="18"/>
              </w:rPr>
              <w:t>Regiunea Nord-Vest</w:t>
            </w:r>
          </w:p>
        </w:tc>
        <w:tc>
          <w:tcPr>
            <w:tcW w:w="960" w:type="dxa"/>
            <w:noWrap/>
            <w:hideMark/>
          </w:tcPr>
          <w:p w14:paraId="41D52424"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299</w:t>
            </w:r>
          </w:p>
        </w:tc>
        <w:tc>
          <w:tcPr>
            <w:tcW w:w="1049" w:type="dxa"/>
            <w:noWrap/>
            <w:hideMark/>
          </w:tcPr>
          <w:p w14:paraId="28D85A90"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211</w:t>
            </w:r>
          </w:p>
        </w:tc>
        <w:tc>
          <w:tcPr>
            <w:tcW w:w="1145" w:type="dxa"/>
            <w:noWrap/>
            <w:hideMark/>
          </w:tcPr>
          <w:p w14:paraId="0F1705DB"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81</w:t>
            </w:r>
          </w:p>
        </w:tc>
        <w:tc>
          <w:tcPr>
            <w:tcW w:w="1049" w:type="dxa"/>
            <w:noWrap/>
            <w:hideMark/>
          </w:tcPr>
          <w:p w14:paraId="0148573D"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17</w:t>
            </w:r>
          </w:p>
        </w:tc>
        <w:tc>
          <w:tcPr>
            <w:tcW w:w="992" w:type="dxa"/>
            <w:noWrap/>
            <w:hideMark/>
          </w:tcPr>
          <w:p w14:paraId="4F4766DF"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11</w:t>
            </w:r>
          </w:p>
        </w:tc>
        <w:tc>
          <w:tcPr>
            <w:tcW w:w="1049" w:type="dxa"/>
            <w:noWrap/>
            <w:hideMark/>
          </w:tcPr>
          <w:p w14:paraId="01425D32"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7</w:t>
            </w:r>
          </w:p>
        </w:tc>
        <w:tc>
          <w:tcPr>
            <w:tcW w:w="737" w:type="dxa"/>
            <w:noWrap/>
            <w:hideMark/>
          </w:tcPr>
          <w:p w14:paraId="69FE007B"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150</w:t>
            </w:r>
          </w:p>
        </w:tc>
        <w:tc>
          <w:tcPr>
            <w:tcW w:w="669" w:type="dxa"/>
            <w:noWrap/>
            <w:hideMark/>
          </w:tcPr>
          <w:p w14:paraId="50656D2A"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776</w:t>
            </w:r>
          </w:p>
        </w:tc>
      </w:tr>
      <w:tr w:rsidR="00934806" w:rsidRPr="00510308" w14:paraId="700EA6E0" w14:textId="77777777" w:rsidTr="003744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14:paraId="1C177CD6" w14:textId="77777777" w:rsidR="00934806" w:rsidRPr="00510308" w:rsidRDefault="00934806" w:rsidP="00716EBA">
            <w:pPr>
              <w:jc w:val="left"/>
              <w:rPr>
                <w:rFonts w:eastAsia="Times New Roman" w:cstheme="minorHAnsi"/>
                <w:b w:val="0"/>
                <w:bCs w:val="0"/>
                <w:color w:val="000000"/>
                <w:sz w:val="18"/>
                <w:szCs w:val="18"/>
              </w:rPr>
            </w:pPr>
            <w:r w:rsidRPr="00510308">
              <w:rPr>
                <w:rFonts w:eastAsia="Times New Roman" w:cstheme="minorHAnsi"/>
                <w:b w:val="0"/>
                <w:bCs w:val="0"/>
                <w:color w:val="000000"/>
                <w:sz w:val="18"/>
                <w:szCs w:val="18"/>
              </w:rPr>
              <w:t>Regiunea Centru</w:t>
            </w:r>
          </w:p>
        </w:tc>
        <w:tc>
          <w:tcPr>
            <w:tcW w:w="960" w:type="dxa"/>
            <w:noWrap/>
            <w:hideMark/>
          </w:tcPr>
          <w:p w14:paraId="4C1CD2A4"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404</w:t>
            </w:r>
          </w:p>
        </w:tc>
        <w:tc>
          <w:tcPr>
            <w:tcW w:w="1049" w:type="dxa"/>
            <w:noWrap/>
            <w:hideMark/>
          </w:tcPr>
          <w:p w14:paraId="08C9C090"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204</w:t>
            </w:r>
          </w:p>
        </w:tc>
        <w:tc>
          <w:tcPr>
            <w:tcW w:w="1145" w:type="dxa"/>
            <w:noWrap/>
            <w:hideMark/>
          </w:tcPr>
          <w:p w14:paraId="3EED05C4"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105</w:t>
            </w:r>
          </w:p>
        </w:tc>
        <w:tc>
          <w:tcPr>
            <w:tcW w:w="1049" w:type="dxa"/>
            <w:noWrap/>
            <w:hideMark/>
          </w:tcPr>
          <w:p w14:paraId="2603058C"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12</w:t>
            </w:r>
          </w:p>
        </w:tc>
        <w:tc>
          <w:tcPr>
            <w:tcW w:w="992" w:type="dxa"/>
            <w:noWrap/>
            <w:hideMark/>
          </w:tcPr>
          <w:p w14:paraId="5CF8A16D"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19</w:t>
            </w:r>
          </w:p>
        </w:tc>
        <w:tc>
          <w:tcPr>
            <w:tcW w:w="1049" w:type="dxa"/>
            <w:noWrap/>
            <w:hideMark/>
          </w:tcPr>
          <w:p w14:paraId="4955BD12"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8</w:t>
            </w:r>
          </w:p>
        </w:tc>
        <w:tc>
          <w:tcPr>
            <w:tcW w:w="737" w:type="dxa"/>
            <w:noWrap/>
            <w:hideMark/>
          </w:tcPr>
          <w:p w14:paraId="794339A5"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111</w:t>
            </w:r>
          </w:p>
        </w:tc>
        <w:tc>
          <w:tcPr>
            <w:tcW w:w="669" w:type="dxa"/>
            <w:noWrap/>
            <w:hideMark/>
          </w:tcPr>
          <w:p w14:paraId="2307748A" w14:textId="77777777" w:rsidR="00934806" w:rsidRPr="00510308"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863</w:t>
            </w:r>
          </w:p>
        </w:tc>
      </w:tr>
      <w:tr w:rsidR="00934806" w:rsidRPr="00510308" w14:paraId="7383DA95" w14:textId="77777777" w:rsidTr="00374409">
        <w:trPr>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14:paraId="7D24C9EB" w14:textId="77777777" w:rsidR="00934806" w:rsidRPr="00510308" w:rsidRDefault="00934806" w:rsidP="00716EBA">
            <w:pPr>
              <w:jc w:val="left"/>
              <w:rPr>
                <w:rFonts w:eastAsia="Times New Roman" w:cstheme="minorHAnsi"/>
                <w:b w:val="0"/>
                <w:bCs w:val="0"/>
                <w:color w:val="000000"/>
                <w:sz w:val="18"/>
                <w:szCs w:val="18"/>
              </w:rPr>
            </w:pPr>
            <w:r w:rsidRPr="00510308">
              <w:rPr>
                <w:rFonts w:eastAsia="Times New Roman" w:cstheme="minorHAnsi"/>
                <w:b w:val="0"/>
                <w:bCs w:val="0"/>
                <w:color w:val="000000"/>
                <w:sz w:val="18"/>
                <w:szCs w:val="18"/>
              </w:rPr>
              <w:t>Regiunea București-Ilfov</w:t>
            </w:r>
          </w:p>
        </w:tc>
        <w:tc>
          <w:tcPr>
            <w:tcW w:w="960" w:type="dxa"/>
            <w:noWrap/>
            <w:hideMark/>
          </w:tcPr>
          <w:p w14:paraId="076347F7"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211</w:t>
            </w:r>
          </w:p>
        </w:tc>
        <w:tc>
          <w:tcPr>
            <w:tcW w:w="1049" w:type="dxa"/>
            <w:noWrap/>
            <w:hideMark/>
          </w:tcPr>
          <w:p w14:paraId="06CC917F"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137</w:t>
            </w:r>
          </w:p>
        </w:tc>
        <w:tc>
          <w:tcPr>
            <w:tcW w:w="1145" w:type="dxa"/>
            <w:noWrap/>
            <w:hideMark/>
          </w:tcPr>
          <w:p w14:paraId="70F6628A"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32</w:t>
            </w:r>
          </w:p>
        </w:tc>
        <w:tc>
          <w:tcPr>
            <w:tcW w:w="1049" w:type="dxa"/>
            <w:noWrap/>
            <w:hideMark/>
          </w:tcPr>
          <w:p w14:paraId="372F4B2F"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11</w:t>
            </w:r>
          </w:p>
        </w:tc>
        <w:tc>
          <w:tcPr>
            <w:tcW w:w="992" w:type="dxa"/>
            <w:noWrap/>
            <w:hideMark/>
          </w:tcPr>
          <w:p w14:paraId="2C641813"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13</w:t>
            </w:r>
          </w:p>
        </w:tc>
        <w:tc>
          <w:tcPr>
            <w:tcW w:w="1049" w:type="dxa"/>
            <w:noWrap/>
            <w:hideMark/>
          </w:tcPr>
          <w:p w14:paraId="16FC6E1E"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7</w:t>
            </w:r>
          </w:p>
        </w:tc>
        <w:tc>
          <w:tcPr>
            <w:tcW w:w="737" w:type="dxa"/>
            <w:noWrap/>
            <w:hideMark/>
          </w:tcPr>
          <w:p w14:paraId="6D1926E0"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57</w:t>
            </w:r>
          </w:p>
        </w:tc>
        <w:tc>
          <w:tcPr>
            <w:tcW w:w="669" w:type="dxa"/>
            <w:noWrap/>
            <w:hideMark/>
          </w:tcPr>
          <w:p w14:paraId="78F53F21" w14:textId="77777777" w:rsidR="00934806" w:rsidRPr="00510308"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10308">
              <w:rPr>
                <w:rFonts w:eastAsia="Times New Roman" w:cstheme="minorHAnsi"/>
                <w:color w:val="000000"/>
                <w:sz w:val="18"/>
                <w:szCs w:val="18"/>
              </w:rPr>
              <w:t>468</w:t>
            </w:r>
          </w:p>
        </w:tc>
      </w:tr>
    </w:tbl>
    <w:p w14:paraId="2465813D" w14:textId="77777777" w:rsidR="00934806" w:rsidRPr="002F6715" w:rsidRDefault="00934806" w:rsidP="002F6715">
      <w:pPr>
        <w:spacing w:after="0"/>
        <w:rPr>
          <w:sz w:val="16"/>
          <w:szCs w:val="16"/>
        </w:rPr>
      </w:pPr>
      <w:r w:rsidRPr="002F6715">
        <w:rPr>
          <w:sz w:val="16"/>
          <w:szCs w:val="16"/>
        </w:rPr>
        <w:t>Sursa: MMPS, Buletin statistic în domeniul Asistenței Sociale 2020</w:t>
      </w:r>
    </w:p>
    <w:p w14:paraId="651BC56B" w14:textId="77777777" w:rsidR="00934806" w:rsidRPr="007D1373" w:rsidRDefault="00934806" w:rsidP="00934806">
      <w:pPr>
        <w:sectPr w:rsidR="00934806" w:rsidRPr="007D1373" w:rsidSect="00442866">
          <w:pgSz w:w="11906" w:h="16838"/>
          <w:pgMar w:top="1440" w:right="1440" w:bottom="1440" w:left="1440" w:header="706" w:footer="706" w:gutter="0"/>
          <w:cols w:space="708"/>
          <w:docGrid w:linePitch="360"/>
        </w:sectPr>
      </w:pPr>
    </w:p>
    <w:p w14:paraId="757185EA" w14:textId="77777777" w:rsidR="00934806" w:rsidRPr="007D1373" w:rsidRDefault="00934806" w:rsidP="00934806">
      <w:pPr>
        <w:rPr>
          <w:lang w:eastAsia="ro-RO"/>
        </w:rPr>
      </w:pPr>
    </w:p>
    <w:p w14:paraId="1F2B5F5D" w14:textId="77777777" w:rsidR="00934806" w:rsidRPr="007D1373" w:rsidRDefault="00934806" w:rsidP="003D5E53">
      <w:pPr>
        <w:pStyle w:val="Heading2"/>
        <w:rPr>
          <w:lang w:eastAsia="ro-RO"/>
        </w:rPr>
      </w:pPr>
      <w:bookmarkStart w:id="23" w:name="_Toc86993590"/>
      <w:r w:rsidRPr="007D1373">
        <w:rPr>
          <w:lang w:eastAsia="ro-RO"/>
        </w:rPr>
        <w:t>Servicii sociale pentru persoane vârstnice</w:t>
      </w:r>
      <w:bookmarkEnd w:id="23"/>
    </w:p>
    <w:p w14:paraId="4C3FAF4C" w14:textId="77777777" w:rsidR="00934806" w:rsidRPr="007D1373" w:rsidRDefault="00934806" w:rsidP="00934806">
      <w:r w:rsidRPr="007D1373">
        <w:t>Analiza defalcată pe tipuri de servicii sociale și socio-medicale pentru vârstnici sau de care aceștia pot beneficia pentru perioada 2017 – 2020 indică o creștere a numărului acestora cu 525 de unități, din care 137 publice și 388 private. (</w:t>
      </w:r>
      <w:r w:rsidRPr="007D1373">
        <w:fldChar w:fldCharType="begin"/>
      </w:r>
      <w:r w:rsidRPr="007D1373">
        <w:instrText xml:space="preserve"> REF _Ref86201648 \h </w:instrText>
      </w:r>
      <w:r w:rsidRPr="007D1373">
        <w:fldChar w:fldCharType="separate"/>
      </w:r>
      <w:r w:rsidRPr="007D1373">
        <w:t xml:space="preserve">Tabelul </w:t>
      </w:r>
      <w:r w:rsidRPr="007D1373">
        <w:rPr>
          <w:noProof/>
        </w:rPr>
        <w:t>7</w:t>
      </w:r>
      <w:r w:rsidRPr="007D1373">
        <w:fldChar w:fldCharType="end"/>
      </w:r>
      <w:r w:rsidRPr="007D1373">
        <w:t xml:space="preserve">) </w:t>
      </w:r>
    </w:p>
    <w:p w14:paraId="4234D8D7" w14:textId="77777777" w:rsidR="00934806" w:rsidRPr="007D1373" w:rsidRDefault="00934806" w:rsidP="00934806">
      <w:r w:rsidRPr="007D1373">
        <w:t>Creșterea numărului de servicii licențiate se înregistrează pe toate categoriile mari: 1) centre rezidenţiale de îngrijire şi asistenţă medico-socială pentru persoane vârstnice, bolnavi cronici în fază terminală; 2) centre rezidenţiale de îngrijire şi asistenţă pentru persoane vârstnice; 3) centre de zi pentru persoane vârstnice; 4) servicii de îngrijire la domiciliu pentru persoane vârstnice, persoane cu dizabilităţi, persoane aflate în situaţie de dependenţă; 5) centre de preparare şi distribuire a hranei pentru persoane în risc de sărăcie; 6) servicii de asistență comunitară. Cea mai mare creștere (298 de unități) se înregistrează pentru căminele pentru persoane vârstnice unde au intrat mulți furnizori privați, inclusiv companii private. Astfel numărul căminelor pentru vârstnici private a crescut cu 293 de unități în cei patru ani, în timp ce cele publice doar cu 5 unități. Numărul unităților de îngrijiri la domiciliu a crescut cu 56 din care 37 publice și 19 private. Cel al serviciilor de asistență comunitară a sporit cu 83 de unități, din care 32 publice și 51 private. (</w:t>
      </w:r>
      <w:r w:rsidRPr="007D1373">
        <w:fldChar w:fldCharType="begin"/>
      </w:r>
      <w:r w:rsidRPr="007D1373">
        <w:instrText xml:space="preserve"> REF _Ref86201648 \h </w:instrText>
      </w:r>
      <w:r w:rsidRPr="007D1373">
        <w:fldChar w:fldCharType="separate"/>
      </w:r>
      <w:r w:rsidRPr="007D1373">
        <w:t xml:space="preserve">Tabelul </w:t>
      </w:r>
      <w:r w:rsidRPr="007D1373">
        <w:rPr>
          <w:noProof/>
        </w:rPr>
        <w:t>7</w:t>
      </w:r>
      <w:r w:rsidRPr="007D1373">
        <w:fldChar w:fldCharType="end"/>
      </w:r>
      <w:r w:rsidRPr="007D1373">
        <w:t>)</w:t>
      </w:r>
    </w:p>
    <w:p w14:paraId="52CC71EC" w14:textId="2C441B9E" w:rsidR="00934806" w:rsidRPr="007D1373" w:rsidRDefault="005B25A4" w:rsidP="005B25A4">
      <w:pPr>
        <w:pStyle w:val="Caption"/>
      </w:pPr>
      <w:bookmarkStart w:id="24" w:name="_Toc86993603"/>
      <w:r>
        <w:t xml:space="preserve">Tabel </w:t>
      </w:r>
      <w:r>
        <w:fldChar w:fldCharType="begin"/>
      </w:r>
      <w:r>
        <w:instrText xml:space="preserve"> SEQ Tabel \* ARABIC </w:instrText>
      </w:r>
      <w:r>
        <w:fldChar w:fldCharType="separate"/>
      </w:r>
      <w:r w:rsidR="0089533D">
        <w:rPr>
          <w:noProof/>
        </w:rPr>
        <w:t>7</w:t>
      </w:r>
      <w:r>
        <w:fldChar w:fldCharType="end"/>
      </w:r>
      <w:r>
        <w:t xml:space="preserve"> </w:t>
      </w:r>
      <w:r w:rsidRPr="00386728">
        <w:t>Servicii sociale pentru persoanele vârstnice</w:t>
      </w:r>
      <w:bookmarkEnd w:id="24"/>
    </w:p>
    <w:tbl>
      <w:tblPr>
        <w:tblStyle w:val="GridTable4-Accent1"/>
        <w:tblW w:w="10121" w:type="dxa"/>
        <w:tblLook w:val="04A0" w:firstRow="1" w:lastRow="0" w:firstColumn="1" w:lastColumn="0" w:noHBand="0" w:noVBand="1"/>
      </w:tblPr>
      <w:tblGrid>
        <w:gridCol w:w="1620"/>
        <w:gridCol w:w="771"/>
        <w:gridCol w:w="684"/>
        <w:gridCol w:w="669"/>
        <w:gridCol w:w="14"/>
        <w:gridCol w:w="757"/>
        <w:gridCol w:w="684"/>
        <w:gridCol w:w="669"/>
        <w:gridCol w:w="771"/>
        <w:gridCol w:w="684"/>
        <w:gridCol w:w="669"/>
        <w:gridCol w:w="771"/>
        <w:gridCol w:w="684"/>
        <w:gridCol w:w="674"/>
      </w:tblGrid>
      <w:tr w:rsidR="00934806" w:rsidRPr="002B255B" w14:paraId="24E33107" w14:textId="77777777" w:rsidTr="002B255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noWrap/>
            <w:hideMark/>
          </w:tcPr>
          <w:p w14:paraId="083B3C90" w14:textId="77777777" w:rsidR="00934806" w:rsidRPr="002B255B" w:rsidRDefault="00934806" w:rsidP="00716EBA">
            <w:pPr>
              <w:jc w:val="center"/>
              <w:rPr>
                <w:rFonts w:ascii="Calibri" w:eastAsia="Times New Roman" w:hAnsi="Calibri" w:cs="Calibri"/>
                <w:b w:val="0"/>
                <w:sz w:val="18"/>
                <w:szCs w:val="18"/>
              </w:rPr>
            </w:pPr>
            <w:r w:rsidRPr="002B255B">
              <w:rPr>
                <w:rFonts w:ascii="Calibri" w:eastAsia="Times New Roman" w:hAnsi="Calibri" w:cs="Calibri"/>
                <w:sz w:val="18"/>
                <w:szCs w:val="18"/>
              </w:rPr>
              <w:t>Tip serviciu</w:t>
            </w:r>
          </w:p>
        </w:tc>
        <w:tc>
          <w:tcPr>
            <w:tcW w:w="2138" w:type="dxa"/>
            <w:gridSpan w:val="4"/>
            <w:noWrap/>
            <w:hideMark/>
          </w:tcPr>
          <w:p w14:paraId="638F0660" w14:textId="77777777" w:rsidR="00934806" w:rsidRPr="002B255B" w:rsidRDefault="00934806" w:rsidP="00716EB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18"/>
                <w:szCs w:val="18"/>
              </w:rPr>
            </w:pPr>
            <w:r w:rsidRPr="002B255B">
              <w:rPr>
                <w:rFonts w:ascii="Calibri" w:eastAsia="Times New Roman" w:hAnsi="Calibri" w:cs="Calibri"/>
                <w:sz w:val="18"/>
                <w:szCs w:val="18"/>
              </w:rPr>
              <w:t>2017</w:t>
            </w:r>
          </w:p>
        </w:tc>
        <w:tc>
          <w:tcPr>
            <w:tcW w:w="2110" w:type="dxa"/>
            <w:gridSpan w:val="3"/>
            <w:noWrap/>
            <w:hideMark/>
          </w:tcPr>
          <w:p w14:paraId="00F47535" w14:textId="77777777" w:rsidR="00934806" w:rsidRPr="002B255B" w:rsidRDefault="00934806" w:rsidP="00716EB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18"/>
                <w:szCs w:val="18"/>
              </w:rPr>
            </w:pPr>
            <w:r w:rsidRPr="002B255B">
              <w:rPr>
                <w:rFonts w:ascii="Calibri" w:eastAsia="Times New Roman" w:hAnsi="Calibri" w:cs="Calibri"/>
                <w:sz w:val="18"/>
                <w:szCs w:val="18"/>
              </w:rPr>
              <w:t>2018</w:t>
            </w:r>
          </w:p>
        </w:tc>
        <w:tc>
          <w:tcPr>
            <w:tcW w:w="2124" w:type="dxa"/>
            <w:gridSpan w:val="3"/>
            <w:noWrap/>
            <w:hideMark/>
          </w:tcPr>
          <w:p w14:paraId="3D412E0C" w14:textId="77777777" w:rsidR="00934806" w:rsidRPr="002B255B" w:rsidRDefault="00934806" w:rsidP="00716EB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18"/>
                <w:szCs w:val="18"/>
              </w:rPr>
            </w:pPr>
            <w:r w:rsidRPr="002B255B">
              <w:rPr>
                <w:rFonts w:ascii="Calibri" w:eastAsia="Times New Roman" w:hAnsi="Calibri" w:cs="Calibri"/>
                <w:sz w:val="18"/>
                <w:szCs w:val="18"/>
              </w:rPr>
              <w:t>2019</w:t>
            </w:r>
          </w:p>
        </w:tc>
        <w:tc>
          <w:tcPr>
            <w:tcW w:w="2129" w:type="dxa"/>
            <w:gridSpan w:val="3"/>
            <w:noWrap/>
            <w:hideMark/>
          </w:tcPr>
          <w:p w14:paraId="08905A41" w14:textId="77777777" w:rsidR="00934806" w:rsidRPr="002B255B" w:rsidRDefault="00934806" w:rsidP="00716EB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18"/>
                <w:szCs w:val="18"/>
              </w:rPr>
            </w:pPr>
            <w:r w:rsidRPr="002B255B">
              <w:rPr>
                <w:rFonts w:ascii="Calibri" w:eastAsia="Times New Roman" w:hAnsi="Calibri" w:cs="Calibri"/>
                <w:sz w:val="18"/>
                <w:szCs w:val="18"/>
              </w:rPr>
              <w:t>2020</w:t>
            </w:r>
          </w:p>
        </w:tc>
      </w:tr>
      <w:tr w:rsidR="00934806" w:rsidRPr="002B255B" w14:paraId="42B155F6" w14:textId="77777777" w:rsidTr="002B25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3ADCA2F9" w14:textId="77777777" w:rsidR="00934806" w:rsidRPr="002B255B" w:rsidRDefault="00934806" w:rsidP="00716EBA">
            <w:pPr>
              <w:jc w:val="center"/>
              <w:rPr>
                <w:rFonts w:ascii="Calibri" w:eastAsia="Times New Roman" w:hAnsi="Calibri" w:cs="Calibri"/>
                <w:b w:val="0"/>
                <w:color w:val="000000"/>
                <w:sz w:val="18"/>
                <w:szCs w:val="18"/>
              </w:rPr>
            </w:pPr>
          </w:p>
        </w:tc>
        <w:tc>
          <w:tcPr>
            <w:tcW w:w="771" w:type="dxa"/>
            <w:noWrap/>
            <w:hideMark/>
          </w:tcPr>
          <w:p w14:paraId="3D650499"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2B255B">
              <w:rPr>
                <w:rFonts w:ascii="Calibri" w:eastAsia="Times New Roman" w:hAnsi="Calibri" w:cs="Calibri"/>
                <w:b/>
                <w:color w:val="000000"/>
                <w:sz w:val="18"/>
                <w:szCs w:val="18"/>
              </w:rPr>
              <w:t>Urban</w:t>
            </w:r>
          </w:p>
        </w:tc>
        <w:tc>
          <w:tcPr>
            <w:tcW w:w="684" w:type="dxa"/>
            <w:noWrap/>
            <w:hideMark/>
          </w:tcPr>
          <w:p w14:paraId="676E28C3"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2B255B">
              <w:rPr>
                <w:rFonts w:ascii="Calibri" w:eastAsia="Times New Roman" w:hAnsi="Calibri" w:cs="Calibri"/>
                <w:b/>
                <w:color w:val="000000"/>
                <w:sz w:val="18"/>
                <w:szCs w:val="18"/>
              </w:rPr>
              <w:t>Rural</w:t>
            </w:r>
          </w:p>
        </w:tc>
        <w:tc>
          <w:tcPr>
            <w:tcW w:w="669" w:type="dxa"/>
            <w:noWrap/>
            <w:hideMark/>
          </w:tcPr>
          <w:p w14:paraId="081EB01D"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2B255B">
              <w:rPr>
                <w:rFonts w:ascii="Calibri" w:eastAsia="Times New Roman" w:hAnsi="Calibri" w:cs="Calibri"/>
                <w:b/>
                <w:color w:val="000000"/>
                <w:sz w:val="18"/>
                <w:szCs w:val="18"/>
              </w:rPr>
              <w:t>Total</w:t>
            </w:r>
          </w:p>
        </w:tc>
        <w:tc>
          <w:tcPr>
            <w:tcW w:w="771" w:type="dxa"/>
            <w:gridSpan w:val="2"/>
            <w:noWrap/>
            <w:hideMark/>
          </w:tcPr>
          <w:p w14:paraId="1C56F1E6"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2B255B">
              <w:rPr>
                <w:rFonts w:ascii="Calibri" w:eastAsia="Times New Roman" w:hAnsi="Calibri" w:cs="Calibri"/>
                <w:b/>
                <w:color w:val="000000"/>
                <w:sz w:val="18"/>
                <w:szCs w:val="18"/>
              </w:rPr>
              <w:t>Urban</w:t>
            </w:r>
          </w:p>
        </w:tc>
        <w:tc>
          <w:tcPr>
            <w:tcW w:w="684" w:type="dxa"/>
            <w:noWrap/>
            <w:hideMark/>
          </w:tcPr>
          <w:p w14:paraId="4E8AC238"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2B255B">
              <w:rPr>
                <w:rFonts w:ascii="Calibri" w:eastAsia="Times New Roman" w:hAnsi="Calibri" w:cs="Calibri"/>
                <w:b/>
                <w:color w:val="000000"/>
                <w:sz w:val="18"/>
                <w:szCs w:val="18"/>
              </w:rPr>
              <w:t>Rural</w:t>
            </w:r>
          </w:p>
        </w:tc>
        <w:tc>
          <w:tcPr>
            <w:tcW w:w="669" w:type="dxa"/>
            <w:noWrap/>
            <w:hideMark/>
          </w:tcPr>
          <w:p w14:paraId="3C49CAFE"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2B255B">
              <w:rPr>
                <w:rFonts w:ascii="Calibri" w:eastAsia="Times New Roman" w:hAnsi="Calibri" w:cs="Calibri"/>
                <w:b/>
                <w:color w:val="000000"/>
                <w:sz w:val="18"/>
                <w:szCs w:val="18"/>
              </w:rPr>
              <w:t>Total</w:t>
            </w:r>
          </w:p>
        </w:tc>
        <w:tc>
          <w:tcPr>
            <w:tcW w:w="771" w:type="dxa"/>
            <w:noWrap/>
            <w:hideMark/>
          </w:tcPr>
          <w:p w14:paraId="75FD3448"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2B255B">
              <w:rPr>
                <w:rFonts w:ascii="Calibri" w:eastAsia="Times New Roman" w:hAnsi="Calibri" w:cs="Calibri"/>
                <w:b/>
                <w:color w:val="000000"/>
                <w:sz w:val="18"/>
                <w:szCs w:val="18"/>
              </w:rPr>
              <w:t>Urban</w:t>
            </w:r>
          </w:p>
        </w:tc>
        <w:tc>
          <w:tcPr>
            <w:tcW w:w="684" w:type="dxa"/>
            <w:noWrap/>
            <w:hideMark/>
          </w:tcPr>
          <w:p w14:paraId="0DCBAF56"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2B255B">
              <w:rPr>
                <w:rFonts w:ascii="Calibri" w:eastAsia="Times New Roman" w:hAnsi="Calibri" w:cs="Calibri"/>
                <w:b/>
                <w:color w:val="000000"/>
                <w:sz w:val="18"/>
                <w:szCs w:val="18"/>
              </w:rPr>
              <w:t>Rural</w:t>
            </w:r>
          </w:p>
        </w:tc>
        <w:tc>
          <w:tcPr>
            <w:tcW w:w="669" w:type="dxa"/>
            <w:noWrap/>
            <w:hideMark/>
          </w:tcPr>
          <w:p w14:paraId="5A122F69"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2B255B">
              <w:rPr>
                <w:rFonts w:ascii="Calibri" w:eastAsia="Times New Roman" w:hAnsi="Calibri" w:cs="Calibri"/>
                <w:b/>
                <w:color w:val="000000"/>
                <w:sz w:val="18"/>
                <w:szCs w:val="18"/>
              </w:rPr>
              <w:t>Total</w:t>
            </w:r>
          </w:p>
        </w:tc>
        <w:tc>
          <w:tcPr>
            <w:tcW w:w="771" w:type="dxa"/>
            <w:noWrap/>
            <w:hideMark/>
          </w:tcPr>
          <w:p w14:paraId="06B1BFB1"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2B255B">
              <w:rPr>
                <w:rFonts w:ascii="Calibri" w:eastAsia="Times New Roman" w:hAnsi="Calibri" w:cs="Calibri"/>
                <w:b/>
                <w:color w:val="000000"/>
                <w:sz w:val="18"/>
                <w:szCs w:val="18"/>
              </w:rPr>
              <w:t>Urban</w:t>
            </w:r>
          </w:p>
        </w:tc>
        <w:tc>
          <w:tcPr>
            <w:tcW w:w="684" w:type="dxa"/>
            <w:noWrap/>
            <w:hideMark/>
          </w:tcPr>
          <w:p w14:paraId="6C139608"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2B255B">
              <w:rPr>
                <w:rFonts w:ascii="Calibri" w:eastAsia="Times New Roman" w:hAnsi="Calibri" w:cs="Calibri"/>
                <w:b/>
                <w:color w:val="000000"/>
                <w:sz w:val="18"/>
                <w:szCs w:val="18"/>
              </w:rPr>
              <w:t>Rural</w:t>
            </w:r>
          </w:p>
        </w:tc>
        <w:tc>
          <w:tcPr>
            <w:tcW w:w="674" w:type="dxa"/>
            <w:noWrap/>
            <w:hideMark/>
          </w:tcPr>
          <w:p w14:paraId="466F9B9B"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2B255B">
              <w:rPr>
                <w:rFonts w:ascii="Calibri" w:eastAsia="Times New Roman" w:hAnsi="Calibri" w:cs="Calibri"/>
                <w:b/>
                <w:color w:val="000000"/>
                <w:sz w:val="18"/>
                <w:szCs w:val="18"/>
              </w:rPr>
              <w:t>Total</w:t>
            </w:r>
          </w:p>
        </w:tc>
      </w:tr>
      <w:tr w:rsidR="00934806" w:rsidRPr="002B255B" w14:paraId="4165E238" w14:textId="77777777" w:rsidTr="002B255B">
        <w:trPr>
          <w:trHeight w:val="300"/>
        </w:trPr>
        <w:tc>
          <w:tcPr>
            <w:cnfStyle w:val="001000000000" w:firstRow="0" w:lastRow="0" w:firstColumn="1" w:lastColumn="0" w:oddVBand="0" w:evenVBand="0" w:oddHBand="0" w:evenHBand="0" w:firstRowFirstColumn="0" w:firstRowLastColumn="0" w:lastRowFirstColumn="0" w:lastRowLastColumn="0"/>
            <w:tcW w:w="1620" w:type="dxa"/>
            <w:hideMark/>
          </w:tcPr>
          <w:p w14:paraId="283B913D" w14:textId="77777777" w:rsidR="00934806" w:rsidRPr="002B255B" w:rsidRDefault="00934806" w:rsidP="00716EBA">
            <w:pPr>
              <w:jc w:val="center"/>
              <w:rPr>
                <w:rFonts w:ascii="Calibri" w:eastAsia="Times New Roman" w:hAnsi="Calibri" w:cs="Calibri"/>
                <w:b w:val="0"/>
                <w:bCs w:val="0"/>
                <w:color w:val="000000"/>
                <w:sz w:val="18"/>
                <w:szCs w:val="18"/>
              </w:rPr>
            </w:pPr>
            <w:r w:rsidRPr="002B255B">
              <w:rPr>
                <w:rFonts w:ascii="Calibri" w:eastAsia="Times New Roman" w:hAnsi="Calibri" w:cs="Calibri"/>
                <w:b w:val="0"/>
                <w:bCs w:val="0"/>
                <w:color w:val="000000"/>
                <w:sz w:val="18"/>
                <w:szCs w:val="18"/>
              </w:rPr>
              <w:t xml:space="preserve">Centre rezidenţiale de îngrijire şi asistenţă medico-socială </w:t>
            </w:r>
          </w:p>
        </w:tc>
        <w:tc>
          <w:tcPr>
            <w:tcW w:w="771" w:type="dxa"/>
            <w:noWrap/>
            <w:hideMark/>
          </w:tcPr>
          <w:p w14:paraId="103FA6F5"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27</w:t>
            </w:r>
          </w:p>
        </w:tc>
        <w:tc>
          <w:tcPr>
            <w:tcW w:w="684" w:type="dxa"/>
            <w:noWrap/>
            <w:hideMark/>
          </w:tcPr>
          <w:p w14:paraId="74F4B7A7"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29</w:t>
            </w:r>
          </w:p>
        </w:tc>
        <w:tc>
          <w:tcPr>
            <w:tcW w:w="669" w:type="dxa"/>
            <w:noWrap/>
            <w:hideMark/>
          </w:tcPr>
          <w:p w14:paraId="6B3679C7"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56</w:t>
            </w:r>
          </w:p>
        </w:tc>
        <w:tc>
          <w:tcPr>
            <w:tcW w:w="771" w:type="dxa"/>
            <w:gridSpan w:val="2"/>
            <w:noWrap/>
            <w:hideMark/>
          </w:tcPr>
          <w:p w14:paraId="23EAA7BA"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27</w:t>
            </w:r>
          </w:p>
        </w:tc>
        <w:tc>
          <w:tcPr>
            <w:tcW w:w="684" w:type="dxa"/>
            <w:noWrap/>
            <w:hideMark/>
          </w:tcPr>
          <w:p w14:paraId="7C315BB7"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29</w:t>
            </w:r>
          </w:p>
        </w:tc>
        <w:tc>
          <w:tcPr>
            <w:tcW w:w="669" w:type="dxa"/>
            <w:noWrap/>
            <w:hideMark/>
          </w:tcPr>
          <w:p w14:paraId="0C9870D2"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56</w:t>
            </w:r>
          </w:p>
        </w:tc>
        <w:tc>
          <w:tcPr>
            <w:tcW w:w="771" w:type="dxa"/>
            <w:noWrap/>
            <w:hideMark/>
          </w:tcPr>
          <w:p w14:paraId="4F2CED26"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28</w:t>
            </w:r>
          </w:p>
        </w:tc>
        <w:tc>
          <w:tcPr>
            <w:tcW w:w="684" w:type="dxa"/>
            <w:noWrap/>
            <w:hideMark/>
          </w:tcPr>
          <w:p w14:paraId="0992A1E0"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30</w:t>
            </w:r>
          </w:p>
        </w:tc>
        <w:tc>
          <w:tcPr>
            <w:tcW w:w="669" w:type="dxa"/>
            <w:noWrap/>
            <w:hideMark/>
          </w:tcPr>
          <w:p w14:paraId="5958C466"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58</w:t>
            </w:r>
          </w:p>
        </w:tc>
        <w:tc>
          <w:tcPr>
            <w:tcW w:w="771" w:type="dxa"/>
            <w:noWrap/>
            <w:hideMark/>
          </w:tcPr>
          <w:p w14:paraId="3D735578"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32</w:t>
            </w:r>
          </w:p>
        </w:tc>
        <w:tc>
          <w:tcPr>
            <w:tcW w:w="684" w:type="dxa"/>
            <w:noWrap/>
            <w:hideMark/>
          </w:tcPr>
          <w:p w14:paraId="0CA2C353"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34</w:t>
            </w:r>
          </w:p>
        </w:tc>
        <w:tc>
          <w:tcPr>
            <w:tcW w:w="674" w:type="dxa"/>
            <w:noWrap/>
            <w:hideMark/>
          </w:tcPr>
          <w:p w14:paraId="5B2BFBC0"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66</w:t>
            </w:r>
          </w:p>
        </w:tc>
      </w:tr>
      <w:tr w:rsidR="00934806" w:rsidRPr="002B255B" w14:paraId="78DB3DD6" w14:textId="77777777" w:rsidTr="002B25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hideMark/>
          </w:tcPr>
          <w:p w14:paraId="7CA466A4" w14:textId="77777777" w:rsidR="00934806" w:rsidRPr="002B255B" w:rsidRDefault="00934806" w:rsidP="00716EBA">
            <w:pPr>
              <w:jc w:val="center"/>
              <w:rPr>
                <w:rFonts w:ascii="Calibri" w:eastAsia="Times New Roman" w:hAnsi="Calibri" w:cs="Calibri"/>
                <w:b w:val="0"/>
                <w:bCs w:val="0"/>
                <w:color w:val="000000"/>
                <w:sz w:val="18"/>
                <w:szCs w:val="18"/>
              </w:rPr>
            </w:pPr>
            <w:r w:rsidRPr="002B255B">
              <w:rPr>
                <w:rFonts w:ascii="Calibri" w:eastAsia="Times New Roman" w:hAnsi="Calibri" w:cs="Calibri"/>
                <w:b w:val="0"/>
                <w:bCs w:val="0"/>
                <w:color w:val="000000"/>
                <w:sz w:val="18"/>
                <w:szCs w:val="18"/>
              </w:rPr>
              <w:t xml:space="preserve">Centre rezidenţiale de îngrijire şi asistenţă </w:t>
            </w:r>
          </w:p>
        </w:tc>
        <w:tc>
          <w:tcPr>
            <w:tcW w:w="771" w:type="dxa"/>
            <w:noWrap/>
            <w:hideMark/>
          </w:tcPr>
          <w:p w14:paraId="4A029BC9"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198</w:t>
            </w:r>
          </w:p>
        </w:tc>
        <w:tc>
          <w:tcPr>
            <w:tcW w:w="684" w:type="dxa"/>
            <w:noWrap/>
            <w:hideMark/>
          </w:tcPr>
          <w:p w14:paraId="611F51BF"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168</w:t>
            </w:r>
          </w:p>
        </w:tc>
        <w:tc>
          <w:tcPr>
            <w:tcW w:w="669" w:type="dxa"/>
            <w:noWrap/>
            <w:hideMark/>
          </w:tcPr>
          <w:p w14:paraId="09900387"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366</w:t>
            </w:r>
          </w:p>
        </w:tc>
        <w:tc>
          <w:tcPr>
            <w:tcW w:w="771" w:type="dxa"/>
            <w:gridSpan w:val="2"/>
            <w:noWrap/>
            <w:hideMark/>
          </w:tcPr>
          <w:p w14:paraId="74E3FE2C"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212</w:t>
            </w:r>
          </w:p>
        </w:tc>
        <w:tc>
          <w:tcPr>
            <w:tcW w:w="684" w:type="dxa"/>
            <w:noWrap/>
            <w:hideMark/>
          </w:tcPr>
          <w:p w14:paraId="699ADDA9"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183</w:t>
            </w:r>
          </w:p>
        </w:tc>
        <w:tc>
          <w:tcPr>
            <w:tcW w:w="669" w:type="dxa"/>
            <w:noWrap/>
            <w:hideMark/>
          </w:tcPr>
          <w:p w14:paraId="75368A03"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395</w:t>
            </w:r>
          </w:p>
        </w:tc>
        <w:tc>
          <w:tcPr>
            <w:tcW w:w="771" w:type="dxa"/>
            <w:noWrap/>
            <w:hideMark/>
          </w:tcPr>
          <w:p w14:paraId="48598B54"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292</w:t>
            </w:r>
          </w:p>
        </w:tc>
        <w:tc>
          <w:tcPr>
            <w:tcW w:w="684" w:type="dxa"/>
            <w:noWrap/>
            <w:hideMark/>
          </w:tcPr>
          <w:p w14:paraId="2E42E145"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239</w:t>
            </w:r>
          </w:p>
        </w:tc>
        <w:tc>
          <w:tcPr>
            <w:tcW w:w="669" w:type="dxa"/>
            <w:noWrap/>
            <w:hideMark/>
          </w:tcPr>
          <w:p w14:paraId="56C8E00B"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531</w:t>
            </w:r>
          </w:p>
        </w:tc>
        <w:tc>
          <w:tcPr>
            <w:tcW w:w="771" w:type="dxa"/>
            <w:noWrap/>
            <w:hideMark/>
          </w:tcPr>
          <w:p w14:paraId="7347E6E0"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368</w:t>
            </w:r>
          </w:p>
        </w:tc>
        <w:tc>
          <w:tcPr>
            <w:tcW w:w="684" w:type="dxa"/>
            <w:noWrap/>
            <w:hideMark/>
          </w:tcPr>
          <w:p w14:paraId="28711A42"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296</w:t>
            </w:r>
          </w:p>
        </w:tc>
        <w:tc>
          <w:tcPr>
            <w:tcW w:w="674" w:type="dxa"/>
            <w:noWrap/>
            <w:hideMark/>
          </w:tcPr>
          <w:p w14:paraId="16092B9F"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664</w:t>
            </w:r>
          </w:p>
        </w:tc>
      </w:tr>
      <w:tr w:rsidR="00934806" w:rsidRPr="002B255B" w14:paraId="4E5B32DE" w14:textId="77777777" w:rsidTr="002B255B">
        <w:trPr>
          <w:trHeight w:val="300"/>
        </w:trPr>
        <w:tc>
          <w:tcPr>
            <w:cnfStyle w:val="001000000000" w:firstRow="0" w:lastRow="0" w:firstColumn="1" w:lastColumn="0" w:oddVBand="0" w:evenVBand="0" w:oddHBand="0" w:evenHBand="0" w:firstRowFirstColumn="0" w:firstRowLastColumn="0" w:lastRowFirstColumn="0" w:lastRowLastColumn="0"/>
            <w:tcW w:w="1620" w:type="dxa"/>
            <w:hideMark/>
          </w:tcPr>
          <w:p w14:paraId="0DE03B19" w14:textId="77777777" w:rsidR="00934806" w:rsidRPr="002B255B" w:rsidRDefault="00934806" w:rsidP="00716EBA">
            <w:pPr>
              <w:jc w:val="center"/>
              <w:rPr>
                <w:rFonts w:ascii="Calibri" w:eastAsia="Times New Roman" w:hAnsi="Calibri" w:cs="Calibri"/>
                <w:b w:val="0"/>
                <w:bCs w:val="0"/>
                <w:color w:val="000000"/>
                <w:sz w:val="18"/>
                <w:szCs w:val="18"/>
              </w:rPr>
            </w:pPr>
            <w:r w:rsidRPr="002B255B">
              <w:rPr>
                <w:rFonts w:ascii="Calibri" w:eastAsia="Times New Roman" w:hAnsi="Calibri" w:cs="Calibri"/>
                <w:b w:val="0"/>
                <w:bCs w:val="0"/>
                <w:color w:val="000000"/>
                <w:sz w:val="18"/>
                <w:szCs w:val="18"/>
              </w:rPr>
              <w:t>Centre de zi pentru persoane vârstnice</w:t>
            </w:r>
          </w:p>
        </w:tc>
        <w:tc>
          <w:tcPr>
            <w:tcW w:w="771" w:type="dxa"/>
            <w:noWrap/>
            <w:hideMark/>
          </w:tcPr>
          <w:p w14:paraId="6E47E766"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90</w:t>
            </w:r>
          </w:p>
        </w:tc>
        <w:tc>
          <w:tcPr>
            <w:tcW w:w="684" w:type="dxa"/>
            <w:noWrap/>
            <w:hideMark/>
          </w:tcPr>
          <w:p w14:paraId="57853288"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21</w:t>
            </w:r>
          </w:p>
        </w:tc>
        <w:tc>
          <w:tcPr>
            <w:tcW w:w="669" w:type="dxa"/>
            <w:noWrap/>
            <w:hideMark/>
          </w:tcPr>
          <w:p w14:paraId="2BF07CA0"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111</w:t>
            </w:r>
          </w:p>
        </w:tc>
        <w:tc>
          <w:tcPr>
            <w:tcW w:w="771" w:type="dxa"/>
            <w:gridSpan w:val="2"/>
            <w:noWrap/>
            <w:hideMark/>
          </w:tcPr>
          <w:p w14:paraId="43E9CB35"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93</w:t>
            </w:r>
          </w:p>
        </w:tc>
        <w:tc>
          <w:tcPr>
            <w:tcW w:w="684" w:type="dxa"/>
            <w:noWrap/>
            <w:hideMark/>
          </w:tcPr>
          <w:p w14:paraId="7B259C39"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23</w:t>
            </w:r>
          </w:p>
        </w:tc>
        <w:tc>
          <w:tcPr>
            <w:tcW w:w="669" w:type="dxa"/>
            <w:noWrap/>
            <w:hideMark/>
          </w:tcPr>
          <w:p w14:paraId="6CE72D17"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116</w:t>
            </w:r>
          </w:p>
        </w:tc>
        <w:tc>
          <w:tcPr>
            <w:tcW w:w="771" w:type="dxa"/>
            <w:noWrap/>
            <w:hideMark/>
          </w:tcPr>
          <w:p w14:paraId="7BB9CB41"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103</w:t>
            </w:r>
          </w:p>
        </w:tc>
        <w:tc>
          <w:tcPr>
            <w:tcW w:w="684" w:type="dxa"/>
            <w:noWrap/>
            <w:hideMark/>
          </w:tcPr>
          <w:p w14:paraId="21B77F37"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28</w:t>
            </w:r>
          </w:p>
        </w:tc>
        <w:tc>
          <w:tcPr>
            <w:tcW w:w="669" w:type="dxa"/>
            <w:noWrap/>
            <w:hideMark/>
          </w:tcPr>
          <w:p w14:paraId="17982B89"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131</w:t>
            </w:r>
          </w:p>
        </w:tc>
        <w:tc>
          <w:tcPr>
            <w:tcW w:w="771" w:type="dxa"/>
            <w:noWrap/>
            <w:hideMark/>
          </w:tcPr>
          <w:p w14:paraId="43CAF658"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115</w:t>
            </w:r>
          </w:p>
        </w:tc>
        <w:tc>
          <w:tcPr>
            <w:tcW w:w="684" w:type="dxa"/>
            <w:noWrap/>
            <w:hideMark/>
          </w:tcPr>
          <w:p w14:paraId="5C59640F"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37</w:t>
            </w:r>
          </w:p>
        </w:tc>
        <w:tc>
          <w:tcPr>
            <w:tcW w:w="674" w:type="dxa"/>
            <w:noWrap/>
            <w:hideMark/>
          </w:tcPr>
          <w:p w14:paraId="6C608856"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152</w:t>
            </w:r>
          </w:p>
        </w:tc>
      </w:tr>
      <w:tr w:rsidR="00934806" w:rsidRPr="002B255B" w14:paraId="0919FC9B" w14:textId="77777777" w:rsidTr="002B25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hideMark/>
          </w:tcPr>
          <w:p w14:paraId="1BBB5095" w14:textId="77777777" w:rsidR="00934806" w:rsidRPr="002B255B" w:rsidRDefault="00934806" w:rsidP="00716EBA">
            <w:pPr>
              <w:jc w:val="center"/>
              <w:rPr>
                <w:rFonts w:ascii="Calibri" w:eastAsia="Times New Roman" w:hAnsi="Calibri" w:cs="Calibri"/>
                <w:b w:val="0"/>
                <w:bCs w:val="0"/>
                <w:color w:val="000000"/>
                <w:sz w:val="18"/>
                <w:szCs w:val="18"/>
              </w:rPr>
            </w:pPr>
            <w:r w:rsidRPr="002B255B">
              <w:rPr>
                <w:rFonts w:ascii="Calibri" w:eastAsia="Times New Roman" w:hAnsi="Calibri" w:cs="Calibri"/>
                <w:b w:val="0"/>
                <w:bCs w:val="0"/>
                <w:color w:val="000000"/>
                <w:sz w:val="18"/>
                <w:szCs w:val="18"/>
              </w:rPr>
              <w:t xml:space="preserve">Servicii de îngrijire la domiciliu </w:t>
            </w:r>
          </w:p>
        </w:tc>
        <w:tc>
          <w:tcPr>
            <w:tcW w:w="771" w:type="dxa"/>
            <w:noWrap/>
            <w:hideMark/>
          </w:tcPr>
          <w:p w14:paraId="7C0F271D"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155</w:t>
            </w:r>
          </w:p>
        </w:tc>
        <w:tc>
          <w:tcPr>
            <w:tcW w:w="684" w:type="dxa"/>
            <w:noWrap/>
            <w:hideMark/>
          </w:tcPr>
          <w:p w14:paraId="6C5C6C35"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60</w:t>
            </w:r>
          </w:p>
        </w:tc>
        <w:tc>
          <w:tcPr>
            <w:tcW w:w="669" w:type="dxa"/>
            <w:noWrap/>
            <w:hideMark/>
          </w:tcPr>
          <w:p w14:paraId="30B02404"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215</w:t>
            </w:r>
          </w:p>
        </w:tc>
        <w:tc>
          <w:tcPr>
            <w:tcW w:w="771" w:type="dxa"/>
            <w:gridSpan w:val="2"/>
            <w:noWrap/>
            <w:hideMark/>
          </w:tcPr>
          <w:p w14:paraId="7062838B"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163</w:t>
            </w:r>
          </w:p>
        </w:tc>
        <w:tc>
          <w:tcPr>
            <w:tcW w:w="684" w:type="dxa"/>
            <w:noWrap/>
            <w:hideMark/>
          </w:tcPr>
          <w:p w14:paraId="0E5D6063"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63</w:t>
            </w:r>
          </w:p>
        </w:tc>
        <w:tc>
          <w:tcPr>
            <w:tcW w:w="669" w:type="dxa"/>
            <w:noWrap/>
            <w:hideMark/>
          </w:tcPr>
          <w:p w14:paraId="2F47773B"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226</w:t>
            </w:r>
          </w:p>
        </w:tc>
        <w:tc>
          <w:tcPr>
            <w:tcW w:w="771" w:type="dxa"/>
            <w:noWrap/>
            <w:hideMark/>
          </w:tcPr>
          <w:p w14:paraId="63B5CDED"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173</w:t>
            </w:r>
          </w:p>
        </w:tc>
        <w:tc>
          <w:tcPr>
            <w:tcW w:w="684" w:type="dxa"/>
            <w:noWrap/>
            <w:hideMark/>
          </w:tcPr>
          <w:p w14:paraId="50A9DF7A"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77</w:t>
            </w:r>
          </w:p>
        </w:tc>
        <w:tc>
          <w:tcPr>
            <w:tcW w:w="669" w:type="dxa"/>
            <w:noWrap/>
            <w:hideMark/>
          </w:tcPr>
          <w:p w14:paraId="1FEF381E"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250</w:t>
            </w:r>
          </w:p>
        </w:tc>
        <w:tc>
          <w:tcPr>
            <w:tcW w:w="771" w:type="dxa"/>
            <w:noWrap/>
            <w:hideMark/>
          </w:tcPr>
          <w:p w14:paraId="3748A6D9"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185</w:t>
            </w:r>
          </w:p>
        </w:tc>
        <w:tc>
          <w:tcPr>
            <w:tcW w:w="684" w:type="dxa"/>
            <w:noWrap/>
            <w:hideMark/>
          </w:tcPr>
          <w:p w14:paraId="7935A566"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86</w:t>
            </w:r>
          </w:p>
        </w:tc>
        <w:tc>
          <w:tcPr>
            <w:tcW w:w="674" w:type="dxa"/>
            <w:noWrap/>
            <w:hideMark/>
          </w:tcPr>
          <w:p w14:paraId="1A1740B4"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271</w:t>
            </w:r>
          </w:p>
        </w:tc>
      </w:tr>
      <w:tr w:rsidR="00934806" w:rsidRPr="002B255B" w14:paraId="567AAD29" w14:textId="77777777" w:rsidTr="002B255B">
        <w:trPr>
          <w:trHeight w:val="300"/>
        </w:trPr>
        <w:tc>
          <w:tcPr>
            <w:cnfStyle w:val="001000000000" w:firstRow="0" w:lastRow="0" w:firstColumn="1" w:lastColumn="0" w:oddVBand="0" w:evenVBand="0" w:oddHBand="0" w:evenHBand="0" w:firstRowFirstColumn="0" w:firstRowLastColumn="0" w:lastRowFirstColumn="0" w:lastRowLastColumn="0"/>
            <w:tcW w:w="1620" w:type="dxa"/>
            <w:hideMark/>
          </w:tcPr>
          <w:p w14:paraId="44FC7729" w14:textId="77777777" w:rsidR="00934806" w:rsidRPr="002B255B" w:rsidRDefault="00934806" w:rsidP="00716EBA">
            <w:pPr>
              <w:jc w:val="center"/>
              <w:rPr>
                <w:rFonts w:ascii="Calibri" w:eastAsia="Times New Roman" w:hAnsi="Calibri" w:cs="Calibri"/>
                <w:b w:val="0"/>
                <w:bCs w:val="0"/>
                <w:color w:val="000000"/>
                <w:sz w:val="18"/>
                <w:szCs w:val="18"/>
              </w:rPr>
            </w:pPr>
            <w:r w:rsidRPr="002B255B">
              <w:rPr>
                <w:rFonts w:ascii="Calibri" w:eastAsia="Times New Roman" w:hAnsi="Calibri" w:cs="Calibri"/>
                <w:b w:val="0"/>
                <w:bCs w:val="0"/>
                <w:color w:val="000000"/>
                <w:sz w:val="18"/>
                <w:szCs w:val="18"/>
              </w:rPr>
              <w:t>Centre de preparare şi distribuire a hranei pentru persoane în risc de sărăcie</w:t>
            </w:r>
          </w:p>
        </w:tc>
        <w:tc>
          <w:tcPr>
            <w:tcW w:w="771" w:type="dxa"/>
            <w:noWrap/>
            <w:hideMark/>
          </w:tcPr>
          <w:p w14:paraId="24744A38"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96</w:t>
            </w:r>
          </w:p>
        </w:tc>
        <w:tc>
          <w:tcPr>
            <w:tcW w:w="684" w:type="dxa"/>
            <w:noWrap/>
            <w:hideMark/>
          </w:tcPr>
          <w:p w14:paraId="1C501685"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14</w:t>
            </w:r>
          </w:p>
        </w:tc>
        <w:tc>
          <w:tcPr>
            <w:tcW w:w="669" w:type="dxa"/>
            <w:noWrap/>
            <w:hideMark/>
          </w:tcPr>
          <w:p w14:paraId="477CAD6E"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110</w:t>
            </w:r>
          </w:p>
        </w:tc>
        <w:tc>
          <w:tcPr>
            <w:tcW w:w="771" w:type="dxa"/>
            <w:gridSpan w:val="2"/>
            <w:noWrap/>
            <w:hideMark/>
          </w:tcPr>
          <w:p w14:paraId="151628E2"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108</w:t>
            </w:r>
          </w:p>
        </w:tc>
        <w:tc>
          <w:tcPr>
            <w:tcW w:w="684" w:type="dxa"/>
            <w:noWrap/>
            <w:hideMark/>
          </w:tcPr>
          <w:p w14:paraId="0E2B2A5D"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13</w:t>
            </w:r>
          </w:p>
        </w:tc>
        <w:tc>
          <w:tcPr>
            <w:tcW w:w="669" w:type="dxa"/>
            <w:noWrap/>
            <w:hideMark/>
          </w:tcPr>
          <w:p w14:paraId="2904F778"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121</w:t>
            </w:r>
          </w:p>
        </w:tc>
        <w:tc>
          <w:tcPr>
            <w:tcW w:w="771" w:type="dxa"/>
            <w:noWrap/>
            <w:hideMark/>
          </w:tcPr>
          <w:p w14:paraId="3E968D96"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119</w:t>
            </w:r>
          </w:p>
        </w:tc>
        <w:tc>
          <w:tcPr>
            <w:tcW w:w="684" w:type="dxa"/>
            <w:noWrap/>
            <w:hideMark/>
          </w:tcPr>
          <w:p w14:paraId="30C288E9"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17</w:t>
            </w:r>
          </w:p>
        </w:tc>
        <w:tc>
          <w:tcPr>
            <w:tcW w:w="669" w:type="dxa"/>
            <w:noWrap/>
            <w:hideMark/>
          </w:tcPr>
          <w:p w14:paraId="320B2F2F"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136</w:t>
            </w:r>
          </w:p>
        </w:tc>
        <w:tc>
          <w:tcPr>
            <w:tcW w:w="771" w:type="dxa"/>
            <w:noWrap/>
            <w:hideMark/>
          </w:tcPr>
          <w:p w14:paraId="721DDE0F"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130</w:t>
            </w:r>
          </w:p>
        </w:tc>
        <w:tc>
          <w:tcPr>
            <w:tcW w:w="684" w:type="dxa"/>
            <w:noWrap/>
            <w:hideMark/>
          </w:tcPr>
          <w:p w14:paraId="7EDCEA4B"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17</w:t>
            </w:r>
          </w:p>
        </w:tc>
        <w:tc>
          <w:tcPr>
            <w:tcW w:w="674" w:type="dxa"/>
            <w:noWrap/>
            <w:hideMark/>
          </w:tcPr>
          <w:p w14:paraId="7C154165"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147</w:t>
            </w:r>
          </w:p>
        </w:tc>
      </w:tr>
      <w:tr w:rsidR="00934806" w:rsidRPr="002B255B" w14:paraId="36970CDB" w14:textId="77777777" w:rsidTr="002B25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hideMark/>
          </w:tcPr>
          <w:p w14:paraId="3B51E645" w14:textId="77777777" w:rsidR="00934806" w:rsidRPr="002B255B" w:rsidRDefault="00934806" w:rsidP="00716EBA">
            <w:pPr>
              <w:jc w:val="center"/>
              <w:rPr>
                <w:rFonts w:ascii="Calibri" w:eastAsia="Times New Roman" w:hAnsi="Calibri" w:cs="Calibri"/>
                <w:b w:val="0"/>
                <w:bCs w:val="0"/>
                <w:color w:val="000000"/>
                <w:sz w:val="18"/>
                <w:szCs w:val="18"/>
              </w:rPr>
            </w:pPr>
            <w:r w:rsidRPr="002B255B">
              <w:rPr>
                <w:rFonts w:ascii="Calibri" w:eastAsia="Times New Roman" w:hAnsi="Calibri" w:cs="Calibri"/>
                <w:b w:val="0"/>
                <w:bCs w:val="0"/>
                <w:color w:val="000000"/>
                <w:sz w:val="18"/>
                <w:szCs w:val="18"/>
              </w:rPr>
              <w:t>Servicii de asitență comunitară</w:t>
            </w:r>
          </w:p>
        </w:tc>
        <w:tc>
          <w:tcPr>
            <w:tcW w:w="771" w:type="dxa"/>
            <w:noWrap/>
            <w:hideMark/>
          </w:tcPr>
          <w:p w14:paraId="4FFBBFE1"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57</w:t>
            </w:r>
          </w:p>
        </w:tc>
        <w:tc>
          <w:tcPr>
            <w:tcW w:w="684" w:type="dxa"/>
            <w:noWrap/>
            <w:hideMark/>
          </w:tcPr>
          <w:p w14:paraId="07FCFA47"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13</w:t>
            </w:r>
          </w:p>
        </w:tc>
        <w:tc>
          <w:tcPr>
            <w:tcW w:w="669" w:type="dxa"/>
            <w:noWrap/>
            <w:hideMark/>
          </w:tcPr>
          <w:p w14:paraId="0F1A199D"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70</w:t>
            </w:r>
          </w:p>
        </w:tc>
        <w:tc>
          <w:tcPr>
            <w:tcW w:w="771" w:type="dxa"/>
            <w:gridSpan w:val="2"/>
            <w:noWrap/>
            <w:hideMark/>
          </w:tcPr>
          <w:p w14:paraId="775548C4"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74</w:t>
            </w:r>
          </w:p>
        </w:tc>
        <w:tc>
          <w:tcPr>
            <w:tcW w:w="684" w:type="dxa"/>
            <w:noWrap/>
            <w:hideMark/>
          </w:tcPr>
          <w:p w14:paraId="1DD571E7"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20</w:t>
            </w:r>
          </w:p>
        </w:tc>
        <w:tc>
          <w:tcPr>
            <w:tcW w:w="669" w:type="dxa"/>
            <w:noWrap/>
            <w:hideMark/>
          </w:tcPr>
          <w:p w14:paraId="207F7792"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94</w:t>
            </w:r>
          </w:p>
        </w:tc>
        <w:tc>
          <w:tcPr>
            <w:tcW w:w="771" w:type="dxa"/>
            <w:noWrap/>
            <w:hideMark/>
          </w:tcPr>
          <w:p w14:paraId="551AEEE9"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85</w:t>
            </w:r>
          </w:p>
        </w:tc>
        <w:tc>
          <w:tcPr>
            <w:tcW w:w="684" w:type="dxa"/>
            <w:noWrap/>
            <w:hideMark/>
          </w:tcPr>
          <w:p w14:paraId="054C3671"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23</w:t>
            </w:r>
          </w:p>
        </w:tc>
        <w:tc>
          <w:tcPr>
            <w:tcW w:w="669" w:type="dxa"/>
            <w:noWrap/>
            <w:hideMark/>
          </w:tcPr>
          <w:p w14:paraId="57D13FB4"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108</w:t>
            </w:r>
          </w:p>
        </w:tc>
        <w:tc>
          <w:tcPr>
            <w:tcW w:w="771" w:type="dxa"/>
            <w:noWrap/>
            <w:hideMark/>
          </w:tcPr>
          <w:p w14:paraId="1185AE24"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105</w:t>
            </w:r>
          </w:p>
        </w:tc>
        <w:tc>
          <w:tcPr>
            <w:tcW w:w="684" w:type="dxa"/>
            <w:noWrap/>
            <w:hideMark/>
          </w:tcPr>
          <w:p w14:paraId="50765512"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48</w:t>
            </w:r>
          </w:p>
        </w:tc>
        <w:tc>
          <w:tcPr>
            <w:tcW w:w="674" w:type="dxa"/>
            <w:noWrap/>
            <w:hideMark/>
          </w:tcPr>
          <w:p w14:paraId="66AA8401" w14:textId="77777777" w:rsidR="00934806" w:rsidRPr="002B255B"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153</w:t>
            </w:r>
          </w:p>
        </w:tc>
      </w:tr>
      <w:tr w:rsidR="00934806" w:rsidRPr="002B255B" w14:paraId="60150618" w14:textId="77777777" w:rsidTr="002B255B">
        <w:trPr>
          <w:trHeight w:val="300"/>
        </w:trPr>
        <w:tc>
          <w:tcPr>
            <w:cnfStyle w:val="001000000000" w:firstRow="0" w:lastRow="0" w:firstColumn="1" w:lastColumn="0" w:oddVBand="0" w:evenVBand="0" w:oddHBand="0" w:evenHBand="0" w:firstRowFirstColumn="0" w:firstRowLastColumn="0" w:lastRowFirstColumn="0" w:lastRowLastColumn="0"/>
            <w:tcW w:w="1620" w:type="dxa"/>
            <w:hideMark/>
          </w:tcPr>
          <w:p w14:paraId="5BD4F603" w14:textId="77777777" w:rsidR="00934806" w:rsidRPr="002B255B" w:rsidRDefault="00934806" w:rsidP="00716EBA">
            <w:pPr>
              <w:jc w:val="center"/>
              <w:rPr>
                <w:rFonts w:ascii="Calibri" w:eastAsia="Times New Roman" w:hAnsi="Calibri" w:cs="Calibri"/>
                <w:b w:val="0"/>
                <w:bCs w:val="0"/>
                <w:color w:val="000000"/>
                <w:sz w:val="18"/>
                <w:szCs w:val="18"/>
              </w:rPr>
            </w:pPr>
            <w:r w:rsidRPr="002B255B">
              <w:rPr>
                <w:rFonts w:ascii="Calibri" w:eastAsia="Times New Roman" w:hAnsi="Calibri" w:cs="Calibri"/>
                <w:b w:val="0"/>
                <w:bCs w:val="0"/>
                <w:color w:val="000000"/>
                <w:sz w:val="18"/>
                <w:szCs w:val="18"/>
              </w:rPr>
              <w:t>Total servicii</w:t>
            </w:r>
          </w:p>
        </w:tc>
        <w:tc>
          <w:tcPr>
            <w:tcW w:w="771" w:type="dxa"/>
            <w:noWrap/>
            <w:hideMark/>
          </w:tcPr>
          <w:p w14:paraId="13EEC3BC"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623</w:t>
            </w:r>
          </w:p>
        </w:tc>
        <w:tc>
          <w:tcPr>
            <w:tcW w:w="684" w:type="dxa"/>
            <w:noWrap/>
            <w:hideMark/>
          </w:tcPr>
          <w:p w14:paraId="49D7B353"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305</w:t>
            </w:r>
          </w:p>
        </w:tc>
        <w:tc>
          <w:tcPr>
            <w:tcW w:w="669" w:type="dxa"/>
            <w:noWrap/>
            <w:hideMark/>
          </w:tcPr>
          <w:p w14:paraId="7307618C"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928</w:t>
            </w:r>
          </w:p>
        </w:tc>
        <w:tc>
          <w:tcPr>
            <w:tcW w:w="771" w:type="dxa"/>
            <w:gridSpan w:val="2"/>
            <w:noWrap/>
            <w:hideMark/>
          </w:tcPr>
          <w:p w14:paraId="7D36355C"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677</w:t>
            </w:r>
          </w:p>
        </w:tc>
        <w:tc>
          <w:tcPr>
            <w:tcW w:w="684" w:type="dxa"/>
            <w:noWrap/>
            <w:hideMark/>
          </w:tcPr>
          <w:p w14:paraId="23AA1438"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331</w:t>
            </w:r>
          </w:p>
        </w:tc>
        <w:tc>
          <w:tcPr>
            <w:tcW w:w="669" w:type="dxa"/>
            <w:noWrap/>
            <w:hideMark/>
          </w:tcPr>
          <w:p w14:paraId="4ED65D51"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1008</w:t>
            </w:r>
          </w:p>
        </w:tc>
        <w:tc>
          <w:tcPr>
            <w:tcW w:w="771" w:type="dxa"/>
            <w:noWrap/>
            <w:hideMark/>
          </w:tcPr>
          <w:p w14:paraId="10C6D661"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800</w:t>
            </w:r>
          </w:p>
        </w:tc>
        <w:tc>
          <w:tcPr>
            <w:tcW w:w="684" w:type="dxa"/>
            <w:noWrap/>
            <w:hideMark/>
          </w:tcPr>
          <w:p w14:paraId="371AF492"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414</w:t>
            </w:r>
          </w:p>
        </w:tc>
        <w:tc>
          <w:tcPr>
            <w:tcW w:w="669" w:type="dxa"/>
            <w:noWrap/>
            <w:hideMark/>
          </w:tcPr>
          <w:p w14:paraId="20255AC2"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1214</w:t>
            </w:r>
          </w:p>
        </w:tc>
        <w:tc>
          <w:tcPr>
            <w:tcW w:w="771" w:type="dxa"/>
            <w:noWrap/>
            <w:hideMark/>
          </w:tcPr>
          <w:p w14:paraId="54179686"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935</w:t>
            </w:r>
          </w:p>
        </w:tc>
        <w:tc>
          <w:tcPr>
            <w:tcW w:w="684" w:type="dxa"/>
            <w:noWrap/>
            <w:hideMark/>
          </w:tcPr>
          <w:p w14:paraId="27F6688D"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518</w:t>
            </w:r>
          </w:p>
        </w:tc>
        <w:tc>
          <w:tcPr>
            <w:tcW w:w="674" w:type="dxa"/>
            <w:noWrap/>
            <w:hideMark/>
          </w:tcPr>
          <w:p w14:paraId="3315A2D8" w14:textId="77777777" w:rsidR="00934806" w:rsidRPr="002B255B"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2B255B">
              <w:rPr>
                <w:rFonts w:ascii="Calibri" w:eastAsia="Times New Roman" w:hAnsi="Calibri" w:cs="Calibri"/>
                <w:color w:val="000000"/>
                <w:sz w:val="18"/>
                <w:szCs w:val="18"/>
              </w:rPr>
              <w:t>1453</w:t>
            </w:r>
          </w:p>
        </w:tc>
      </w:tr>
    </w:tbl>
    <w:p w14:paraId="2197A774" w14:textId="77777777" w:rsidR="00934806" w:rsidRPr="002F6715" w:rsidRDefault="00934806" w:rsidP="002F6715">
      <w:pPr>
        <w:spacing w:after="0"/>
        <w:rPr>
          <w:sz w:val="16"/>
          <w:szCs w:val="16"/>
        </w:rPr>
      </w:pPr>
      <w:r w:rsidRPr="002F6715">
        <w:rPr>
          <w:sz w:val="16"/>
          <w:szCs w:val="16"/>
        </w:rPr>
        <w:t>Sursa: MMPS, Buletine statistice în domeniul Asistenței Sociale 2017, 2018, 2019, 2020</w:t>
      </w:r>
    </w:p>
    <w:p w14:paraId="51FFD3B9" w14:textId="77777777" w:rsidR="00934806" w:rsidRPr="007D1373" w:rsidRDefault="00934806" w:rsidP="00934806"/>
    <w:p w14:paraId="31E55265" w14:textId="77777777" w:rsidR="00934806" w:rsidRPr="007D1373" w:rsidRDefault="00934806" w:rsidP="00934806">
      <w:pPr>
        <w:pStyle w:val="Heading2"/>
      </w:pPr>
      <w:bookmarkStart w:id="25" w:name="_Toc86993591"/>
      <w:r w:rsidRPr="007D1373">
        <w:t>Percepții privind viața sănătoasă</w:t>
      </w:r>
      <w:bookmarkEnd w:id="25"/>
    </w:p>
    <w:p w14:paraId="4596A8C9" w14:textId="77777777" w:rsidR="00934806" w:rsidRPr="007D1373" w:rsidRDefault="00934806" w:rsidP="00934806">
      <w:r w:rsidRPr="007D1373">
        <w:t xml:space="preserve">Ponderea persoanelor care declară că au nevoi medicale nesatisfăcute s-a redus în perioada 2010 – 2020 de la 13.8% la 6.9%. Cu toate acestea procentul celor care declară că au nevoi medicale nesatisfăcute este mai ridicat decât media europeană. Cel mai important motiv invocat de români când declară că au nevoi medicale nesatisfăcute îl reprezintă costul acestora (3.6% în 2020) și timpul lung de așteptare până când pot beneficia de serviciu (0.8% în 2020). Se </w:t>
      </w:r>
      <w:r w:rsidRPr="007D1373">
        <w:lastRenderedPageBreak/>
        <w:t>observă o scădere a ponderii celor pentru care costul serviciilor reprezintă motivul principal pentru care nu și-au satisfăcut nevoile medicale de la 10% în 2010 la 3.6% în 2020. (</w:t>
      </w:r>
      <w:r w:rsidRPr="007D1373">
        <w:fldChar w:fldCharType="begin"/>
      </w:r>
      <w:r w:rsidRPr="007D1373">
        <w:instrText xml:space="preserve"> REF _Ref86886970 \h  \* MERGEFORMAT </w:instrText>
      </w:r>
      <w:r w:rsidRPr="007D1373">
        <w:fldChar w:fldCharType="separate"/>
      </w:r>
      <w:r w:rsidRPr="007D1373">
        <w:t xml:space="preserve">Tabelul </w:t>
      </w:r>
      <w:r w:rsidRPr="007D1373">
        <w:rPr>
          <w:noProof/>
        </w:rPr>
        <w:t>8</w:t>
      </w:r>
      <w:r w:rsidRPr="007D1373">
        <w:fldChar w:fldCharType="end"/>
      </w:r>
      <w:r w:rsidRPr="007D1373">
        <w:t>)</w:t>
      </w:r>
    </w:p>
    <w:p w14:paraId="0E0E9F11" w14:textId="0BB281BE" w:rsidR="00934806" w:rsidRPr="007D1373" w:rsidRDefault="005B25A4" w:rsidP="005B25A4">
      <w:pPr>
        <w:pStyle w:val="Caption"/>
      </w:pPr>
      <w:bookmarkStart w:id="26" w:name="_Toc86993604"/>
      <w:r>
        <w:t xml:space="preserve">Tabel </w:t>
      </w:r>
      <w:r>
        <w:fldChar w:fldCharType="begin"/>
      </w:r>
      <w:r>
        <w:instrText xml:space="preserve"> SEQ Tabel \* ARABIC </w:instrText>
      </w:r>
      <w:r>
        <w:fldChar w:fldCharType="separate"/>
      </w:r>
      <w:r w:rsidR="0089533D">
        <w:rPr>
          <w:noProof/>
        </w:rPr>
        <w:t>8</w:t>
      </w:r>
      <w:r>
        <w:fldChar w:fldCharType="end"/>
      </w:r>
      <w:r>
        <w:t xml:space="preserve"> </w:t>
      </w:r>
      <w:r w:rsidRPr="009C5135">
        <w:t>Evoluția ponderii nevoilor medicale nesatisfăcute</w:t>
      </w:r>
      <w:bookmarkEnd w:id="26"/>
    </w:p>
    <w:tbl>
      <w:tblPr>
        <w:tblStyle w:val="GridTable4-Accent1"/>
        <w:tblW w:w="9459" w:type="dxa"/>
        <w:jc w:val="center"/>
        <w:tblLook w:val="04A0" w:firstRow="1" w:lastRow="0" w:firstColumn="1" w:lastColumn="0" w:noHBand="0" w:noVBand="1"/>
      </w:tblPr>
      <w:tblGrid>
        <w:gridCol w:w="900"/>
        <w:gridCol w:w="2090"/>
        <w:gridCol w:w="610"/>
        <w:gridCol w:w="581"/>
        <w:gridCol w:w="581"/>
        <w:gridCol w:w="630"/>
        <w:gridCol w:w="581"/>
        <w:gridCol w:w="581"/>
        <w:gridCol w:w="581"/>
        <w:gridCol w:w="581"/>
        <w:gridCol w:w="581"/>
        <w:gridCol w:w="581"/>
        <w:gridCol w:w="581"/>
      </w:tblGrid>
      <w:tr w:rsidR="00934806" w:rsidRPr="007D1373" w14:paraId="1CFB506A" w14:textId="77777777" w:rsidTr="00A8678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00" w:type="dxa"/>
            <w:noWrap/>
            <w:vAlign w:val="center"/>
            <w:hideMark/>
          </w:tcPr>
          <w:p w14:paraId="61F8FBC2" w14:textId="77777777" w:rsidR="00934806" w:rsidRPr="007D1373" w:rsidRDefault="00934806" w:rsidP="00716EBA">
            <w:pPr>
              <w:jc w:val="left"/>
              <w:rPr>
                <w:rFonts w:ascii="Calibri" w:eastAsia="Times New Roman" w:hAnsi="Calibri" w:cs="Calibri"/>
                <w:bCs w:val="0"/>
                <w:color w:val="000000"/>
                <w:sz w:val="18"/>
                <w:szCs w:val="18"/>
              </w:rPr>
            </w:pPr>
            <w:r w:rsidRPr="007D1373">
              <w:rPr>
                <w:rFonts w:ascii="Calibri" w:eastAsia="Times New Roman" w:hAnsi="Calibri" w:cs="Calibri"/>
                <w:color w:val="000000"/>
                <w:sz w:val="18"/>
                <w:szCs w:val="18"/>
              </w:rPr>
              <w:t> </w:t>
            </w:r>
          </w:p>
        </w:tc>
        <w:tc>
          <w:tcPr>
            <w:tcW w:w="2090" w:type="dxa"/>
            <w:noWrap/>
            <w:vAlign w:val="center"/>
            <w:hideMark/>
          </w:tcPr>
          <w:p w14:paraId="27DF1E3D" w14:textId="77777777" w:rsidR="00934806" w:rsidRPr="007D1373" w:rsidRDefault="00934806" w:rsidP="00716EB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8"/>
                <w:szCs w:val="18"/>
              </w:rPr>
            </w:pPr>
            <w:r w:rsidRPr="00A86781">
              <w:rPr>
                <w:rFonts w:ascii="Calibri" w:eastAsia="Times New Roman" w:hAnsi="Calibri" w:cs="Calibri"/>
                <w:sz w:val="18"/>
                <w:szCs w:val="18"/>
              </w:rPr>
              <w:t>Motive pentru care nu au fost satisfăcute nevoile medicale</w:t>
            </w:r>
          </w:p>
        </w:tc>
        <w:tc>
          <w:tcPr>
            <w:tcW w:w="610" w:type="dxa"/>
            <w:noWrap/>
            <w:vAlign w:val="center"/>
            <w:hideMark/>
          </w:tcPr>
          <w:p w14:paraId="3597DF0E" w14:textId="77777777" w:rsidR="00934806" w:rsidRPr="007D1373" w:rsidRDefault="00934806" w:rsidP="00716EB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rPr>
            </w:pPr>
            <w:r w:rsidRPr="007D1373">
              <w:rPr>
                <w:rFonts w:ascii="Calibri" w:eastAsia="Times New Roman" w:hAnsi="Calibri" w:cs="Calibri"/>
                <w:sz w:val="18"/>
                <w:szCs w:val="18"/>
              </w:rPr>
              <w:t>2010</w:t>
            </w:r>
          </w:p>
        </w:tc>
        <w:tc>
          <w:tcPr>
            <w:tcW w:w="581" w:type="dxa"/>
            <w:noWrap/>
            <w:vAlign w:val="center"/>
            <w:hideMark/>
          </w:tcPr>
          <w:p w14:paraId="1E54EE36" w14:textId="77777777" w:rsidR="00934806" w:rsidRPr="007D1373" w:rsidRDefault="00934806" w:rsidP="00716EB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rPr>
            </w:pPr>
            <w:r w:rsidRPr="007D1373">
              <w:rPr>
                <w:rFonts w:ascii="Calibri" w:eastAsia="Times New Roman" w:hAnsi="Calibri" w:cs="Calibri"/>
                <w:sz w:val="18"/>
                <w:szCs w:val="18"/>
              </w:rPr>
              <w:t>2011</w:t>
            </w:r>
          </w:p>
        </w:tc>
        <w:tc>
          <w:tcPr>
            <w:tcW w:w="581" w:type="dxa"/>
            <w:noWrap/>
            <w:vAlign w:val="center"/>
            <w:hideMark/>
          </w:tcPr>
          <w:p w14:paraId="3B434417" w14:textId="77777777" w:rsidR="00934806" w:rsidRPr="007D1373" w:rsidRDefault="00934806" w:rsidP="00716EB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rPr>
            </w:pPr>
            <w:r w:rsidRPr="007D1373">
              <w:rPr>
                <w:rFonts w:ascii="Calibri" w:eastAsia="Times New Roman" w:hAnsi="Calibri" w:cs="Calibri"/>
                <w:sz w:val="18"/>
                <w:szCs w:val="18"/>
              </w:rPr>
              <w:t>2012</w:t>
            </w:r>
          </w:p>
        </w:tc>
        <w:tc>
          <w:tcPr>
            <w:tcW w:w="630" w:type="dxa"/>
            <w:noWrap/>
            <w:vAlign w:val="center"/>
            <w:hideMark/>
          </w:tcPr>
          <w:p w14:paraId="1E980238" w14:textId="77777777" w:rsidR="00934806" w:rsidRPr="007D1373" w:rsidRDefault="00934806" w:rsidP="00716EB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rPr>
            </w:pPr>
            <w:r w:rsidRPr="007D1373">
              <w:rPr>
                <w:rFonts w:ascii="Calibri" w:eastAsia="Times New Roman" w:hAnsi="Calibri" w:cs="Calibri"/>
                <w:sz w:val="18"/>
                <w:szCs w:val="18"/>
              </w:rPr>
              <w:t>2013</w:t>
            </w:r>
          </w:p>
        </w:tc>
        <w:tc>
          <w:tcPr>
            <w:tcW w:w="581" w:type="dxa"/>
            <w:noWrap/>
            <w:vAlign w:val="center"/>
            <w:hideMark/>
          </w:tcPr>
          <w:p w14:paraId="4899EC58" w14:textId="77777777" w:rsidR="00934806" w:rsidRPr="007D1373" w:rsidRDefault="00934806" w:rsidP="00716EB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rPr>
            </w:pPr>
            <w:r w:rsidRPr="007D1373">
              <w:rPr>
                <w:rFonts w:ascii="Calibri" w:eastAsia="Times New Roman" w:hAnsi="Calibri" w:cs="Calibri"/>
                <w:sz w:val="18"/>
                <w:szCs w:val="18"/>
              </w:rPr>
              <w:t>2014</w:t>
            </w:r>
          </w:p>
        </w:tc>
        <w:tc>
          <w:tcPr>
            <w:tcW w:w="581" w:type="dxa"/>
            <w:noWrap/>
            <w:vAlign w:val="center"/>
            <w:hideMark/>
          </w:tcPr>
          <w:p w14:paraId="540CC92E" w14:textId="77777777" w:rsidR="00934806" w:rsidRPr="007D1373" w:rsidRDefault="00934806" w:rsidP="00716EB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rPr>
            </w:pPr>
            <w:r w:rsidRPr="007D1373">
              <w:rPr>
                <w:rFonts w:ascii="Calibri" w:eastAsia="Times New Roman" w:hAnsi="Calibri" w:cs="Calibri"/>
                <w:sz w:val="18"/>
                <w:szCs w:val="18"/>
              </w:rPr>
              <w:t>2015</w:t>
            </w:r>
          </w:p>
        </w:tc>
        <w:tc>
          <w:tcPr>
            <w:tcW w:w="581" w:type="dxa"/>
            <w:noWrap/>
            <w:vAlign w:val="center"/>
            <w:hideMark/>
          </w:tcPr>
          <w:p w14:paraId="098EC20E" w14:textId="77777777" w:rsidR="00934806" w:rsidRPr="007D1373" w:rsidRDefault="00934806" w:rsidP="00716EB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rPr>
            </w:pPr>
            <w:r w:rsidRPr="007D1373">
              <w:rPr>
                <w:rFonts w:ascii="Calibri" w:eastAsia="Times New Roman" w:hAnsi="Calibri" w:cs="Calibri"/>
                <w:sz w:val="18"/>
                <w:szCs w:val="18"/>
              </w:rPr>
              <w:t>2016</w:t>
            </w:r>
          </w:p>
        </w:tc>
        <w:tc>
          <w:tcPr>
            <w:tcW w:w="581" w:type="dxa"/>
            <w:noWrap/>
            <w:vAlign w:val="center"/>
            <w:hideMark/>
          </w:tcPr>
          <w:p w14:paraId="44B74C7B" w14:textId="77777777" w:rsidR="00934806" w:rsidRPr="007D1373" w:rsidRDefault="00934806" w:rsidP="00716EB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rPr>
            </w:pPr>
            <w:r w:rsidRPr="007D1373">
              <w:rPr>
                <w:rFonts w:ascii="Calibri" w:eastAsia="Times New Roman" w:hAnsi="Calibri" w:cs="Calibri"/>
                <w:sz w:val="18"/>
                <w:szCs w:val="18"/>
              </w:rPr>
              <w:t>2017</w:t>
            </w:r>
          </w:p>
        </w:tc>
        <w:tc>
          <w:tcPr>
            <w:tcW w:w="581" w:type="dxa"/>
            <w:noWrap/>
            <w:vAlign w:val="center"/>
            <w:hideMark/>
          </w:tcPr>
          <w:p w14:paraId="46FDE9C4" w14:textId="77777777" w:rsidR="00934806" w:rsidRPr="007D1373" w:rsidRDefault="00934806" w:rsidP="00716EB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rPr>
            </w:pPr>
            <w:r w:rsidRPr="007D1373">
              <w:rPr>
                <w:rFonts w:ascii="Calibri" w:eastAsia="Times New Roman" w:hAnsi="Calibri" w:cs="Calibri"/>
                <w:sz w:val="18"/>
                <w:szCs w:val="18"/>
              </w:rPr>
              <w:t>2018</w:t>
            </w:r>
          </w:p>
        </w:tc>
        <w:tc>
          <w:tcPr>
            <w:tcW w:w="581" w:type="dxa"/>
            <w:noWrap/>
            <w:vAlign w:val="center"/>
            <w:hideMark/>
          </w:tcPr>
          <w:p w14:paraId="15FDF14D" w14:textId="77777777" w:rsidR="00934806" w:rsidRPr="00A86781" w:rsidRDefault="00934806" w:rsidP="00716EB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rPr>
            </w:pPr>
            <w:r w:rsidRPr="00A86781">
              <w:rPr>
                <w:rFonts w:ascii="Calibri" w:eastAsia="Times New Roman" w:hAnsi="Calibri" w:cs="Calibri"/>
                <w:sz w:val="18"/>
                <w:szCs w:val="18"/>
              </w:rPr>
              <w:t>2019</w:t>
            </w:r>
          </w:p>
        </w:tc>
        <w:tc>
          <w:tcPr>
            <w:tcW w:w="581" w:type="dxa"/>
            <w:noWrap/>
            <w:vAlign w:val="center"/>
            <w:hideMark/>
          </w:tcPr>
          <w:p w14:paraId="4A1EDC6E" w14:textId="77777777" w:rsidR="00934806" w:rsidRPr="00A86781" w:rsidRDefault="00934806" w:rsidP="00716EB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rPr>
            </w:pPr>
            <w:r w:rsidRPr="00A86781">
              <w:rPr>
                <w:rFonts w:ascii="Calibri" w:eastAsia="Times New Roman" w:hAnsi="Calibri" w:cs="Calibri"/>
                <w:sz w:val="18"/>
                <w:szCs w:val="18"/>
              </w:rPr>
              <w:t>2020</w:t>
            </w:r>
          </w:p>
        </w:tc>
      </w:tr>
      <w:tr w:rsidR="00934806" w:rsidRPr="007D1373" w14:paraId="089D9FAF" w14:textId="77777777" w:rsidTr="00A867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00" w:type="dxa"/>
            <w:noWrap/>
            <w:vAlign w:val="center"/>
            <w:hideMark/>
          </w:tcPr>
          <w:p w14:paraId="7048ADEC" w14:textId="77777777" w:rsidR="00934806" w:rsidRPr="00A86781" w:rsidRDefault="00934806" w:rsidP="00716EBA">
            <w:pPr>
              <w:jc w:val="left"/>
              <w:rPr>
                <w:rFonts w:ascii="Calibri" w:eastAsia="Times New Roman" w:hAnsi="Calibri" w:cs="Calibri"/>
                <w:b w:val="0"/>
                <w:bCs w:val="0"/>
                <w:sz w:val="18"/>
                <w:szCs w:val="18"/>
              </w:rPr>
            </w:pPr>
            <w:r w:rsidRPr="00A86781">
              <w:rPr>
                <w:rFonts w:ascii="Calibri" w:eastAsia="Times New Roman" w:hAnsi="Calibri" w:cs="Calibri"/>
                <w:b w:val="0"/>
                <w:bCs w:val="0"/>
                <w:sz w:val="18"/>
                <w:szCs w:val="18"/>
              </w:rPr>
              <w:t>EU-27</w:t>
            </w:r>
          </w:p>
        </w:tc>
        <w:tc>
          <w:tcPr>
            <w:tcW w:w="2090" w:type="dxa"/>
            <w:vMerge w:val="restart"/>
            <w:noWrap/>
            <w:vAlign w:val="center"/>
            <w:hideMark/>
          </w:tcPr>
          <w:p w14:paraId="2F453883" w14:textId="77777777" w:rsidR="00934806" w:rsidRPr="007D1373"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Prea scumpe</w:t>
            </w:r>
          </w:p>
        </w:tc>
        <w:tc>
          <w:tcPr>
            <w:tcW w:w="610" w:type="dxa"/>
            <w:noWrap/>
            <w:vAlign w:val="center"/>
            <w:hideMark/>
          </w:tcPr>
          <w:p w14:paraId="0D95C426"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2.3</w:t>
            </w:r>
          </w:p>
        </w:tc>
        <w:tc>
          <w:tcPr>
            <w:tcW w:w="581" w:type="dxa"/>
            <w:noWrap/>
            <w:vAlign w:val="center"/>
            <w:hideMark/>
          </w:tcPr>
          <w:p w14:paraId="45928F04"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2.6</w:t>
            </w:r>
          </w:p>
        </w:tc>
        <w:tc>
          <w:tcPr>
            <w:tcW w:w="581" w:type="dxa"/>
            <w:noWrap/>
            <w:vAlign w:val="center"/>
            <w:hideMark/>
          </w:tcPr>
          <w:p w14:paraId="2285628C"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2.6</w:t>
            </w:r>
          </w:p>
        </w:tc>
        <w:tc>
          <w:tcPr>
            <w:tcW w:w="630" w:type="dxa"/>
            <w:noWrap/>
            <w:vAlign w:val="center"/>
            <w:hideMark/>
          </w:tcPr>
          <w:p w14:paraId="72226362"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2.8</w:t>
            </w:r>
          </w:p>
        </w:tc>
        <w:tc>
          <w:tcPr>
            <w:tcW w:w="581" w:type="dxa"/>
            <w:noWrap/>
            <w:vAlign w:val="center"/>
            <w:hideMark/>
          </w:tcPr>
          <w:p w14:paraId="2C4B8E3B"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2.8</w:t>
            </w:r>
          </w:p>
        </w:tc>
        <w:tc>
          <w:tcPr>
            <w:tcW w:w="581" w:type="dxa"/>
            <w:noWrap/>
            <w:vAlign w:val="center"/>
            <w:hideMark/>
          </w:tcPr>
          <w:p w14:paraId="699C2900"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2.4</w:t>
            </w:r>
          </w:p>
        </w:tc>
        <w:tc>
          <w:tcPr>
            <w:tcW w:w="581" w:type="dxa"/>
            <w:noWrap/>
            <w:vAlign w:val="center"/>
            <w:hideMark/>
          </w:tcPr>
          <w:p w14:paraId="26DDCE5A"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1.9</w:t>
            </w:r>
          </w:p>
        </w:tc>
        <w:tc>
          <w:tcPr>
            <w:tcW w:w="581" w:type="dxa"/>
            <w:noWrap/>
            <w:vAlign w:val="center"/>
            <w:hideMark/>
          </w:tcPr>
          <w:p w14:paraId="26421502"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1.0</w:t>
            </w:r>
          </w:p>
        </w:tc>
        <w:tc>
          <w:tcPr>
            <w:tcW w:w="581" w:type="dxa"/>
            <w:noWrap/>
            <w:vAlign w:val="center"/>
            <w:hideMark/>
          </w:tcPr>
          <w:p w14:paraId="502CBE0D"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1.1</w:t>
            </w:r>
          </w:p>
        </w:tc>
        <w:tc>
          <w:tcPr>
            <w:tcW w:w="581" w:type="dxa"/>
            <w:noWrap/>
            <w:vAlign w:val="center"/>
            <w:hideMark/>
          </w:tcPr>
          <w:p w14:paraId="5F83C7C5"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0.9</w:t>
            </w:r>
          </w:p>
        </w:tc>
        <w:tc>
          <w:tcPr>
            <w:tcW w:w="581" w:type="dxa"/>
            <w:noWrap/>
            <w:vAlign w:val="center"/>
            <w:hideMark/>
          </w:tcPr>
          <w:p w14:paraId="5D93C29B" w14:textId="77777777" w:rsidR="00934806" w:rsidRPr="007D1373" w:rsidRDefault="00934806" w:rsidP="00716EBA">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7D1373">
              <w:rPr>
                <w:rFonts w:ascii="Calibri" w:eastAsia="Times New Roman" w:hAnsi="Calibri" w:cs="Calibri"/>
                <w:color w:val="000000"/>
                <w:sz w:val="18"/>
                <w:szCs w:val="18"/>
              </w:rPr>
              <w:t>:</w:t>
            </w:r>
          </w:p>
        </w:tc>
      </w:tr>
      <w:tr w:rsidR="00934806" w:rsidRPr="007D1373" w14:paraId="4D7CAA6E" w14:textId="77777777" w:rsidTr="00A86781">
        <w:trPr>
          <w:trHeight w:val="300"/>
          <w:jc w:val="center"/>
        </w:trPr>
        <w:tc>
          <w:tcPr>
            <w:cnfStyle w:val="001000000000" w:firstRow="0" w:lastRow="0" w:firstColumn="1" w:lastColumn="0" w:oddVBand="0" w:evenVBand="0" w:oddHBand="0" w:evenHBand="0" w:firstRowFirstColumn="0" w:firstRowLastColumn="0" w:lastRowFirstColumn="0" w:lastRowLastColumn="0"/>
            <w:tcW w:w="900" w:type="dxa"/>
            <w:noWrap/>
            <w:vAlign w:val="center"/>
            <w:hideMark/>
          </w:tcPr>
          <w:p w14:paraId="2203BB37" w14:textId="77777777" w:rsidR="00934806" w:rsidRPr="00A86781" w:rsidRDefault="00934806" w:rsidP="00716EBA">
            <w:pPr>
              <w:jc w:val="left"/>
              <w:rPr>
                <w:rFonts w:ascii="Calibri" w:eastAsia="Times New Roman" w:hAnsi="Calibri" w:cs="Calibri"/>
                <w:b w:val="0"/>
                <w:bCs w:val="0"/>
                <w:color w:val="000000"/>
                <w:sz w:val="18"/>
                <w:szCs w:val="18"/>
              </w:rPr>
            </w:pPr>
            <w:r w:rsidRPr="00A86781">
              <w:rPr>
                <w:rFonts w:ascii="Calibri" w:eastAsia="Times New Roman" w:hAnsi="Calibri" w:cs="Calibri"/>
                <w:b w:val="0"/>
                <w:bCs w:val="0"/>
                <w:color w:val="000000"/>
                <w:sz w:val="18"/>
                <w:szCs w:val="18"/>
              </w:rPr>
              <w:t>România</w:t>
            </w:r>
          </w:p>
        </w:tc>
        <w:tc>
          <w:tcPr>
            <w:tcW w:w="2090" w:type="dxa"/>
            <w:vMerge/>
            <w:vAlign w:val="center"/>
            <w:hideMark/>
          </w:tcPr>
          <w:p w14:paraId="04320121" w14:textId="77777777" w:rsidR="00934806" w:rsidRPr="007D1373"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p>
        </w:tc>
        <w:tc>
          <w:tcPr>
            <w:tcW w:w="610" w:type="dxa"/>
            <w:noWrap/>
            <w:vAlign w:val="center"/>
            <w:hideMark/>
          </w:tcPr>
          <w:p w14:paraId="0D6201CB"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10.0</w:t>
            </w:r>
          </w:p>
        </w:tc>
        <w:tc>
          <w:tcPr>
            <w:tcW w:w="581" w:type="dxa"/>
            <w:noWrap/>
            <w:vAlign w:val="center"/>
            <w:hideMark/>
          </w:tcPr>
          <w:p w14:paraId="03EB8212"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11.0</w:t>
            </w:r>
          </w:p>
        </w:tc>
        <w:tc>
          <w:tcPr>
            <w:tcW w:w="581" w:type="dxa"/>
            <w:noWrap/>
            <w:vAlign w:val="center"/>
            <w:hideMark/>
          </w:tcPr>
          <w:p w14:paraId="7CE99E4A"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10.5</w:t>
            </w:r>
          </w:p>
        </w:tc>
        <w:tc>
          <w:tcPr>
            <w:tcW w:w="630" w:type="dxa"/>
            <w:noWrap/>
            <w:vAlign w:val="center"/>
            <w:hideMark/>
          </w:tcPr>
          <w:p w14:paraId="296A6E1A"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9.6</w:t>
            </w:r>
          </w:p>
        </w:tc>
        <w:tc>
          <w:tcPr>
            <w:tcW w:w="581" w:type="dxa"/>
            <w:noWrap/>
            <w:vAlign w:val="center"/>
            <w:hideMark/>
          </w:tcPr>
          <w:p w14:paraId="730EA09A"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8.8</w:t>
            </w:r>
          </w:p>
        </w:tc>
        <w:tc>
          <w:tcPr>
            <w:tcW w:w="581" w:type="dxa"/>
            <w:noWrap/>
            <w:vAlign w:val="center"/>
            <w:hideMark/>
          </w:tcPr>
          <w:p w14:paraId="133426E3"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8.3</w:t>
            </w:r>
          </w:p>
        </w:tc>
        <w:tc>
          <w:tcPr>
            <w:tcW w:w="581" w:type="dxa"/>
            <w:noWrap/>
            <w:vAlign w:val="center"/>
            <w:hideMark/>
          </w:tcPr>
          <w:p w14:paraId="52C49E84"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5.3</w:t>
            </w:r>
          </w:p>
        </w:tc>
        <w:tc>
          <w:tcPr>
            <w:tcW w:w="581" w:type="dxa"/>
            <w:noWrap/>
            <w:vAlign w:val="center"/>
            <w:hideMark/>
          </w:tcPr>
          <w:p w14:paraId="5C0215CD"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3.5</w:t>
            </w:r>
          </w:p>
        </w:tc>
        <w:tc>
          <w:tcPr>
            <w:tcW w:w="581" w:type="dxa"/>
            <w:noWrap/>
            <w:vAlign w:val="center"/>
            <w:hideMark/>
          </w:tcPr>
          <w:p w14:paraId="570B503C"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3.4</w:t>
            </w:r>
          </w:p>
        </w:tc>
        <w:tc>
          <w:tcPr>
            <w:tcW w:w="581" w:type="dxa"/>
            <w:noWrap/>
            <w:vAlign w:val="center"/>
            <w:hideMark/>
          </w:tcPr>
          <w:p w14:paraId="6811E3D0"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3.5</w:t>
            </w:r>
          </w:p>
        </w:tc>
        <w:tc>
          <w:tcPr>
            <w:tcW w:w="581" w:type="dxa"/>
            <w:noWrap/>
            <w:vAlign w:val="center"/>
            <w:hideMark/>
          </w:tcPr>
          <w:p w14:paraId="115D907C"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3.6</w:t>
            </w:r>
          </w:p>
        </w:tc>
      </w:tr>
      <w:tr w:rsidR="00934806" w:rsidRPr="007D1373" w14:paraId="50FC6A04" w14:textId="77777777" w:rsidTr="00A867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00" w:type="dxa"/>
            <w:noWrap/>
            <w:vAlign w:val="center"/>
            <w:hideMark/>
          </w:tcPr>
          <w:p w14:paraId="42A31F71" w14:textId="77777777" w:rsidR="00934806" w:rsidRPr="00A86781" w:rsidRDefault="00934806" w:rsidP="00716EBA">
            <w:pPr>
              <w:jc w:val="left"/>
              <w:rPr>
                <w:rFonts w:ascii="Calibri" w:eastAsia="Times New Roman" w:hAnsi="Calibri" w:cs="Calibri"/>
                <w:b w:val="0"/>
                <w:bCs w:val="0"/>
                <w:sz w:val="18"/>
                <w:szCs w:val="18"/>
              </w:rPr>
            </w:pPr>
            <w:r w:rsidRPr="00A86781">
              <w:rPr>
                <w:rFonts w:ascii="Calibri" w:eastAsia="Times New Roman" w:hAnsi="Calibri" w:cs="Calibri"/>
                <w:b w:val="0"/>
                <w:bCs w:val="0"/>
                <w:sz w:val="18"/>
                <w:szCs w:val="18"/>
              </w:rPr>
              <w:t>EU-27</w:t>
            </w:r>
          </w:p>
        </w:tc>
        <w:tc>
          <w:tcPr>
            <w:tcW w:w="2090" w:type="dxa"/>
            <w:vMerge w:val="restart"/>
            <w:noWrap/>
            <w:vAlign w:val="center"/>
            <w:hideMark/>
          </w:tcPr>
          <w:p w14:paraId="06FA17F5" w14:textId="77777777" w:rsidR="00934806" w:rsidRPr="007D1373"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7D1373">
              <w:rPr>
                <w:rFonts w:ascii="Calibri" w:eastAsia="Times New Roman" w:hAnsi="Calibri" w:cs="Calibri"/>
                <w:color w:val="000000"/>
                <w:sz w:val="18"/>
                <w:szCs w:val="18"/>
              </w:rPr>
              <w:t>La distanță mare</w:t>
            </w:r>
          </w:p>
        </w:tc>
        <w:tc>
          <w:tcPr>
            <w:tcW w:w="610" w:type="dxa"/>
            <w:noWrap/>
            <w:vAlign w:val="center"/>
            <w:hideMark/>
          </w:tcPr>
          <w:p w14:paraId="4375C6AE"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0.2</w:t>
            </w:r>
          </w:p>
        </w:tc>
        <w:tc>
          <w:tcPr>
            <w:tcW w:w="581" w:type="dxa"/>
            <w:noWrap/>
            <w:vAlign w:val="center"/>
            <w:hideMark/>
          </w:tcPr>
          <w:p w14:paraId="1853CF4A"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0.2</w:t>
            </w:r>
          </w:p>
        </w:tc>
        <w:tc>
          <w:tcPr>
            <w:tcW w:w="581" w:type="dxa"/>
            <w:noWrap/>
            <w:vAlign w:val="center"/>
            <w:hideMark/>
          </w:tcPr>
          <w:p w14:paraId="624407B2"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0.2</w:t>
            </w:r>
          </w:p>
        </w:tc>
        <w:tc>
          <w:tcPr>
            <w:tcW w:w="630" w:type="dxa"/>
            <w:noWrap/>
            <w:vAlign w:val="center"/>
            <w:hideMark/>
          </w:tcPr>
          <w:p w14:paraId="66E8323F"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0.2</w:t>
            </w:r>
          </w:p>
        </w:tc>
        <w:tc>
          <w:tcPr>
            <w:tcW w:w="581" w:type="dxa"/>
            <w:noWrap/>
            <w:vAlign w:val="center"/>
            <w:hideMark/>
          </w:tcPr>
          <w:p w14:paraId="74DC7B04"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0.2</w:t>
            </w:r>
          </w:p>
        </w:tc>
        <w:tc>
          <w:tcPr>
            <w:tcW w:w="581" w:type="dxa"/>
            <w:noWrap/>
            <w:vAlign w:val="center"/>
            <w:hideMark/>
          </w:tcPr>
          <w:p w14:paraId="49684A61"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0.1</w:t>
            </w:r>
          </w:p>
        </w:tc>
        <w:tc>
          <w:tcPr>
            <w:tcW w:w="581" w:type="dxa"/>
            <w:noWrap/>
            <w:vAlign w:val="center"/>
            <w:hideMark/>
          </w:tcPr>
          <w:p w14:paraId="40FA43E1"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0.1</w:t>
            </w:r>
          </w:p>
        </w:tc>
        <w:tc>
          <w:tcPr>
            <w:tcW w:w="581" w:type="dxa"/>
            <w:noWrap/>
            <w:vAlign w:val="center"/>
            <w:hideMark/>
          </w:tcPr>
          <w:p w14:paraId="5C0AE401"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0.1</w:t>
            </w:r>
          </w:p>
        </w:tc>
        <w:tc>
          <w:tcPr>
            <w:tcW w:w="581" w:type="dxa"/>
            <w:noWrap/>
            <w:vAlign w:val="center"/>
            <w:hideMark/>
          </w:tcPr>
          <w:p w14:paraId="28D9EF54"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0.1</w:t>
            </w:r>
          </w:p>
        </w:tc>
        <w:tc>
          <w:tcPr>
            <w:tcW w:w="581" w:type="dxa"/>
            <w:noWrap/>
            <w:vAlign w:val="center"/>
            <w:hideMark/>
          </w:tcPr>
          <w:p w14:paraId="4BBF31BF"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0.1</w:t>
            </w:r>
          </w:p>
        </w:tc>
        <w:tc>
          <w:tcPr>
            <w:tcW w:w="581" w:type="dxa"/>
            <w:noWrap/>
            <w:vAlign w:val="center"/>
            <w:hideMark/>
          </w:tcPr>
          <w:p w14:paraId="00E44A20" w14:textId="77777777" w:rsidR="00934806" w:rsidRPr="007D1373" w:rsidRDefault="00934806" w:rsidP="00716EBA">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w:t>
            </w:r>
          </w:p>
        </w:tc>
      </w:tr>
      <w:tr w:rsidR="00934806" w:rsidRPr="007D1373" w14:paraId="14EE7323" w14:textId="77777777" w:rsidTr="00A86781">
        <w:trPr>
          <w:trHeight w:val="300"/>
          <w:jc w:val="center"/>
        </w:trPr>
        <w:tc>
          <w:tcPr>
            <w:cnfStyle w:val="001000000000" w:firstRow="0" w:lastRow="0" w:firstColumn="1" w:lastColumn="0" w:oddVBand="0" w:evenVBand="0" w:oddHBand="0" w:evenHBand="0" w:firstRowFirstColumn="0" w:firstRowLastColumn="0" w:lastRowFirstColumn="0" w:lastRowLastColumn="0"/>
            <w:tcW w:w="900" w:type="dxa"/>
            <w:noWrap/>
            <w:vAlign w:val="center"/>
            <w:hideMark/>
          </w:tcPr>
          <w:p w14:paraId="7E7C04BA" w14:textId="77777777" w:rsidR="00934806" w:rsidRPr="00A86781" w:rsidRDefault="00934806" w:rsidP="00716EBA">
            <w:pPr>
              <w:jc w:val="left"/>
              <w:rPr>
                <w:rFonts w:ascii="Calibri" w:eastAsia="Times New Roman" w:hAnsi="Calibri" w:cs="Calibri"/>
                <w:b w:val="0"/>
                <w:bCs w:val="0"/>
                <w:color w:val="000000"/>
                <w:sz w:val="18"/>
                <w:szCs w:val="18"/>
              </w:rPr>
            </w:pPr>
            <w:r w:rsidRPr="00A86781">
              <w:rPr>
                <w:rFonts w:ascii="Calibri" w:eastAsia="Times New Roman" w:hAnsi="Calibri" w:cs="Calibri"/>
                <w:b w:val="0"/>
                <w:bCs w:val="0"/>
                <w:color w:val="000000"/>
                <w:sz w:val="18"/>
                <w:szCs w:val="18"/>
              </w:rPr>
              <w:t>România</w:t>
            </w:r>
          </w:p>
        </w:tc>
        <w:tc>
          <w:tcPr>
            <w:tcW w:w="2090" w:type="dxa"/>
            <w:vMerge/>
            <w:vAlign w:val="center"/>
            <w:hideMark/>
          </w:tcPr>
          <w:p w14:paraId="76CE40BD" w14:textId="77777777" w:rsidR="00934806" w:rsidRPr="007D1373"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p>
        </w:tc>
        <w:tc>
          <w:tcPr>
            <w:tcW w:w="610" w:type="dxa"/>
            <w:noWrap/>
            <w:vAlign w:val="center"/>
            <w:hideMark/>
          </w:tcPr>
          <w:p w14:paraId="61968586"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0.6</w:t>
            </w:r>
          </w:p>
        </w:tc>
        <w:tc>
          <w:tcPr>
            <w:tcW w:w="581" w:type="dxa"/>
            <w:noWrap/>
            <w:vAlign w:val="center"/>
            <w:hideMark/>
          </w:tcPr>
          <w:p w14:paraId="668D510D"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0.7</w:t>
            </w:r>
          </w:p>
        </w:tc>
        <w:tc>
          <w:tcPr>
            <w:tcW w:w="581" w:type="dxa"/>
            <w:noWrap/>
            <w:vAlign w:val="center"/>
            <w:hideMark/>
          </w:tcPr>
          <w:p w14:paraId="566B44BA"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0.7</w:t>
            </w:r>
          </w:p>
        </w:tc>
        <w:tc>
          <w:tcPr>
            <w:tcW w:w="630" w:type="dxa"/>
            <w:noWrap/>
            <w:vAlign w:val="center"/>
            <w:hideMark/>
          </w:tcPr>
          <w:p w14:paraId="6C3867B6"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0.6</w:t>
            </w:r>
          </w:p>
        </w:tc>
        <w:tc>
          <w:tcPr>
            <w:tcW w:w="581" w:type="dxa"/>
            <w:noWrap/>
            <w:vAlign w:val="center"/>
            <w:hideMark/>
          </w:tcPr>
          <w:p w14:paraId="4AEFB0A5"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0.5</w:t>
            </w:r>
          </w:p>
        </w:tc>
        <w:tc>
          <w:tcPr>
            <w:tcW w:w="581" w:type="dxa"/>
            <w:noWrap/>
            <w:vAlign w:val="center"/>
            <w:hideMark/>
          </w:tcPr>
          <w:p w14:paraId="685889C6"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0.6</w:t>
            </w:r>
          </w:p>
        </w:tc>
        <w:tc>
          <w:tcPr>
            <w:tcW w:w="581" w:type="dxa"/>
            <w:noWrap/>
            <w:vAlign w:val="center"/>
            <w:hideMark/>
          </w:tcPr>
          <w:p w14:paraId="27AA56FC"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0.6</w:t>
            </w:r>
          </w:p>
        </w:tc>
        <w:tc>
          <w:tcPr>
            <w:tcW w:w="581" w:type="dxa"/>
            <w:noWrap/>
            <w:vAlign w:val="center"/>
            <w:hideMark/>
          </w:tcPr>
          <w:p w14:paraId="4CD7C428"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0.5</w:t>
            </w:r>
          </w:p>
        </w:tc>
        <w:tc>
          <w:tcPr>
            <w:tcW w:w="581" w:type="dxa"/>
            <w:noWrap/>
            <w:vAlign w:val="center"/>
            <w:hideMark/>
          </w:tcPr>
          <w:p w14:paraId="0C8D1EBB"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0.5</w:t>
            </w:r>
          </w:p>
        </w:tc>
        <w:tc>
          <w:tcPr>
            <w:tcW w:w="581" w:type="dxa"/>
            <w:noWrap/>
            <w:vAlign w:val="center"/>
            <w:hideMark/>
          </w:tcPr>
          <w:p w14:paraId="1CE0AA80"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0.4</w:t>
            </w:r>
          </w:p>
        </w:tc>
        <w:tc>
          <w:tcPr>
            <w:tcW w:w="581" w:type="dxa"/>
            <w:noWrap/>
            <w:vAlign w:val="center"/>
            <w:hideMark/>
          </w:tcPr>
          <w:p w14:paraId="71F9BDAC"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0.3</w:t>
            </w:r>
          </w:p>
        </w:tc>
      </w:tr>
      <w:tr w:rsidR="00934806" w:rsidRPr="007D1373" w14:paraId="0C11567B" w14:textId="77777777" w:rsidTr="00A867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00" w:type="dxa"/>
            <w:noWrap/>
            <w:vAlign w:val="center"/>
            <w:hideMark/>
          </w:tcPr>
          <w:p w14:paraId="1AC3BEBD" w14:textId="77777777" w:rsidR="00934806" w:rsidRPr="00A86781" w:rsidRDefault="00934806" w:rsidP="00716EBA">
            <w:pPr>
              <w:jc w:val="left"/>
              <w:rPr>
                <w:rFonts w:ascii="Calibri" w:eastAsia="Times New Roman" w:hAnsi="Calibri" w:cs="Calibri"/>
                <w:b w:val="0"/>
                <w:bCs w:val="0"/>
                <w:sz w:val="18"/>
                <w:szCs w:val="18"/>
              </w:rPr>
            </w:pPr>
            <w:r w:rsidRPr="00A86781">
              <w:rPr>
                <w:rFonts w:ascii="Calibri" w:eastAsia="Times New Roman" w:hAnsi="Calibri" w:cs="Calibri"/>
                <w:b w:val="0"/>
                <w:bCs w:val="0"/>
                <w:sz w:val="18"/>
                <w:szCs w:val="18"/>
              </w:rPr>
              <w:t>EU-27</w:t>
            </w:r>
          </w:p>
        </w:tc>
        <w:tc>
          <w:tcPr>
            <w:tcW w:w="2090" w:type="dxa"/>
            <w:vMerge w:val="restart"/>
            <w:vAlign w:val="center"/>
            <w:hideMark/>
          </w:tcPr>
          <w:p w14:paraId="627914E7" w14:textId="77777777" w:rsidR="00934806" w:rsidRPr="007D1373"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7D1373">
              <w:rPr>
                <w:rFonts w:ascii="Calibri" w:eastAsia="Times New Roman" w:hAnsi="Calibri" w:cs="Calibri"/>
                <w:color w:val="000000"/>
                <w:sz w:val="18"/>
                <w:szCs w:val="18"/>
              </w:rPr>
              <w:t>Prea scumpe, la distanță prea mare sau existența listelor de așteptare</w:t>
            </w:r>
          </w:p>
        </w:tc>
        <w:tc>
          <w:tcPr>
            <w:tcW w:w="610" w:type="dxa"/>
            <w:noWrap/>
            <w:vAlign w:val="center"/>
            <w:hideMark/>
          </w:tcPr>
          <w:p w14:paraId="5A23BD41"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3.5</w:t>
            </w:r>
          </w:p>
        </w:tc>
        <w:tc>
          <w:tcPr>
            <w:tcW w:w="581" w:type="dxa"/>
            <w:noWrap/>
            <w:vAlign w:val="center"/>
            <w:hideMark/>
          </w:tcPr>
          <w:p w14:paraId="28205090"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3.7</w:t>
            </w:r>
          </w:p>
        </w:tc>
        <w:tc>
          <w:tcPr>
            <w:tcW w:w="581" w:type="dxa"/>
            <w:noWrap/>
            <w:vAlign w:val="center"/>
            <w:hideMark/>
          </w:tcPr>
          <w:p w14:paraId="7ABF7801"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3.8</w:t>
            </w:r>
          </w:p>
        </w:tc>
        <w:tc>
          <w:tcPr>
            <w:tcW w:w="630" w:type="dxa"/>
            <w:noWrap/>
            <w:vAlign w:val="center"/>
            <w:hideMark/>
          </w:tcPr>
          <w:p w14:paraId="1E6BBA72"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4.0</w:t>
            </w:r>
          </w:p>
        </w:tc>
        <w:tc>
          <w:tcPr>
            <w:tcW w:w="581" w:type="dxa"/>
            <w:noWrap/>
            <w:vAlign w:val="center"/>
            <w:hideMark/>
          </w:tcPr>
          <w:p w14:paraId="25DC7976"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3.9</w:t>
            </w:r>
          </w:p>
        </w:tc>
        <w:tc>
          <w:tcPr>
            <w:tcW w:w="581" w:type="dxa"/>
            <w:noWrap/>
            <w:vAlign w:val="center"/>
            <w:hideMark/>
          </w:tcPr>
          <w:p w14:paraId="162C79BD"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3.3</w:t>
            </w:r>
          </w:p>
        </w:tc>
        <w:tc>
          <w:tcPr>
            <w:tcW w:w="581" w:type="dxa"/>
            <w:noWrap/>
            <w:vAlign w:val="center"/>
            <w:hideMark/>
          </w:tcPr>
          <w:p w14:paraId="43470148"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2.8</w:t>
            </w:r>
          </w:p>
        </w:tc>
        <w:tc>
          <w:tcPr>
            <w:tcW w:w="581" w:type="dxa"/>
            <w:noWrap/>
            <w:vAlign w:val="center"/>
            <w:hideMark/>
          </w:tcPr>
          <w:p w14:paraId="1608F4C9"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1.6</w:t>
            </w:r>
          </w:p>
        </w:tc>
        <w:tc>
          <w:tcPr>
            <w:tcW w:w="581" w:type="dxa"/>
            <w:noWrap/>
            <w:vAlign w:val="center"/>
            <w:hideMark/>
          </w:tcPr>
          <w:p w14:paraId="70A37D63"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1.8</w:t>
            </w:r>
          </w:p>
        </w:tc>
        <w:tc>
          <w:tcPr>
            <w:tcW w:w="581" w:type="dxa"/>
            <w:noWrap/>
            <w:vAlign w:val="center"/>
            <w:hideMark/>
          </w:tcPr>
          <w:p w14:paraId="4B0E2BE9"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1.7</w:t>
            </w:r>
          </w:p>
        </w:tc>
        <w:tc>
          <w:tcPr>
            <w:tcW w:w="581" w:type="dxa"/>
            <w:noWrap/>
            <w:vAlign w:val="center"/>
            <w:hideMark/>
          </w:tcPr>
          <w:p w14:paraId="79B767AD" w14:textId="77777777" w:rsidR="00934806" w:rsidRPr="007D1373" w:rsidRDefault="00934806" w:rsidP="00716EBA">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7D1373">
              <w:rPr>
                <w:rFonts w:ascii="Calibri" w:eastAsia="Times New Roman" w:hAnsi="Calibri" w:cs="Calibri"/>
                <w:color w:val="000000"/>
                <w:sz w:val="18"/>
                <w:szCs w:val="18"/>
              </w:rPr>
              <w:t>:</w:t>
            </w:r>
          </w:p>
        </w:tc>
      </w:tr>
      <w:tr w:rsidR="00934806" w:rsidRPr="007D1373" w14:paraId="0CD52817" w14:textId="77777777" w:rsidTr="00A86781">
        <w:trPr>
          <w:trHeight w:val="300"/>
          <w:jc w:val="center"/>
        </w:trPr>
        <w:tc>
          <w:tcPr>
            <w:cnfStyle w:val="001000000000" w:firstRow="0" w:lastRow="0" w:firstColumn="1" w:lastColumn="0" w:oddVBand="0" w:evenVBand="0" w:oddHBand="0" w:evenHBand="0" w:firstRowFirstColumn="0" w:firstRowLastColumn="0" w:lastRowFirstColumn="0" w:lastRowLastColumn="0"/>
            <w:tcW w:w="900" w:type="dxa"/>
            <w:noWrap/>
            <w:vAlign w:val="center"/>
            <w:hideMark/>
          </w:tcPr>
          <w:p w14:paraId="102F5F43" w14:textId="77777777" w:rsidR="00934806" w:rsidRPr="00A86781" w:rsidRDefault="00934806" w:rsidP="00716EBA">
            <w:pPr>
              <w:jc w:val="left"/>
              <w:rPr>
                <w:rFonts w:ascii="Calibri" w:eastAsia="Times New Roman" w:hAnsi="Calibri" w:cs="Calibri"/>
                <w:b w:val="0"/>
                <w:bCs w:val="0"/>
                <w:color w:val="000000"/>
                <w:sz w:val="18"/>
                <w:szCs w:val="18"/>
              </w:rPr>
            </w:pPr>
            <w:r w:rsidRPr="00A86781">
              <w:rPr>
                <w:rFonts w:ascii="Calibri" w:eastAsia="Times New Roman" w:hAnsi="Calibri" w:cs="Calibri"/>
                <w:b w:val="0"/>
                <w:bCs w:val="0"/>
                <w:color w:val="000000"/>
                <w:sz w:val="18"/>
                <w:szCs w:val="18"/>
              </w:rPr>
              <w:t>România</w:t>
            </w:r>
          </w:p>
        </w:tc>
        <w:tc>
          <w:tcPr>
            <w:tcW w:w="2090" w:type="dxa"/>
            <w:vMerge/>
            <w:vAlign w:val="center"/>
            <w:hideMark/>
          </w:tcPr>
          <w:p w14:paraId="0466581F" w14:textId="77777777" w:rsidR="00934806" w:rsidRPr="007D1373"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p>
        </w:tc>
        <w:tc>
          <w:tcPr>
            <w:tcW w:w="610" w:type="dxa"/>
            <w:noWrap/>
            <w:vAlign w:val="center"/>
            <w:hideMark/>
          </w:tcPr>
          <w:p w14:paraId="654F5B60"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11.1</w:t>
            </w:r>
          </w:p>
        </w:tc>
        <w:tc>
          <w:tcPr>
            <w:tcW w:w="581" w:type="dxa"/>
            <w:noWrap/>
            <w:vAlign w:val="center"/>
            <w:hideMark/>
          </w:tcPr>
          <w:p w14:paraId="307161F8"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12.2</w:t>
            </w:r>
          </w:p>
        </w:tc>
        <w:tc>
          <w:tcPr>
            <w:tcW w:w="581" w:type="dxa"/>
            <w:noWrap/>
            <w:vAlign w:val="center"/>
            <w:hideMark/>
          </w:tcPr>
          <w:p w14:paraId="08C836BF"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11.7</w:t>
            </w:r>
          </w:p>
        </w:tc>
        <w:tc>
          <w:tcPr>
            <w:tcW w:w="630" w:type="dxa"/>
            <w:noWrap/>
            <w:vAlign w:val="center"/>
            <w:hideMark/>
          </w:tcPr>
          <w:p w14:paraId="03E8F417"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10.9</w:t>
            </w:r>
          </w:p>
        </w:tc>
        <w:tc>
          <w:tcPr>
            <w:tcW w:w="581" w:type="dxa"/>
            <w:noWrap/>
            <w:vAlign w:val="center"/>
            <w:hideMark/>
          </w:tcPr>
          <w:p w14:paraId="1AE8BA66"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9.8</w:t>
            </w:r>
          </w:p>
        </w:tc>
        <w:tc>
          <w:tcPr>
            <w:tcW w:w="581" w:type="dxa"/>
            <w:noWrap/>
            <w:vAlign w:val="center"/>
            <w:hideMark/>
          </w:tcPr>
          <w:p w14:paraId="6D439CB0"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9.4</w:t>
            </w:r>
          </w:p>
        </w:tc>
        <w:tc>
          <w:tcPr>
            <w:tcW w:w="581" w:type="dxa"/>
            <w:noWrap/>
            <w:vAlign w:val="center"/>
            <w:hideMark/>
          </w:tcPr>
          <w:p w14:paraId="55DF10A2"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6.5</w:t>
            </w:r>
          </w:p>
        </w:tc>
        <w:tc>
          <w:tcPr>
            <w:tcW w:w="581" w:type="dxa"/>
            <w:noWrap/>
            <w:vAlign w:val="center"/>
            <w:hideMark/>
          </w:tcPr>
          <w:p w14:paraId="698E0B10"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4.7</w:t>
            </w:r>
          </w:p>
        </w:tc>
        <w:tc>
          <w:tcPr>
            <w:tcW w:w="581" w:type="dxa"/>
            <w:noWrap/>
            <w:vAlign w:val="center"/>
            <w:hideMark/>
          </w:tcPr>
          <w:p w14:paraId="094B5A74"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4.9</w:t>
            </w:r>
          </w:p>
        </w:tc>
        <w:tc>
          <w:tcPr>
            <w:tcW w:w="581" w:type="dxa"/>
            <w:noWrap/>
            <w:vAlign w:val="center"/>
            <w:hideMark/>
          </w:tcPr>
          <w:p w14:paraId="2AD9CE5D"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4.9</w:t>
            </w:r>
          </w:p>
        </w:tc>
        <w:tc>
          <w:tcPr>
            <w:tcW w:w="581" w:type="dxa"/>
            <w:noWrap/>
            <w:vAlign w:val="center"/>
            <w:hideMark/>
          </w:tcPr>
          <w:p w14:paraId="00CE7E6F"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4.7</w:t>
            </w:r>
          </w:p>
        </w:tc>
      </w:tr>
      <w:tr w:rsidR="00934806" w:rsidRPr="007D1373" w14:paraId="1F941454" w14:textId="77777777" w:rsidTr="00A867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00" w:type="dxa"/>
            <w:noWrap/>
            <w:vAlign w:val="center"/>
            <w:hideMark/>
          </w:tcPr>
          <w:p w14:paraId="686FC3EF" w14:textId="77777777" w:rsidR="00934806" w:rsidRPr="00A86781" w:rsidRDefault="00934806" w:rsidP="00716EBA">
            <w:pPr>
              <w:jc w:val="left"/>
              <w:rPr>
                <w:rFonts w:ascii="Calibri" w:eastAsia="Times New Roman" w:hAnsi="Calibri" w:cs="Calibri"/>
                <w:b w:val="0"/>
                <w:bCs w:val="0"/>
                <w:sz w:val="18"/>
                <w:szCs w:val="18"/>
              </w:rPr>
            </w:pPr>
            <w:r w:rsidRPr="00A86781">
              <w:rPr>
                <w:rFonts w:ascii="Calibri" w:eastAsia="Times New Roman" w:hAnsi="Calibri" w:cs="Calibri"/>
                <w:b w:val="0"/>
                <w:bCs w:val="0"/>
                <w:sz w:val="18"/>
                <w:szCs w:val="18"/>
              </w:rPr>
              <w:t>EU-27</w:t>
            </w:r>
          </w:p>
        </w:tc>
        <w:tc>
          <w:tcPr>
            <w:tcW w:w="2090" w:type="dxa"/>
            <w:vMerge w:val="restart"/>
            <w:noWrap/>
            <w:vAlign w:val="center"/>
            <w:hideMark/>
          </w:tcPr>
          <w:p w14:paraId="22BC9B67" w14:textId="77777777" w:rsidR="00934806" w:rsidRPr="007D1373"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7D1373">
              <w:rPr>
                <w:rFonts w:ascii="Calibri" w:eastAsia="Times New Roman" w:hAnsi="Calibri" w:cs="Calibri"/>
                <w:color w:val="000000"/>
                <w:sz w:val="18"/>
                <w:szCs w:val="18"/>
              </w:rPr>
              <w:t>Lipsa timpului disponibil</w:t>
            </w:r>
          </w:p>
        </w:tc>
        <w:tc>
          <w:tcPr>
            <w:tcW w:w="610" w:type="dxa"/>
            <w:noWrap/>
            <w:vAlign w:val="center"/>
            <w:hideMark/>
          </w:tcPr>
          <w:p w14:paraId="38A28C0B"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1.1</w:t>
            </w:r>
          </w:p>
        </w:tc>
        <w:tc>
          <w:tcPr>
            <w:tcW w:w="581" w:type="dxa"/>
            <w:noWrap/>
            <w:vAlign w:val="center"/>
            <w:hideMark/>
          </w:tcPr>
          <w:p w14:paraId="4EE362BA"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1.0</w:t>
            </w:r>
          </w:p>
        </w:tc>
        <w:tc>
          <w:tcPr>
            <w:tcW w:w="581" w:type="dxa"/>
            <w:noWrap/>
            <w:vAlign w:val="center"/>
            <w:hideMark/>
          </w:tcPr>
          <w:p w14:paraId="044F6685"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1.0</w:t>
            </w:r>
          </w:p>
        </w:tc>
        <w:tc>
          <w:tcPr>
            <w:tcW w:w="630" w:type="dxa"/>
            <w:noWrap/>
            <w:vAlign w:val="center"/>
            <w:hideMark/>
          </w:tcPr>
          <w:p w14:paraId="751CB3D6"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1.0</w:t>
            </w:r>
          </w:p>
        </w:tc>
        <w:tc>
          <w:tcPr>
            <w:tcW w:w="581" w:type="dxa"/>
            <w:noWrap/>
            <w:vAlign w:val="center"/>
            <w:hideMark/>
          </w:tcPr>
          <w:p w14:paraId="692C096F"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0.9</w:t>
            </w:r>
          </w:p>
        </w:tc>
        <w:tc>
          <w:tcPr>
            <w:tcW w:w="581" w:type="dxa"/>
            <w:noWrap/>
            <w:vAlign w:val="center"/>
            <w:hideMark/>
          </w:tcPr>
          <w:p w14:paraId="5972C85B"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0.5</w:t>
            </w:r>
          </w:p>
        </w:tc>
        <w:tc>
          <w:tcPr>
            <w:tcW w:w="581" w:type="dxa"/>
            <w:noWrap/>
            <w:vAlign w:val="center"/>
            <w:hideMark/>
          </w:tcPr>
          <w:p w14:paraId="237D2D84"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0.5</w:t>
            </w:r>
          </w:p>
        </w:tc>
        <w:tc>
          <w:tcPr>
            <w:tcW w:w="581" w:type="dxa"/>
            <w:noWrap/>
            <w:vAlign w:val="center"/>
            <w:hideMark/>
          </w:tcPr>
          <w:p w14:paraId="1447EE5B"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0.3</w:t>
            </w:r>
          </w:p>
        </w:tc>
        <w:tc>
          <w:tcPr>
            <w:tcW w:w="581" w:type="dxa"/>
            <w:noWrap/>
            <w:vAlign w:val="center"/>
            <w:hideMark/>
          </w:tcPr>
          <w:p w14:paraId="268FE4E3"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0.3</w:t>
            </w:r>
          </w:p>
        </w:tc>
        <w:tc>
          <w:tcPr>
            <w:tcW w:w="581" w:type="dxa"/>
            <w:noWrap/>
            <w:vAlign w:val="center"/>
            <w:hideMark/>
          </w:tcPr>
          <w:p w14:paraId="794CAB68"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0.3</w:t>
            </w:r>
          </w:p>
        </w:tc>
        <w:tc>
          <w:tcPr>
            <w:tcW w:w="581" w:type="dxa"/>
            <w:noWrap/>
            <w:vAlign w:val="center"/>
            <w:hideMark/>
          </w:tcPr>
          <w:p w14:paraId="0D58B7E9" w14:textId="77777777" w:rsidR="00934806" w:rsidRPr="007D1373" w:rsidRDefault="00934806" w:rsidP="00716EBA">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7D1373">
              <w:rPr>
                <w:rFonts w:ascii="Calibri" w:eastAsia="Times New Roman" w:hAnsi="Calibri" w:cs="Calibri"/>
                <w:color w:val="000000"/>
                <w:sz w:val="18"/>
                <w:szCs w:val="18"/>
              </w:rPr>
              <w:t>:</w:t>
            </w:r>
          </w:p>
        </w:tc>
      </w:tr>
      <w:tr w:rsidR="00934806" w:rsidRPr="007D1373" w14:paraId="127D355F" w14:textId="77777777" w:rsidTr="00A86781">
        <w:trPr>
          <w:trHeight w:val="300"/>
          <w:jc w:val="center"/>
        </w:trPr>
        <w:tc>
          <w:tcPr>
            <w:cnfStyle w:val="001000000000" w:firstRow="0" w:lastRow="0" w:firstColumn="1" w:lastColumn="0" w:oddVBand="0" w:evenVBand="0" w:oddHBand="0" w:evenHBand="0" w:firstRowFirstColumn="0" w:firstRowLastColumn="0" w:lastRowFirstColumn="0" w:lastRowLastColumn="0"/>
            <w:tcW w:w="900" w:type="dxa"/>
            <w:noWrap/>
            <w:vAlign w:val="center"/>
            <w:hideMark/>
          </w:tcPr>
          <w:p w14:paraId="0EDC9437" w14:textId="77777777" w:rsidR="00934806" w:rsidRPr="00A86781" w:rsidRDefault="00934806" w:rsidP="00716EBA">
            <w:pPr>
              <w:jc w:val="left"/>
              <w:rPr>
                <w:rFonts w:ascii="Calibri" w:eastAsia="Times New Roman" w:hAnsi="Calibri" w:cs="Calibri"/>
                <w:b w:val="0"/>
                <w:bCs w:val="0"/>
                <w:color w:val="000000"/>
                <w:sz w:val="18"/>
                <w:szCs w:val="18"/>
              </w:rPr>
            </w:pPr>
            <w:r w:rsidRPr="00A86781">
              <w:rPr>
                <w:rFonts w:ascii="Calibri" w:eastAsia="Times New Roman" w:hAnsi="Calibri" w:cs="Calibri"/>
                <w:b w:val="0"/>
                <w:bCs w:val="0"/>
                <w:color w:val="000000"/>
                <w:sz w:val="18"/>
                <w:szCs w:val="18"/>
              </w:rPr>
              <w:t>România</w:t>
            </w:r>
          </w:p>
        </w:tc>
        <w:tc>
          <w:tcPr>
            <w:tcW w:w="2090" w:type="dxa"/>
            <w:vMerge/>
            <w:vAlign w:val="center"/>
            <w:hideMark/>
          </w:tcPr>
          <w:p w14:paraId="3F2EB036" w14:textId="77777777" w:rsidR="00934806" w:rsidRPr="007D1373" w:rsidRDefault="00934806" w:rsidP="00716E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p>
        </w:tc>
        <w:tc>
          <w:tcPr>
            <w:tcW w:w="610" w:type="dxa"/>
            <w:noWrap/>
            <w:vAlign w:val="center"/>
            <w:hideMark/>
          </w:tcPr>
          <w:p w14:paraId="7D2AE43A"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0.6</w:t>
            </w:r>
          </w:p>
        </w:tc>
        <w:tc>
          <w:tcPr>
            <w:tcW w:w="581" w:type="dxa"/>
            <w:noWrap/>
            <w:vAlign w:val="center"/>
            <w:hideMark/>
          </w:tcPr>
          <w:p w14:paraId="71827263"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0.5</w:t>
            </w:r>
          </w:p>
        </w:tc>
        <w:tc>
          <w:tcPr>
            <w:tcW w:w="581" w:type="dxa"/>
            <w:noWrap/>
            <w:vAlign w:val="center"/>
            <w:hideMark/>
          </w:tcPr>
          <w:p w14:paraId="346B40C5"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0.5</w:t>
            </w:r>
          </w:p>
        </w:tc>
        <w:tc>
          <w:tcPr>
            <w:tcW w:w="630" w:type="dxa"/>
            <w:noWrap/>
            <w:vAlign w:val="center"/>
            <w:hideMark/>
          </w:tcPr>
          <w:p w14:paraId="11A08256"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0.4</w:t>
            </w:r>
          </w:p>
        </w:tc>
        <w:tc>
          <w:tcPr>
            <w:tcW w:w="581" w:type="dxa"/>
            <w:noWrap/>
            <w:vAlign w:val="center"/>
            <w:hideMark/>
          </w:tcPr>
          <w:p w14:paraId="55B4DCA1"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0.3</w:t>
            </w:r>
          </w:p>
        </w:tc>
        <w:tc>
          <w:tcPr>
            <w:tcW w:w="581" w:type="dxa"/>
            <w:noWrap/>
            <w:vAlign w:val="center"/>
            <w:hideMark/>
          </w:tcPr>
          <w:p w14:paraId="1680FFF5"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0.3</w:t>
            </w:r>
          </w:p>
        </w:tc>
        <w:tc>
          <w:tcPr>
            <w:tcW w:w="581" w:type="dxa"/>
            <w:noWrap/>
            <w:vAlign w:val="center"/>
            <w:hideMark/>
          </w:tcPr>
          <w:p w14:paraId="6DE809F5"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0.3</w:t>
            </w:r>
          </w:p>
        </w:tc>
        <w:tc>
          <w:tcPr>
            <w:tcW w:w="581" w:type="dxa"/>
            <w:noWrap/>
            <w:vAlign w:val="center"/>
            <w:hideMark/>
          </w:tcPr>
          <w:p w14:paraId="79D2DF6E"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0.3</w:t>
            </w:r>
          </w:p>
        </w:tc>
        <w:tc>
          <w:tcPr>
            <w:tcW w:w="581" w:type="dxa"/>
            <w:noWrap/>
            <w:vAlign w:val="center"/>
            <w:hideMark/>
          </w:tcPr>
          <w:p w14:paraId="29D280AA"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0.4</w:t>
            </w:r>
          </w:p>
        </w:tc>
        <w:tc>
          <w:tcPr>
            <w:tcW w:w="581" w:type="dxa"/>
            <w:noWrap/>
            <w:vAlign w:val="center"/>
            <w:hideMark/>
          </w:tcPr>
          <w:p w14:paraId="0B9EBD6C"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0.3</w:t>
            </w:r>
          </w:p>
        </w:tc>
        <w:tc>
          <w:tcPr>
            <w:tcW w:w="581" w:type="dxa"/>
            <w:noWrap/>
            <w:vAlign w:val="center"/>
            <w:hideMark/>
          </w:tcPr>
          <w:p w14:paraId="63D58C88"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0.3</w:t>
            </w:r>
          </w:p>
        </w:tc>
      </w:tr>
      <w:tr w:rsidR="00934806" w:rsidRPr="007D1373" w14:paraId="33DDE1E8" w14:textId="77777777" w:rsidTr="00A867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00" w:type="dxa"/>
            <w:noWrap/>
            <w:vAlign w:val="center"/>
            <w:hideMark/>
          </w:tcPr>
          <w:p w14:paraId="68752991" w14:textId="77777777" w:rsidR="00934806" w:rsidRPr="00A86781" w:rsidRDefault="00934806" w:rsidP="00716EBA">
            <w:pPr>
              <w:jc w:val="left"/>
              <w:rPr>
                <w:rFonts w:ascii="Calibri" w:eastAsia="Times New Roman" w:hAnsi="Calibri" w:cs="Calibri"/>
                <w:b w:val="0"/>
                <w:bCs w:val="0"/>
                <w:sz w:val="18"/>
                <w:szCs w:val="18"/>
              </w:rPr>
            </w:pPr>
            <w:r w:rsidRPr="00A86781">
              <w:rPr>
                <w:rFonts w:ascii="Calibri" w:eastAsia="Times New Roman" w:hAnsi="Calibri" w:cs="Calibri"/>
                <w:b w:val="0"/>
                <w:bCs w:val="0"/>
                <w:sz w:val="18"/>
                <w:szCs w:val="18"/>
              </w:rPr>
              <w:t>EU-27</w:t>
            </w:r>
          </w:p>
        </w:tc>
        <w:tc>
          <w:tcPr>
            <w:tcW w:w="2090" w:type="dxa"/>
            <w:vMerge w:val="restart"/>
            <w:noWrap/>
            <w:vAlign w:val="center"/>
            <w:hideMark/>
          </w:tcPr>
          <w:p w14:paraId="71C89862" w14:textId="77777777" w:rsidR="00934806" w:rsidRPr="007D1373" w:rsidRDefault="00934806" w:rsidP="00716E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7D1373">
              <w:rPr>
                <w:rFonts w:ascii="Calibri" w:eastAsia="Times New Roman" w:hAnsi="Calibri" w:cs="Calibri"/>
                <w:color w:val="000000"/>
                <w:sz w:val="18"/>
                <w:szCs w:val="18"/>
              </w:rPr>
              <w:t>Nu sunt nevoi medicale neacoperite</w:t>
            </w:r>
          </w:p>
        </w:tc>
        <w:tc>
          <w:tcPr>
            <w:tcW w:w="610" w:type="dxa"/>
            <w:noWrap/>
            <w:vAlign w:val="center"/>
            <w:hideMark/>
          </w:tcPr>
          <w:p w14:paraId="378AD958"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92.9</w:t>
            </w:r>
          </w:p>
        </w:tc>
        <w:tc>
          <w:tcPr>
            <w:tcW w:w="581" w:type="dxa"/>
            <w:noWrap/>
            <w:vAlign w:val="center"/>
            <w:hideMark/>
          </w:tcPr>
          <w:p w14:paraId="64C0D49E"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92.9</w:t>
            </w:r>
          </w:p>
        </w:tc>
        <w:tc>
          <w:tcPr>
            <w:tcW w:w="581" w:type="dxa"/>
            <w:noWrap/>
            <w:vAlign w:val="center"/>
            <w:hideMark/>
          </w:tcPr>
          <w:p w14:paraId="54A98E75"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93.0</w:t>
            </w:r>
          </w:p>
        </w:tc>
        <w:tc>
          <w:tcPr>
            <w:tcW w:w="630" w:type="dxa"/>
            <w:noWrap/>
            <w:vAlign w:val="center"/>
            <w:hideMark/>
          </w:tcPr>
          <w:p w14:paraId="07CB0F46"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92.5</w:t>
            </w:r>
          </w:p>
        </w:tc>
        <w:tc>
          <w:tcPr>
            <w:tcW w:w="581" w:type="dxa"/>
            <w:noWrap/>
            <w:vAlign w:val="center"/>
            <w:hideMark/>
          </w:tcPr>
          <w:p w14:paraId="1415B212"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92.8</w:t>
            </w:r>
          </w:p>
        </w:tc>
        <w:tc>
          <w:tcPr>
            <w:tcW w:w="581" w:type="dxa"/>
            <w:noWrap/>
            <w:vAlign w:val="center"/>
            <w:hideMark/>
          </w:tcPr>
          <w:p w14:paraId="1F5D1483"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94.8</w:t>
            </w:r>
          </w:p>
        </w:tc>
        <w:tc>
          <w:tcPr>
            <w:tcW w:w="581" w:type="dxa"/>
            <w:noWrap/>
            <w:vAlign w:val="center"/>
            <w:hideMark/>
          </w:tcPr>
          <w:p w14:paraId="50E8B35D"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95.3</w:t>
            </w:r>
          </w:p>
        </w:tc>
        <w:tc>
          <w:tcPr>
            <w:tcW w:w="581" w:type="dxa"/>
            <w:noWrap/>
            <w:vAlign w:val="center"/>
            <w:hideMark/>
          </w:tcPr>
          <w:p w14:paraId="0A35E575"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97.0</w:t>
            </w:r>
          </w:p>
        </w:tc>
        <w:tc>
          <w:tcPr>
            <w:tcW w:w="581" w:type="dxa"/>
            <w:noWrap/>
            <w:vAlign w:val="center"/>
            <w:hideMark/>
          </w:tcPr>
          <w:p w14:paraId="50B077D8"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96.8</w:t>
            </w:r>
          </w:p>
        </w:tc>
        <w:tc>
          <w:tcPr>
            <w:tcW w:w="581" w:type="dxa"/>
            <w:noWrap/>
            <w:vAlign w:val="center"/>
            <w:hideMark/>
          </w:tcPr>
          <w:p w14:paraId="1CF2781B"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97.0</w:t>
            </w:r>
          </w:p>
        </w:tc>
        <w:tc>
          <w:tcPr>
            <w:tcW w:w="581" w:type="dxa"/>
            <w:noWrap/>
            <w:vAlign w:val="center"/>
            <w:hideMark/>
          </w:tcPr>
          <w:p w14:paraId="1CF66719" w14:textId="77777777" w:rsidR="00934806" w:rsidRPr="007D1373" w:rsidRDefault="00934806" w:rsidP="00716EBA">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7D1373">
              <w:rPr>
                <w:rFonts w:ascii="Calibri" w:eastAsia="Times New Roman" w:hAnsi="Calibri" w:cs="Calibri"/>
                <w:color w:val="000000"/>
                <w:sz w:val="18"/>
                <w:szCs w:val="18"/>
              </w:rPr>
              <w:t>:</w:t>
            </w:r>
          </w:p>
        </w:tc>
      </w:tr>
      <w:tr w:rsidR="00934806" w:rsidRPr="007D1373" w14:paraId="2528C3D8" w14:textId="77777777" w:rsidTr="00A86781">
        <w:trPr>
          <w:trHeight w:val="300"/>
          <w:jc w:val="center"/>
        </w:trPr>
        <w:tc>
          <w:tcPr>
            <w:cnfStyle w:val="001000000000" w:firstRow="0" w:lastRow="0" w:firstColumn="1" w:lastColumn="0" w:oddVBand="0" w:evenVBand="0" w:oddHBand="0" w:evenHBand="0" w:firstRowFirstColumn="0" w:firstRowLastColumn="0" w:lastRowFirstColumn="0" w:lastRowLastColumn="0"/>
            <w:tcW w:w="900" w:type="dxa"/>
            <w:noWrap/>
            <w:vAlign w:val="center"/>
            <w:hideMark/>
          </w:tcPr>
          <w:p w14:paraId="6230411E" w14:textId="77777777" w:rsidR="00934806" w:rsidRPr="00A86781" w:rsidRDefault="00934806" w:rsidP="00716EBA">
            <w:pPr>
              <w:jc w:val="left"/>
              <w:rPr>
                <w:rFonts w:ascii="Calibri" w:eastAsia="Times New Roman" w:hAnsi="Calibri" w:cs="Calibri"/>
                <w:b w:val="0"/>
                <w:bCs w:val="0"/>
                <w:color w:val="000000"/>
                <w:sz w:val="18"/>
                <w:szCs w:val="18"/>
              </w:rPr>
            </w:pPr>
            <w:r w:rsidRPr="00A86781">
              <w:rPr>
                <w:rFonts w:ascii="Calibri" w:eastAsia="Times New Roman" w:hAnsi="Calibri" w:cs="Calibri"/>
                <w:b w:val="0"/>
                <w:bCs w:val="0"/>
                <w:color w:val="000000"/>
                <w:sz w:val="18"/>
                <w:szCs w:val="18"/>
              </w:rPr>
              <w:t>România</w:t>
            </w:r>
          </w:p>
        </w:tc>
        <w:tc>
          <w:tcPr>
            <w:tcW w:w="2090" w:type="dxa"/>
            <w:vMerge/>
            <w:vAlign w:val="center"/>
            <w:hideMark/>
          </w:tcPr>
          <w:p w14:paraId="703F12CF" w14:textId="77777777" w:rsidR="00934806" w:rsidRPr="007D1373" w:rsidRDefault="00934806" w:rsidP="00716EB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p>
        </w:tc>
        <w:tc>
          <w:tcPr>
            <w:tcW w:w="610" w:type="dxa"/>
            <w:noWrap/>
            <w:vAlign w:val="center"/>
            <w:hideMark/>
          </w:tcPr>
          <w:p w14:paraId="3EC17327"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86.2</w:t>
            </w:r>
          </w:p>
        </w:tc>
        <w:tc>
          <w:tcPr>
            <w:tcW w:w="581" w:type="dxa"/>
            <w:noWrap/>
            <w:vAlign w:val="center"/>
            <w:hideMark/>
          </w:tcPr>
          <w:p w14:paraId="1E6B84FF"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85.4</w:t>
            </w:r>
          </w:p>
        </w:tc>
        <w:tc>
          <w:tcPr>
            <w:tcW w:w="581" w:type="dxa"/>
            <w:noWrap/>
            <w:vAlign w:val="center"/>
            <w:hideMark/>
          </w:tcPr>
          <w:p w14:paraId="1DD9FEB5"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86.0</w:t>
            </w:r>
          </w:p>
        </w:tc>
        <w:tc>
          <w:tcPr>
            <w:tcW w:w="630" w:type="dxa"/>
            <w:noWrap/>
            <w:vAlign w:val="center"/>
            <w:hideMark/>
          </w:tcPr>
          <w:p w14:paraId="4F0D37F3"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86.9</w:t>
            </w:r>
          </w:p>
        </w:tc>
        <w:tc>
          <w:tcPr>
            <w:tcW w:w="581" w:type="dxa"/>
            <w:noWrap/>
            <w:vAlign w:val="center"/>
            <w:hideMark/>
          </w:tcPr>
          <w:p w14:paraId="49284915"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88.1</w:t>
            </w:r>
          </w:p>
        </w:tc>
        <w:tc>
          <w:tcPr>
            <w:tcW w:w="581" w:type="dxa"/>
            <w:noWrap/>
            <w:vAlign w:val="center"/>
            <w:hideMark/>
          </w:tcPr>
          <w:p w14:paraId="2988825F"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88.5</w:t>
            </w:r>
          </w:p>
        </w:tc>
        <w:tc>
          <w:tcPr>
            <w:tcW w:w="581" w:type="dxa"/>
            <w:noWrap/>
            <w:vAlign w:val="center"/>
            <w:hideMark/>
          </w:tcPr>
          <w:p w14:paraId="74FE44E2"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91.4</w:t>
            </w:r>
          </w:p>
        </w:tc>
        <w:tc>
          <w:tcPr>
            <w:tcW w:w="581" w:type="dxa"/>
            <w:noWrap/>
            <w:vAlign w:val="center"/>
            <w:hideMark/>
          </w:tcPr>
          <w:p w14:paraId="59A59227"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93.3</w:t>
            </w:r>
          </w:p>
        </w:tc>
        <w:tc>
          <w:tcPr>
            <w:tcW w:w="581" w:type="dxa"/>
            <w:noWrap/>
            <w:vAlign w:val="center"/>
            <w:hideMark/>
          </w:tcPr>
          <w:p w14:paraId="3FE4CC57"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93.1</w:t>
            </w:r>
          </w:p>
        </w:tc>
        <w:tc>
          <w:tcPr>
            <w:tcW w:w="581" w:type="dxa"/>
            <w:noWrap/>
            <w:vAlign w:val="center"/>
            <w:hideMark/>
          </w:tcPr>
          <w:p w14:paraId="47800E35"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93.1</w:t>
            </w:r>
          </w:p>
        </w:tc>
        <w:tc>
          <w:tcPr>
            <w:tcW w:w="581" w:type="dxa"/>
            <w:noWrap/>
            <w:vAlign w:val="center"/>
            <w:hideMark/>
          </w:tcPr>
          <w:p w14:paraId="16ADD09D"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7D1373">
              <w:rPr>
                <w:rFonts w:ascii="Calibri" w:eastAsia="Times New Roman" w:hAnsi="Calibri" w:cs="Calibri"/>
                <w:sz w:val="18"/>
                <w:szCs w:val="18"/>
              </w:rPr>
              <w:t>93.3</w:t>
            </w:r>
          </w:p>
        </w:tc>
      </w:tr>
    </w:tbl>
    <w:p w14:paraId="27EE00C6" w14:textId="77777777" w:rsidR="00934806" w:rsidRPr="002F6715" w:rsidRDefault="00934806" w:rsidP="00934806">
      <w:pPr>
        <w:spacing w:after="0"/>
        <w:rPr>
          <w:i/>
          <w:iCs/>
          <w:sz w:val="16"/>
          <w:szCs w:val="16"/>
        </w:rPr>
      </w:pPr>
      <w:r w:rsidRPr="002F6715">
        <w:rPr>
          <w:i/>
          <w:iCs/>
          <w:sz w:val="16"/>
          <w:szCs w:val="16"/>
        </w:rPr>
        <w:t>Sursa: Eurostat, Nevoi nesatisfăcute auto-raportate de examinare medicală în funcție de sex, vârstă, motiv principal declarat și stare de muncă [hlth_silc_13]</w:t>
      </w:r>
    </w:p>
    <w:p w14:paraId="70A07475" w14:textId="77777777" w:rsidR="00934806" w:rsidRPr="007D1373" w:rsidRDefault="00934806" w:rsidP="00934806">
      <w:pPr>
        <w:spacing w:after="0"/>
      </w:pPr>
    </w:p>
    <w:p w14:paraId="56A0A61D" w14:textId="77777777" w:rsidR="00934806" w:rsidRPr="007D1373" w:rsidRDefault="00934806" w:rsidP="00934806">
      <w:pPr>
        <w:spacing w:after="0"/>
      </w:pPr>
      <w:r w:rsidRPr="007D1373">
        <w:t>Ponderea persoanelor din România care au o boală de lungă durată sau o problemă de sănătate s-a redus ușor în ultimii 10 ani, de la 21% la 19.7%. comparativ cu 2019, procentul a crescut cu 0.8% pe fondul problemelor de acces la serviciile medicale din perioada pandemiei COVID-19. Comparativ cu media UE-27, procentul românilor care au o boală de lungă durată sau o problemă de sănătate este mult mai mic. Există diferențe între mediile de rezidență, procentul fiind mai mare în mediul rural. Procentul celor care au o boală de lungă durată sau o problemă de sănătate este mai mare în cazul celor aflați în primele două quintile de venit (cei mai săraci). (</w:t>
      </w:r>
      <w:r w:rsidRPr="007D1373">
        <w:fldChar w:fldCharType="begin"/>
      </w:r>
      <w:r w:rsidRPr="007D1373">
        <w:instrText xml:space="preserve"> REF _Ref86888651 \h </w:instrText>
      </w:r>
      <w:r w:rsidRPr="007D1373">
        <w:fldChar w:fldCharType="separate"/>
      </w:r>
      <w:r w:rsidRPr="007D1373">
        <w:t xml:space="preserve">Tabelul </w:t>
      </w:r>
      <w:r w:rsidRPr="007D1373">
        <w:rPr>
          <w:noProof/>
        </w:rPr>
        <w:t>9</w:t>
      </w:r>
      <w:r w:rsidRPr="007D1373">
        <w:fldChar w:fldCharType="end"/>
      </w:r>
      <w:r w:rsidRPr="007D1373">
        <w:t>)</w:t>
      </w:r>
    </w:p>
    <w:p w14:paraId="6C1178E1" w14:textId="77777777" w:rsidR="00934806" w:rsidRPr="007D1373" w:rsidRDefault="00934806" w:rsidP="00934806">
      <w:pPr>
        <w:spacing w:after="0"/>
      </w:pPr>
    </w:p>
    <w:p w14:paraId="7557417A" w14:textId="22CCF8F2" w:rsidR="00934806" w:rsidRPr="007D1373" w:rsidRDefault="0089533D" w:rsidP="0089533D">
      <w:pPr>
        <w:pStyle w:val="Caption"/>
      </w:pPr>
      <w:bookmarkStart w:id="27" w:name="_Toc86993605"/>
      <w:r>
        <w:t xml:space="preserve">Tabel </w:t>
      </w:r>
      <w:r>
        <w:fldChar w:fldCharType="begin"/>
      </w:r>
      <w:r>
        <w:instrText xml:space="preserve"> SEQ Tabel \* ARABIC </w:instrText>
      </w:r>
      <w:r>
        <w:fldChar w:fldCharType="separate"/>
      </w:r>
      <w:r>
        <w:rPr>
          <w:noProof/>
        </w:rPr>
        <w:t>9</w:t>
      </w:r>
      <w:r>
        <w:fldChar w:fldCharType="end"/>
      </w:r>
      <w:r>
        <w:t xml:space="preserve"> </w:t>
      </w:r>
      <w:r w:rsidRPr="006E27A2">
        <w:t>Persoane care au o boală de lungă durată sau o problemă de sănătate</w:t>
      </w:r>
      <w:bookmarkEnd w:id="27"/>
    </w:p>
    <w:tbl>
      <w:tblPr>
        <w:tblStyle w:val="GridTable4-Accent1"/>
        <w:tblW w:w="8926" w:type="dxa"/>
        <w:tblLook w:val="04A0" w:firstRow="1" w:lastRow="0" w:firstColumn="1" w:lastColumn="0" w:noHBand="0" w:noVBand="1"/>
      </w:tblPr>
      <w:tblGrid>
        <w:gridCol w:w="1696"/>
        <w:gridCol w:w="622"/>
        <w:gridCol w:w="663"/>
        <w:gridCol w:w="663"/>
        <w:gridCol w:w="663"/>
        <w:gridCol w:w="663"/>
        <w:gridCol w:w="663"/>
        <w:gridCol w:w="663"/>
        <w:gridCol w:w="663"/>
        <w:gridCol w:w="663"/>
        <w:gridCol w:w="663"/>
        <w:gridCol w:w="951"/>
      </w:tblGrid>
      <w:tr w:rsidR="00934806" w:rsidRPr="007D1373" w14:paraId="3C40EEB8" w14:textId="77777777" w:rsidTr="00B573A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F77DB55" w14:textId="77777777" w:rsidR="00934806" w:rsidRPr="00B573A7" w:rsidRDefault="00934806" w:rsidP="00716EBA">
            <w:pPr>
              <w:jc w:val="left"/>
              <w:rPr>
                <w:rFonts w:eastAsia="Times New Roman" w:cstheme="minorHAnsi"/>
                <w:b w:val="0"/>
                <w:bCs w:val="0"/>
              </w:rPr>
            </w:pPr>
            <w:r w:rsidRPr="00B573A7">
              <w:rPr>
                <w:rFonts w:eastAsia="Times New Roman" w:cstheme="minorHAnsi"/>
              </w:rPr>
              <w:t>România</w:t>
            </w:r>
          </w:p>
        </w:tc>
        <w:tc>
          <w:tcPr>
            <w:tcW w:w="312" w:type="dxa"/>
            <w:noWrap/>
            <w:hideMark/>
          </w:tcPr>
          <w:p w14:paraId="24262904" w14:textId="77777777" w:rsidR="00934806" w:rsidRPr="00B573A7" w:rsidRDefault="00934806" w:rsidP="00716EBA">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573A7">
              <w:rPr>
                <w:rFonts w:eastAsia="Times New Roman" w:cstheme="minorHAnsi"/>
              </w:rPr>
              <w:t>2010</w:t>
            </w:r>
          </w:p>
        </w:tc>
        <w:tc>
          <w:tcPr>
            <w:tcW w:w="663" w:type="dxa"/>
            <w:noWrap/>
            <w:hideMark/>
          </w:tcPr>
          <w:p w14:paraId="67004FD3" w14:textId="77777777" w:rsidR="00934806" w:rsidRPr="007D1373" w:rsidRDefault="00934806" w:rsidP="00716EBA">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7D1373">
              <w:rPr>
                <w:rFonts w:eastAsia="Times New Roman" w:cstheme="minorHAnsi"/>
              </w:rPr>
              <w:t>2011</w:t>
            </w:r>
          </w:p>
        </w:tc>
        <w:tc>
          <w:tcPr>
            <w:tcW w:w="663" w:type="dxa"/>
            <w:noWrap/>
            <w:hideMark/>
          </w:tcPr>
          <w:p w14:paraId="12033589" w14:textId="77777777" w:rsidR="00934806" w:rsidRPr="007D1373" w:rsidRDefault="00934806" w:rsidP="00716EBA">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7D1373">
              <w:rPr>
                <w:rFonts w:eastAsia="Times New Roman" w:cstheme="minorHAnsi"/>
              </w:rPr>
              <w:t>2012</w:t>
            </w:r>
          </w:p>
        </w:tc>
        <w:tc>
          <w:tcPr>
            <w:tcW w:w="663" w:type="dxa"/>
            <w:noWrap/>
            <w:hideMark/>
          </w:tcPr>
          <w:p w14:paraId="2029811E" w14:textId="77777777" w:rsidR="00934806" w:rsidRPr="007D1373" w:rsidRDefault="00934806" w:rsidP="00716EBA">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7D1373">
              <w:rPr>
                <w:rFonts w:eastAsia="Times New Roman" w:cstheme="minorHAnsi"/>
              </w:rPr>
              <w:t>2013</w:t>
            </w:r>
          </w:p>
        </w:tc>
        <w:tc>
          <w:tcPr>
            <w:tcW w:w="663" w:type="dxa"/>
            <w:noWrap/>
            <w:hideMark/>
          </w:tcPr>
          <w:p w14:paraId="734B2626" w14:textId="77777777" w:rsidR="00934806" w:rsidRPr="007D1373" w:rsidRDefault="00934806" w:rsidP="00716EBA">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7D1373">
              <w:rPr>
                <w:rFonts w:eastAsia="Times New Roman" w:cstheme="minorHAnsi"/>
              </w:rPr>
              <w:t>2014</w:t>
            </w:r>
          </w:p>
        </w:tc>
        <w:tc>
          <w:tcPr>
            <w:tcW w:w="663" w:type="dxa"/>
            <w:noWrap/>
            <w:hideMark/>
          </w:tcPr>
          <w:p w14:paraId="2503803C" w14:textId="77777777" w:rsidR="00934806" w:rsidRPr="007D1373" w:rsidRDefault="00934806" w:rsidP="00716EBA">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7D1373">
              <w:rPr>
                <w:rFonts w:eastAsia="Times New Roman" w:cstheme="minorHAnsi"/>
              </w:rPr>
              <w:t>2015</w:t>
            </w:r>
          </w:p>
        </w:tc>
        <w:tc>
          <w:tcPr>
            <w:tcW w:w="663" w:type="dxa"/>
            <w:noWrap/>
            <w:hideMark/>
          </w:tcPr>
          <w:p w14:paraId="125B3E2A" w14:textId="77777777" w:rsidR="00934806" w:rsidRPr="007D1373" w:rsidRDefault="00934806" w:rsidP="00716EBA">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7D1373">
              <w:rPr>
                <w:rFonts w:eastAsia="Times New Roman" w:cstheme="minorHAnsi"/>
              </w:rPr>
              <w:t>2016</w:t>
            </w:r>
          </w:p>
        </w:tc>
        <w:tc>
          <w:tcPr>
            <w:tcW w:w="663" w:type="dxa"/>
            <w:noWrap/>
            <w:hideMark/>
          </w:tcPr>
          <w:p w14:paraId="516C85DB" w14:textId="77777777" w:rsidR="00934806" w:rsidRPr="007D1373" w:rsidRDefault="00934806" w:rsidP="00716EBA">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7D1373">
              <w:rPr>
                <w:rFonts w:eastAsia="Times New Roman" w:cstheme="minorHAnsi"/>
              </w:rPr>
              <w:t>2017</w:t>
            </w:r>
          </w:p>
        </w:tc>
        <w:tc>
          <w:tcPr>
            <w:tcW w:w="663" w:type="dxa"/>
            <w:noWrap/>
            <w:hideMark/>
          </w:tcPr>
          <w:p w14:paraId="4B581007" w14:textId="77777777" w:rsidR="00934806" w:rsidRPr="007D1373" w:rsidRDefault="00934806" w:rsidP="00716EBA">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7D1373">
              <w:rPr>
                <w:rFonts w:eastAsia="Times New Roman" w:cstheme="minorHAnsi"/>
              </w:rPr>
              <w:t>2018</w:t>
            </w:r>
          </w:p>
        </w:tc>
        <w:tc>
          <w:tcPr>
            <w:tcW w:w="663" w:type="dxa"/>
            <w:noWrap/>
            <w:hideMark/>
          </w:tcPr>
          <w:p w14:paraId="0C6BC4D9" w14:textId="77777777" w:rsidR="00934806" w:rsidRPr="007D1373" w:rsidRDefault="00934806" w:rsidP="00716EBA">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7D1373">
              <w:rPr>
                <w:rFonts w:eastAsia="Times New Roman" w:cstheme="minorHAnsi"/>
              </w:rPr>
              <w:t>2019</w:t>
            </w:r>
          </w:p>
        </w:tc>
        <w:tc>
          <w:tcPr>
            <w:tcW w:w="951" w:type="dxa"/>
            <w:noWrap/>
            <w:hideMark/>
          </w:tcPr>
          <w:p w14:paraId="1D6B6651" w14:textId="77777777" w:rsidR="00934806" w:rsidRPr="007D1373" w:rsidRDefault="00934806" w:rsidP="00716EBA">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7D1373">
              <w:rPr>
                <w:rFonts w:eastAsia="Times New Roman" w:cstheme="minorHAnsi"/>
              </w:rPr>
              <w:t>2020</w:t>
            </w:r>
          </w:p>
        </w:tc>
      </w:tr>
      <w:tr w:rsidR="00934806" w:rsidRPr="007D1373" w14:paraId="46D2730E" w14:textId="77777777" w:rsidTr="00B573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212D2A6" w14:textId="77777777" w:rsidR="00934806" w:rsidRPr="00B573A7" w:rsidRDefault="00934806" w:rsidP="00716EBA">
            <w:pPr>
              <w:jc w:val="left"/>
              <w:rPr>
                <w:rFonts w:eastAsia="Times New Roman" w:cstheme="minorHAnsi"/>
                <w:b w:val="0"/>
                <w:bCs w:val="0"/>
                <w:color w:val="000000"/>
              </w:rPr>
            </w:pPr>
            <w:r w:rsidRPr="00B573A7">
              <w:rPr>
                <w:rFonts w:eastAsia="Times New Roman" w:cstheme="minorHAnsi"/>
                <w:b w:val="0"/>
                <w:bCs w:val="0"/>
                <w:color w:val="000000"/>
              </w:rPr>
              <w:t>Total</w:t>
            </w:r>
          </w:p>
        </w:tc>
        <w:tc>
          <w:tcPr>
            <w:tcW w:w="312" w:type="dxa"/>
            <w:noWrap/>
            <w:hideMark/>
          </w:tcPr>
          <w:p w14:paraId="472800EC"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21.0</w:t>
            </w:r>
          </w:p>
        </w:tc>
        <w:tc>
          <w:tcPr>
            <w:tcW w:w="663" w:type="dxa"/>
            <w:noWrap/>
            <w:hideMark/>
          </w:tcPr>
          <w:p w14:paraId="64B836AC"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21.6</w:t>
            </w:r>
          </w:p>
        </w:tc>
        <w:tc>
          <w:tcPr>
            <w:tcW w:w="663" w:type="dxa"/>
            <w:noWrap/>
            <w:hideMark/>
          </w:tcPr>
          <w:p w14:paraId="0A1655A1"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21.3</w:t>
            </w:r>
          </w:p>
        </w:tc>
        <w:tc>
          <w:tcPr>
            <w:tcW w:w="663" w:type="dxa"/>
            <w:noWrap/>
            <w:hideMark/>
          </w:tcPr>
          <w:p w14:paraId="15DFBF9B"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20.6</w:t>
            </w:r>
          </w:p>
        </w:tc>
        <w:tc>
          <w:tcPr>
            <w:tcW w:w="663" w:type="dxa"/>
            <w:noWrap/>
            <w:hideMark/>
          </w:tcPr>
          <w:p w14:paraId="43C6670A"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19.9</w:t>
            </w:r>
          </w:p>
        </w:tc>
        <w:tc>
          <w:tcPr>
            <w:tcW w:w="663" w:type="dxa"/>
            <w:noWrap/>
            <w:hideMark/>
          </w:tcPr>
          <w:p w14:paraId="2D6BBA48"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20.1</w:t>
            </w:r>
          </w:p>
        </w:tc>
        <w:tc>
          <w:tcPr>
            <w:tcW w:w="663" w:type="dxa"/>
            <w:noWrap/>
            <w:hideMark/>
          </w:tcPr>
          <w:p w14:paraId="18D63938"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19.2</w:t>
            </w:r>
          </w:p>
        </w:tc>
        <w:tc>
          <w:tcPr>
            <w:tcW w:w="663" w:type="dxa"/>
            <w:noWrap/>
            <w:hideMark/>
          </w:tcPr>
          <w:p w14:paraId="6D5DE3BF"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20.4</w:t>
            </w:r>
          </w:p>
        </w:tc>
        <w:tc>
          <w:tcPr>
            <w:tcW w:w="663" w:type="dxa"/>
            <w:noWrap/>
            <w:hideMark/>
          </w:tcPr>
          <w:p w14:paraId="45F6FE63"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19.5</w:t>
            </w:r>
          </w:p>
        </w:tc>
        <w:tc>
          <w:tcPr>
            <w:tcW w:w="663" w:type="dxa"/>
            <w:noWrap/>
            <w:hideMark/>
          </w:tcPr>
          <w:p w14:paraId="2F89FA4D"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18.9</w:t>
            </w:r>
          </w:p>
        </w:tc>
        <w:tc>
          <w:tcPr>
            <w:tcW w:w="951" w:type="dxa"/>
            <w:noWrap/>
            <w:hideMark/>
          </w:tcPr>
          <w:p w14:paraId="5B5429BF"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19.7</w:t>
            </w:r>
          </w:p>
        </w:tc>
      </w:tr>
      <w:tr w:rsidR="00934806" w:rsidRPr="007D1373" w14:paraId="388472D9" w14:textId="77777777" w:rsidTr="00B573A7">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294C4CB" w14:textId="77777777" w:rsidR="00934806" w:rsidRPr="00B573A7" w:rsidRDefault="00934806" w:rsidP="00716EBA">
            <w:pPr>
              <w:jc w:val="left"/>
              <w:rPr>
                <w:rFonts w:eastAsia="Times New Roman" w:cstheme="minorHAnsi"/>
                <w:b w:val="0"/>
                <w:bCs w:val="0"/>
                <w:color w:val="000000"/>
              </w:rPr>
            </w:pPr>
            <w:r w:rsidRPr="00B573A7">
              <w:rPr>
                <w:rFonts w:eastAsia="Times New Roman" w:cstheme="minorHAnsi"/>
                <w:b w:val="0"/>
                <w:bCs w:val="0"/>
                <w:color w:val="000000"/>
              </w:rPr>
              <w:t>Municipii</w:t>
            </w:r>
          </w:p>
        </w:tc>
        <w:tc>
          <w:tcPr>
            <w:tcW w:w="312" w:type="dxa"/>
            <w:noWrap/>
            <w:hideMark/>
          </w:tcPr>
          <w:p w14:paraId="704E5804"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20.8</w:t>
            </w:r>
          </w:p>
        </w:tc>
        <w:tc>
          <w:tcPr>
            <w:tcW w:w="663" w:type="dxa"/>
            <w:noWrap/>
            <w:hideMark/>
          </w:tcPr>
          <w:p w14:paraId="08937B1B"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22.3</w:t>
            </w:r>
          </w:p>
        </w:tc>
        <w:tc>
          <w:tcPr>
            <w:tcW w:w="663" w:type="dxa"/>
            <w:noWrap/>
            <w:hideMark/>
          </w:tcPr>
          <w:p w14:paraId="1CE672C8"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20.6</w:t>
            </w:r>
          </w:p>
        </w:tc>
        <w:tc>
          <w:tcPr>
            <w:tcW w:w="663" w:type="dxa"/>
            <w:noWrap/>
            <w:hideMark/>
          </w:tcPr>
          <w:p w14:paraId="4FCE306E"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20.4</w:t>
            </w:r>
          </w:p>
        </w:tc>
        <w:tc>
          <w:tcPr>
            <w:tcW w:w="663" w:type="dxa"/>
            <w:noWrap/>
            <w:hideMark/>
          </w:tcPr>
          <w:p w14:paraId="3424DAA2"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18.7</w:t>
            </w:r>
          </w:p>
        </w:tc>
        <w:tc>
          <w:tcPr>
            <w:tcW w:w="663" w:type="dxa"/>
            <w:noWrap/>
            <w:hideMark/>
          </w:tcPr>
          <w:p w14:paraId="04E43732"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19.6</w:t>
            </w:r>
          </w:p>
        </w:tc>
        <w:tc>
          <w:tcPr>
            <w:tcW w:w="663" w:type="dxa"/>
            <w:noWrap/>
            <w:hideMark/>
          </w:tcPr>
          <w:p w14:paraId="4226316F"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20.2</w:t>
            </w:r>
          </w:p>
        </w:tc>
        <w:tc>
          <w:tcPr>
            <w:tcW w:w="663" w:type="dxa"/>
            <w:noWrap/>
            <w:hideMark/>
          </w:tcPr>
          <w:p w14:paraId="4E4358F9"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20.4</w:t>
            </w:r>
          </w:p>
        </w:tc>
        <w:tc>
          <w:tcPr>
            <w:tcW w:w="663" w:type="dxa"/>
            <w:noWrap/>
            <w:hideMark/>
          </w:tcPr>
          <w:p w14:paraId="08B926A5"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19.1</w:t>
            </w:r>
          </w:p>
        </w:tc>
        <w:tc>
          <w:tcPr>
            <w:tcW w:w="663" w:type="dxa"/>
            <w:noWrap/>
            <w:hideMark/>
          </w:tcPr>
          <w:p w14:paraId="420C47C8"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18.0</w:t>
            </w:r>
          </w:p>
        </w:tc>
        <w:tc>
          <w:tcPr>
            <w:tcW w:w="951" w:type="dxa"/>
            <w:noWrap/>
            <w:hideMark/>
          </w:tcPr>
          <w:p w14:paraId="6C2A9434"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19.3</w:t>
            </w:r>
          </w:p>
        </w:tc>
      </w:tr>
      <w:tr w:rsidR="00934806" w:rsidRPr="007D1373" w14:paraId="2A44268B" w14:textId="77777777" w:rsidTr="00B573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C36AE4C" w14:textId="77777777" w:rsidR="00934806" w:rsidRPr="00B573A7" w:rsidRDefault="00934806" w:rsidP="00716EBA">
            <w:pPr>
              <w:jc w:val="left"/>
              <w:rPr>
                <w:rFonts w:eastAsia="Times New Roman" w:cstheme="minorHAnsi"/>
                <w:b w:val="0"/>
                <w:bCs w:val="0"/>
                <w:color w:val="000000"/>
              </w:rPr>
            </w:pPr>
            <w:r w:rsidRPr="00B573A7">
              <w:rPr>
                <w:rFonts w:eastAsia="Times New Roman" w:cstheme="minorHAnsi"/>
                <w:b w:val="0"/>
                <w:bCs w:val="0"/>
                <w:color w:val="000000"/>
              </w:rPr>
              <w:t>Orașe</w:t>
            </w:r>
          </w:p>
        </w:tc>
        <w:tc>
          <w:tcPr>
            <w:tcW w:w="312" w:type="dxa"/>
            <w:noWrap/>
            <w:hideMark/>
          </w:tcPr>
          <w:p w14:paraId="68C96DAD"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21.0</w:t>
            </w:r>
          </w:p>
        </w:tc>
        <w:tc>
          <w:tcPr>
            <w:tcW w:w="663" w:type="dxa"/>
            <w:noWrap/>
            <w:hideMark/>
          </w:tcPr>
          <w:p w14:paraId="12817E69"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18.1</w:t>
            </w:r>
          </w:p>
        </w:tc>
        <w:tc>
          <w:tcPr>
            <w:tcW w:w="663" w:type="dxa"/>
            <w:noWrap/>
            <w:hideMark/>
          </w:tcPr>
          <w:p w14:paraId="0CDB3F97"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20.9</w:t>
            </w:r>
          </w:p>
        </w:tc>
        <w:tc>
          <w:tcPr>
            <w:tcW w:w="663" w:type="dxa"/>
            <w:noWrap/>
            <w:hideMark/>
          </w:tcPr>
          <w:p w14:paraId="5223353C"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18.6</w:t>
            </w:r>
          </w:p>
        </w:tc>
        <w:tc>
          <w:tcPr>
            <w:tcW w:w="663" w:type="dxa"/>
            <w:noWrap/>
            <w:hideMark/>
          </w:tcPr>
          <w:p w14:paraId="2BBE0D2C"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17.2</w:t>
            </w:r>
          </w:p>
        </w:tc>
        <w:tc>
          <w:tcPr>
            <w:tcW w:w="663" w:type="dxa"/>
            <w:noWrap/>
            <w:hideMark/>
          </w:tcPr>
          <w:p w14:paraId="350C2AAD"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17.1</w:t>
            </w:r>
          </w:p>
        </w:tc>
        <w:tc>
          <w:tcPr>
            <w:tcW w:w="663" w:type="dxa"/>
            <w:noWrap/>
            <w:hideMark/>
          </w:tcPr>
          <w:p w14:paraId="2ECDF296"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16.2</w:t>
            </w:r>
          </w:p>
        </w:tc>
        <w:tc>
          <w:tcPr>
            <w:tcW w:w="663" w:type="dxa"/>
            <w:noWrap/>
            <w:hideMark/>
          </w:tcPr>
          <w:p w14:paraId="2DE01FC3"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18.9</w:t>
            </w:r>
          </w:p>
        </w:tc>
        <w:tc>
          <w:tcPr>
            <w:tcW w:w="663" w:type="dxa"/>
            <w:noWrap/>
            <w:hideMark/>
          </w:tcPr>
          <w:p w14:paraId="0A2F4952"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18.1</w:t>
            </w:r>
          </w:p>
        </w:tc>
        <w:tc>
          <w:tcPr>
            <w:tcW w:w="663" w:type="dxa"/>
            <w:noWrap/>
            <w:hideMark/>
          </w:tcPr>
          <w:p w14:paraId="531C7B39"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17.5</w:t>
            </w:r>
          </w:p>
        </w:tc>
        <w:tc>
          <w:tcPr>
            <w:tcW w:w="951" w:type="dxa"/>
            <w:noWrap/>
            <w:hideMark/>
          </w:tcPr>
          <w:p w14:paraId="06B00889"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18.3</w:t>
            </w:r>
          </w:p>
        </w:tc>
      </w:tr>
      <w:tr w:rsidR="00934806" w:rsidRPr="007D1373" w14:paraId="3E7AEC0A" w14:textId="77777777" w:rsidTr="00B573A7">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38773DF" w14:textId="77777777" w:rsidR="00934806" w:rsidRPr="00B573A7" w:rsidRDefault="00934806" w:rsidP="00716EBA">
            <w:pPr>
              <w:jc w:val="left"/>
              <w:rPr>
                <w:rFonts w:eastAsia="Times New Roman" w:cstheme="minorHAnsi"/>
                <w:b w:val="0"/>
                <w:bCs w:val="0"/>
                <w:color w:val="000000"/>
              </w:rPr>
            </w:pPr>
            <w:r w:rsidRPr="00B573A7">
              <w:rPr>
                <w:rFonts w:eastAsia="Times New Roman" w:cstheme="minorHAnsi"/>
                <w:b w:val="0"/>
                <w:bCs w:val="0"/>
                <w:color w:val="000000"/>
              </w:rPr>
              <w:t>Comune</w:t>
            </w:r>
          </w:p>
        </w:tc>
        <w:tc>
          <w:tcPr>
            <w:tcW w:w="312" w:type="dxa"/>
            <w:noWrap/>
            <w:hideMark/>
          </w:tcPr>
          <w:p w14:paraId="4E74EF87"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21.1</w:t>
            </w:r>
          </w:p>
        </w:tc>
        <w:tc>
          <w:tcPr>
            <w:tcW w:w="663" w:type="dxa"/>
            <w:noWrap/>
            <w:hideMark/>
          </w:tcPr>
          <w:p w14:paraId="7715ECC0"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21.2</w:t>
            </w:r>
          </w:p>
        </w:tc>
        <w:tc>
          <w:tcPr>
            <w:tcW w:w="663" w:type="dxa"/>
            <w:noWrap/>
            <w:hideMark/>
          </w:tcPr>
          <w:p w14:paraId="1F28725F"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22.2</w:t>
            </w:r>
          </w:p>
        </w:tc>
        <w:tc>
          <w:tcPr>
            <w:tcW w:w="663" w:type="dxa"/>
            <w:noWrap/>
            <w:hideMark/>
          </w:tcPr>
          <w:p w14:paraId="6DB85A49"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21.8</w:t>
            </w:r>
          </w:p>
        </w:tc>
        <w:tc>
          <w:tcPr>
            <w:tcW w:w="663" w:type="dxa"/>
            <w:noWrap/>
            <w:hideMark/>
          </w:tcPr>
          <w:p w14:paraId="546C9010"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21.7</w:t>
            </w:r>
          </w:p>
        </w:tc>
        <w:tc>
          <w:tcPr>
            <w:tcW w:w="663" w:type="dxa"/>
            <w:noWrap/>
            <w:hideMark/>
          </w:tcPr>
          <w:p w14:paraId="63DFA53B"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22.2</w:t>
            </w:r>
          </w:p>
        </w:tc>
        <w:tc>
          <w:tcPr>
            <w:tcW w:w="663" w:type="dxa"/>
            <w:noWrap/>
            <w:hideMark/>
          </w:tcPr>
          <w:p w14:paraId="15D2A619"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20.1</w:t>
            </w:r>
          </w:p>
        </w:tc>
        <w:tc>
          <w:tcPr>
            <w:tcW w:w="663" w:type="dxa"/>
            <w:noWrap/>
            <w:hideMark/>
          </w:tcPr>
          <w:p w14:paraId="4D3AC281"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21.3</w:t>
            </w:r>
          </w:p>
        </w:tc>
        <w:tc>
          <w:tcPr>
            <w:tcW w:w="663" w:type="dxa"/>
            <w:noWrap/>
            <w:hideMark/>
          </w:tcPr>
          <w:p w14:paraId="6244BC42"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20.5</w:t>
            </w:r>
          </w:p>
        </w:tc>
        <w:tc>
          <w:tcPr>
            <w:tcW w:w="663" w:type="dxa"/>
            <w:noWrap/>
            <w:hideMark/>
          </w:tcPr>
          <w:p w14:paraId="01F71150"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20.3</w:t>
            </w:r>
          </w:p>
        </w:tc>
        <w:tc>
          <w:tcPr>
            <w:tcW w:w="951" w:type="dxa"/>
            <w:noWrap/>
            <w:hideMark/>
          </w:tcPr>
          <w:p w14:paraId="7E5FDBA9"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21.0</w:t>
            </w:r>
          </w:p>
        </w:tc>
      </w:tr>
      <w:tr w:rsidR="00934806" w:rsidRPr="007D1373" w14:paraId="79216AC6" w14:textId="77777777" w:rsidTr="00B573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CBE1FF7" w14:textId="77777777" w:rsidR="00934806" w:rsidRPr="00B573A7" w:rsidRDefault="00934806" w:rsidP="00716EBA">
            <w:pPr>
              <w:jc w:val="left"/>
              <w:rPr>
                <w:rFonts w:eastAsia="Times New Roman" w:cstheme="minorHAnsi"/>
                <w:b w:val="0"/>
                <w:bCs w:val="0"/>
                <w:color w:val="000000"/>
              </w:rPr>
            </w:pPr>
            <w:r w:rsidRPr="00B573A7">
              <w:rPr>
                <w:rFonts w:eastAsia="Times New Roman" w:cstheme="minorHAnsi"/>
                <w:b w:val="0"/>
                <w:bCs w:val="0"/>
                <w:color w:val="000000"/>
              </w:rPr>
              <w:t>Quintila 1</w:t>
            </w:r>
          </w:p>
        </w:tc>
        <w:tc>
          <w:tcPr>
            <w:tcW w:w="312" w:type="dxa"/>
            <w:noWrap/>
            <w:hideMark/>
          </w:tcPr>
          <w:p w14:paraId="74DD0285"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18.2</w:t>
            </w:r>
          </w:p>
        </w:tc>
        <w:tc>
          <w:tcPr>
            <w:tcW w:w="663" w:type="dxa"/>
            <w:noWrap/>
            <w:hideMark/>
          </w:tcPr>
          <w:p w14:paraId="5DB6A692"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16.1</w:t>
            </w:r>
          </w:p>
        </w:tc>
        <w:tc>
          <w:tcPr>
            <w:tcW w:w="663" w:type="dxa"/>
            <w:noWrap/>
            <w:hideMark/>
          </w:tcPr>
          <w:p w14:paraId="43210B6D"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16.6</w:t>
            </w:r>
          </w:p>
        </w:tc>
        <w:tc>
          <w:tcPr>
            <w:tcW w:w="663" w:type="dxa"/>
            <w:noWrap/>
            <w:hideMark/>
          </w:tcPr>
          <w:p w14:paraId="65C02D03"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17.2</w:t>
            </w:r>
          </w:p>
        </w:tc>
        <w:tc>
          <w:tcPr>
            <w:tcW w:w="663" w:type="dxa"/>
            <w:noWrap/>
            <w:hideMark/>
          </w:tcPr>
          <w:p w14:paraId="188BB2D2"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16.8</w:t>
            </w:r>
          </w:p>
        </w:tc>
        <w:tc>
          <w:tcPr>
            <w:tcW w:w="663" w:type="dxa"/>
            <w:noWrap/>
            <w:hideMark/>
          </w:tcPr>
          <w:p w14:paraId="4257D6E4"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16.5</w:t>
            </w:r>
          </w:p>
        </w:tc>
        <w:tc>
          <w:tcPr>
            <w:tcW w:w="663" w:type="dxa"/>
            <w:noWrap/>
            <w:hideMark/>
          </w:tcPr>
          <w:p w14:paraId="3EDBAFEF"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16.7</w:t>
            </w:r>
          </w:p>
        </w:tc>
        <w:tc>
          <w:tcPr>
            <w:tcW w:w="663" w:type="dxa"/>
            <w:noWrap/>
            <w:hideMark/>
          </w:tcPr>
          <w:p w14:paraId="0CF94C21"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19.1</w:t>
            </w:r>
          </w:p>
        </w:tc>
        <w:tc>
          <w:tcPr>
            <w:tcW w:w="663" w:type="dxa"/>
            <w:noWrap/>
            <w:hideMark/>
          </w:tcPr>
          <w:p w14:paraId="52EA3B78"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21.8</w:t>
            </w:r>
          </w:p>
        </w:tc>
        <w:tc>
          <w:tcPr>
            <w:tcW w:w="663" w:type="dxa"/>
            <w:noWrap/>
            <w:hideMark/>
          </w:tcPr>
          <w:p w14:paraId="7EF84E3F"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20.5</w:t>
            </w:r>
          </w:p>
        </w:tc>
        <w:tc>
          <w:tcPr>
            <w:tcW w:w="951" w:type="dxa"/>
            <w:noWrap/>
            <w:hideMark/>
          </w:tcPr>
          <w:p w14:paraId="16DEB70F"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23.3</w:t>
            </w:r>
          </w:p>
        </w:tc>
      </w:tr>
      <w:tr w:rsidR="00934806" w:rsidRPr="007D1373" w14:paraId="0A059EDD" w14:textId="77777777" w:rsidTr="00B573A7">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20A3434" w14:textId="77777777" w:rsidR="00934806" w:rsidRPr="00B573A7" w:rsidRDefault="00934806" w:rsidP="00716EBA">
            <w:pPr>
              <w:jc w:val="left"/>
              <w:rPr>
                <w:rFonts w:eastAsia="Times New Roman" w:cstheme="minorHAnsi"/>
                <w:b w:val="0"/>
                <w:bCs w:val="0"/>
                <w:color w:val="000000"/>
              </w:rPr>
            </w:pPr>
            <w:r w:rsidRPr="00B573A7">
              <w:rPr>
                <w:rFonts w:eastAsia="Times New Roman" w:cstheme="minorHAnsi"/>
                <w:b w:val="0"/>
                <w:bCs w:val="0"/>
                <w:color w:val="000000"/>
              </w:rPr>
              <w:t>Quintila 2</w:t>
            </w:r>
          </w:p>
        </w:tc>
        <w:tc>
          <w:tcPr>
            <w:tcW w:w="312" w:type="dxa"/>
            <w:noWrap/>
            <w:hideMark/>
          </w:tcPr>
          <w:p w14:paraId="2C81758D"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22.0</w:t>
            </w:r>
          </w:p>
        </w:tc>
        <w:tc>
          <w:tcPr>
            <w:tcW w:w="663" w:type="dxa"/>
            <w:noWrap/>
            <w:hideMark/>
          </w:tcPr>
          <w:p w14:paraId="7D8760B6"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22.0</w:t>
            </w:r>
          </w:p>
        </w:tc>
        <w:tc>
          <w:tcPr>
            <w:tcW w:w="663" w:type="dxa"/>
            <w:noWrap/>
            <w:hideMark/>
          </w:tcPr>
          <w:p w14:paraId="4D9612B0"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23.0</w:t>
            </w:r>
          </w:p>
        </w:tc>
        <w:tc>
          <w:tcPr>
            <w:tcW w:w="663" w:type="dxa"/>
            <w:noWrap/>
            <w:hideMark/>
          </w:tcPr>
          <w:p w14:paraId="1157CB6C"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22.1</w:t>
            </w:r>
          </w:p>
        </w:tc>
        <w:tc>
          <w:tcPr>
            <w:tcW w:w="663" w:type="dxa"/>
            <w:noWrap/>
            <w:hideMark/>
          </w:tcPr>
          <w:p w14:paraId="7023ADC5"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21.1</w:t>
            </w:r>
          </w:p>
        </w:tc>
        <w:tc>
          <w:tcPr>
            <w:tcW w:w="663" w:type="dxa"/>
            <w:noWrap/>
            <w:hideMark/>
          </w:tcPr>
          <w:p w14:paraId="23CE5FF8"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23.2</w:t>
            </w:r>
          </w:p>
        </w:tc>
        <w:tc>
          <w:tcPr>
            <w:tcW w:w="663" w:type="dxa"/>
            <w:noWrap/>
            <w:hideMark/>
          </w:tcPr>
          <w:p w14:paraId="3F447B3F"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21.8</w:t>
            </w:r>
          </w:p>
        </w:tc>
        <w:tc>
          <w:tcPr>
            <w:tcW w:w="663" w:type="dxa"/>
            <w:noWrap/>
            <w:hideMark/>
          </w:tcPr>
          <w:p w14:paraId="4138E4AC"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25.2</w:t>
            </w:r>
          </w:p>
        </w:tc>
        <w:tc>
          <w:tcPr>
            <w:tcW w:w="663" w:type="dxa"/>
            <w:noWrap/>
            <w:hideMark/>
          </w:tcPr>
          <w:p w14:paraId="3EA96A95"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24.7</w:t>
            </w:r>
          </w:p>
        </w:tc>
        <w:tc>
          <w:tcPr>
            <w:tcW w:w="663" w:type="dxa"/>
            <w:noWrap/>
            <w:hideMark/>
          </w:tcPr>
          <w:p w14:paraId="046AB6A4"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26.6</w:t>
            </w:r>
          </w:p>
        </w:tc>
        <w:tc>
          <w:tcPr>
            <w:tcW w:w="951" w:type="dxa"/>
            <w:noWrap/>
            <w:hideMark/>
          </w:tcPr>
          <w:p w14:paraId="0CED6342"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7D1373">
              <w:rPr>
                <w:rFonts w:eastAsia="Times New Roman" w:cstheme="minorHAnsi"/>
              </w:rPr>
              <w:t>26.6</w:t>
            </w:r>
          </w:p>
        </w:tc>
      </w:tr>
      <w:tr w:rsidR="00934806" w:rsidRPr="007D1373" w14:paraId="6C32AACA" w14:textId="77777777" w:rsidTr="00B573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4AC4D7E" w14:textId="77777777" w:rsidR="00934806" w:rsidRPr="00B573A7" w:rsidRDefault="00934806" w:rsidP="00716EBA">
            <w:pPr>
              <w:jc w:val="left"/>
              <w:rPr>
                <w:rFonts w:eastAsia="Times New Roman" w:cstheme="minorHAnsi"/>
                <w:b w:val="0"/>
                <w:bCs w:val="0"/>
                <w:color w:val="000000"/>
              </w:rPr>
            </w:pPr>
            <w:r w:rsidRPr="00B573A7">
              <w:rPr>
                <w:rFonts w:eastAsia="Times New Roman" w:cstheme="minorHAnsi"/>
                <w:b w:val="0"/>
                <w:bCs w:val="0"/>
                <w:color w:val="000000"/>
              </w:rPr>
              <w:t>Quintila 3</w:t>
            </w:r>
          </w:p>
        </w:tc>
        <w:tc>
          <w:tcPr>
            <w:tcW w:w="312" w:type="dxa"/>
            <w:noWrap/>
            <w:hideMark/>
          </w:tcPr>
          <w:p w14:paraId="3125A002"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23.9</w:t>
            </w:r>
          </w:p>
        </w:tc>
        <w:tc>
          <w:tcPr>
            <w:tcW w:w="663" w:type="dxa"/>
            <w:noWrap/>
            <w:hideMark/>
          </w:tcPr>
          <w:p w14:paraId="0B784046"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24.9</w:t>
            </w:r>
          </w:p>
        </w:tc>
        <w:tc>
          <w:tcPr>
            <w:tcW w:w="663" w:type="dxa"/>
            <w:noWrap/>
            <w:hideMark/>
          </w:tcPr>
          <w:p w14:paraId="1F468537"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24.0</w:t>
            </w:r>
          </w:p>
        </w:tc>
        <w:tc>
          <w:tcPr>
            <w:tcW w:w="663" w:type="dxa"/>
            <w:noWrap/>
            <w:hideMark/>
          </w:tcPr>
          <w:p w14:paraId="6F7142E7"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22.6</w:t>
            </w:r>
          </w:p>
        </w:tc>
        <w:tc>
          <w:tcPr>
            <w:tcW w:w="663" w:type="dxa"/>
            <w:noWrap/>
            <w:hideMark/>
          </w:tcPr>
          <w:p w14:paraId="67209366"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24.9</w:t>
            </w:r>
          </w:p>
        </w:tc>
        <w:tc>
          <w:tcPr>
            <w:tcW w:w="663" w:type="dxa"/>
            <w:noWrap/>
            <w:hideMark/>
          </w:tcPr>
          <w:p w14:paraId="67C39714"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22.5</w:t>
            </w:r>
          </w:p>
        </w:tc>
        <w:tc>
          <w:tcPr>
            <w:tcW w:w="663" w:type="dxa"/>
            <w:noWrap/>
            <w:hideMark/>
          </w:tcPr>
          <w:p w14:paraId="5587D11A"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21.3</w:t>
            </w:r>
          </w:p>
        </w:tc>
        <w:tc>
          <w:tcPr>
            <w:tcW w:w="663" w:type="dxa"/>
            <w:noWrap/>
            <w:hideMark/>
          </w:tcPr>
          <w:p w14:paraId="566DAF6E"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22.7</w:t>
            </w:r>
          </w:p>
        </w:tc>
        <w:tc>
          <w:tcPr>
            <w:tcW w:w="663" w:type="dxa"/>
            <w:noWrap/>
            <w:hideMark/>
          </w:tcPr>
          <w:p w14:paraId="48EFF8C2"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23.3</w:t>
            </w:r>
          </w:p>
        </w:tc>
        <w:tc>
          <w:tcPr>
            <w:tcW w:w="663" w:type="dxa"/>
            <w:noWrap/>
            <w:hideMark/>
          </w:tcPr>
          <w:p w14:paraId="39271699"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20.3</w:t>
            </w:r>
          </w:p>
        </w:tc>
        <w:tc>
          <w:tcPr>
            <w:tcW w:w="951" w:type="dxa"/>
            <w:noWrap/>
            <w:hideMark/>
          </w:tcPr>
          <w:p w14:paraId="2B9AC98B"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7D1373">
              <w:rPr>
                <w:rFonts w:eastAsia="Times New Roman" w:cstheme="minorHAnsi"/>
              </w:rPr>
              <w:t>21.5</w:t>
            </w:r>
          </w:p>
        </w:tc>
      </w:tr>
    </w:tbl>
    <w:p w14:paraId="6ECF0AA8" w14:textId="77777777" w:rsidR="00934806" w:rsidRPr="002F6715" w:rsidRDefault="00934806" w:rsidP="00934806">
      <w:pPr>
        <w:spacing w:after="0"/>
        <w:rPr>
          <w:i/>
          <w:iCs/>
          <w:sz w:val="16"/>
          <w:szCs w:val="16"/>
        </w:rPr>
      </w:pPr>
      <w:r w:rsidRPr="002F6715">
        <w:rPr>
          <w:i/>
          <w:iCs/>
          <w:sz w:val="16"/>
          <w:szCs w:val="16"/>
        </w:rPr>
        <w:t>Sursa: Eurostat, Persoane care au o boală de lungă durată sau o problemă de sănătate [hlth_silc_11]</w:t>
      </w:r>
    </w:p>
    <w:p w14:paraId="6F2C353D" w14:textId="77777777" w:rsidR="00934806" w:rsidRPr="007D1373" w:rsidRDefault="00934806" w:rsidP="00934806">
      <w:pPr>
        <w:spacing w:after="0"/>
      </w:pPr>
    </w:p>
    <w:p w14:paraId="0E0349B8" w14:textId="77777777" w:rsidR="00934806" w:rsidRPr="007D1373" w:rsidRDefault="00934806" w:rsidP="00934806">
      <w:pPr>
        <w:spacing w:after="0"/>
      </w:pPr>
      <w:r w:rsidRPr="007D1373">
        <w:t>Percepția asupra stării de sănătate a populației României este bună și foarte bună (73%). Doar 1.4% consideră că starea de sănătate este foarte proastă, iar 6% că este proastă. (</w:t>
      </w:r>
      <w:r w:rsidRPr="007D1373">
        <w:fldChar w:fldCharType="begin"/>
      </w:r>
      <w:r w:rsidRPr="007D1373">
        <w:instrText xml:space="preserve"> REF _Ref86888855 \h </w:instrText>
      </w:r>
      <w:r w:rsidRPr="007D1373">
        <w:fldChar w:fldCharType="separate"/>
      </w:r>
      <w:r w:rsidRPr="007D1373">
        <w:t xml:space="preserve">Tabelul </w:t>
      </w:r>
      <w:r w:rsidRPr="007D1373">
        <w:rPr>
          <w:noProof/>
        </w:rPr>
        <w:t>10</w:t>
      </w:r>
      <w:r w:rsidRPr="007D1373">
        <w:fldChar w:fldCharType="end"/>
      </w:r>
      <w:r w:rsidRPr="007D1373">
        <w:t xml:space="preserve">) </w:t>
      </w:r>
    </w:p>
    <w:p w14:paraId="2F2FC254" w14:textId="77777777" w:rsidR="00934806" w:rsidRPr="007D1373" w:rsidRDefault="00934806" w:rsidP="00934806">
      <w:pPr>
        <w:spacing w:after="0"/>
      </w:pPr>
    </w:p>
    <w:p w14:paraId="563EE9FB" w14:textId="47D47A9A" w:rsidR="00934806" w:rsidRPr="007D1373" w:rsidRDefault="0089533D" w:rsidP="0089533D">
      <w:pPr>
        <w:pStyle w:val="Caption"/>
      </w:pPr>
      <w:bookmarkStart w:id="28" w:name="_Toc86993606"/>
      <w:r>
        <w:t xml:space="preserve">Tabel </w:t>
      </w:r>
      <w:r>
        <w:fldChar w:fldCharType="begin"/>
      </w:r>
      <w:r>
        <w:instrText xml:space="preserve"> SEQ Tabel \* ARABIC </w:instrText>
      </w:r>
      <w:r>
        <w:fldChar w:fldCharType="separate"/>
      </w:r>
      <w:r>
        <w:rPr>
          <w:noProof/>
        </w:rPr>
        <w:t>10</w:t>
      </w:r>
      <w:r>
        <w:fldChar w:fldCharType="end"/>
      </w:r>
      <w:r>
        <w:t xml:space="preserve"> </w:t>
      </w:r>
      <w:r w:rsidRPr="004D3C7A">
        <w:t>Percepția stării de sănătate</w:t>
      </w:r>
      <w:bookmarkEnd w:id="28"/>
    </w:p>
    <w:tbl>
      <w:tblPr>
        <w:tblStyle w:val="GridTable4-Accent1"/>
        <w:tblW w:w="9220" w:type="dxa"/>
        <w:tblLook w:val="04A0" w:firstRow="1" w:lastRow="0" w:firstColumn="1" w:lastColumn="0" w:noHBand="0" w:noVBand="1"/>
      </w:tblPr>
      <w:tblGrid>
        <w:gridCol w:w="1060"/>
        <w:gridCol w:w="1190"/>
        <w:gridCol w:w="670"/>
        <w:gridCol w:w="630"/>
        <w:gridCol w:w="630"/>
        <w:gridCol w:w="630"/>
        <w:gridCol w:w="630"/>
        <w:gridCol w:w="630"/>
        <w:gridCol w:w="630"/>
        <w:gridCol w:w="630"/>
        <w:gridCol w:w="630"/>
        <w:gridCol w:w="630"/>
        <w:gridCol w:w="630"/>
      </w:tblGrid>
      <w:tr w:rsidR="00934806" w:rsidRPr="007D1373" w14:paraId="4B9E3809" w14:textId="77777777" w:rsidTr="00F424F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14:paraId="46A31761" w14:textId="77777777" w:rsidR="00934806" w:rsidRPr="007D1373" w:rsidRDefault="00934806" w:rsidP="00716EBA">
            <w:pPr>
              <w:jc w:val="left"/>
              <w:rPr>
                <w:rFonts w:eastAsia="Times New Roman" w:cstheme="minorHAnsi"/>
                <w:bCs w:val="0"/>
                <w:szCs w:val="20"/>
              </w:rPr>
            </w:pPr>
            <w:r w:rsidRPr="007D1373">
              <w:rPr>
                <w:rFonts w:eastAsia="Times New Roman" w:cstheme="minorHAnsi"/>
                <w:szCs w:val="20"/>
              </w:rPr>
              <w:t> </w:t>
            </w:r>
          </w:p>
        </w:tc>
        <w:tc>
          <w:tcPr>
            <w:tcW w:w="1190" w:type="dxa"/>
            <w:noWrap/>
            <w:vAlign w:val="center"/>
            <w:hideMark/>
          </w:tcPr>
          <w:p w14:paraId="79C4ABDE" w14:textId="77777777" w:rsidR="00934806" w:rsidRPr="007D1373" w:rsidRDefault="00934806" w:rsidP="00716EBA">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Cs w:val="0"/>
                <w:szCs w:val="20"/>
              </w:rPr>
            </w:pPr>
            <w:r w:rsidRPr="007D1373">
              <w:rPr>
                <w:rFonts w:eastAsia="Times New Roman" w:cstheme="minorHAnsi"/>
                <w:szCs w:val="20"/>
              </w:rPr>
              <w:t> Percepție</w:t>
            </w:r>
          </w:p>
        </w:tc>
        <w:tc>
          <w:tcPr>
            <w:tcW w:w="670" w:type="dxa"/>
            <w:noWrap/>
            <w:vAlign w:val="center"/>
            <w:hideMark/>
          </w:tcPr>
          <w:p w14:paraId="0902565E" w14:textId="77777777" w:rsidR="00934806" w:rsidRPr="007D1373" w:rsidRDefault="00934806" w:rsidP="00716EBA">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Cs w:val="20"/>
              </w:rPr>
            </w:pPr>
            <w:r w:rsidRPr="007D1373">
              <w:rPr>
                <w:rFonts w:eastAsia="Times New Roman" w:cstheme="minorHAnsi"/>
                <w:szCs w:val="20"/>
              </w:rPr>
              <w:t>2010</w:t>
            </w:r>
          </w:p>
        </w:tc>
        <w:tc>
          <w:tcPr>
            <w:tcW w:w="630" w:type="dxa"/>
            <w:noWrap/>
            <w:vAlign w:val="center"/>
            <w:hideMark/>
          </w:tcPr>
          <w:p w14:paraId="39B80B39" w14:textId="77777777" w:rsidR="00934806" w:rsidRPr="007D1373" w:rsidRDefault="00934806" w:rsidP="00716EBA">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Cs w:val="20"/>
              </w:rPr>
            </w:pPr>
            <w:r w:rsidRPr="007D1373">
              <w:rPr>
                <w:rFonts w:eastAsia="Times New Roman" w:cstheme="minorHAnsi"/>
                <w:szCs w:val="20"/>
              </w:rPr>
              <w:t>2011</w:t>
            </w:r>
          </w:p>
        </w:tc>
        <w:tc>
          <w:tcPr>
            <w:tcW w:w="630" w:type="dxa"/>
            <w:noWrap/>
            <w:vAlign w:val="center"/>
            <w:hideMark/>
          </w:tcPr>
          <w:p w14:paraId="64935096" w14:textId="77777777" w:rsidR="00934806" w:rsidRPr="007D1373" w:rsidRDefault="00934806" w:rsidP="00716EBA">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Cs w:val="20"/>
              </w:rPr>
            </w:pPr>
            <w:r w:rsidRPr="007D1373">
              <w:rPr>
                <w:rFonts w:eastAsia="Times New Roman" w:cstheme="minorHAnsi"/>
                <w:szCs w:val="20"/>
              </w:rPr>
              <w:t>2012</w:t>
            </w:r>
          </w:p>
        </w:tc>
        <w:tc>
          <w:tcPr>
            <w:tcW w:w="630" w:type="dxa"/>
            <w:noWrap/>
            <w:vAlign w:val="center"/>
            <w:hideMark/>
          </w:tcPr>
          <w:p w14:paraId="02878441" w14:textId="77777777" w:rsidR="00934806" w:rsidRPr="007D1373" w:rsidRDefault="00934806" w:rsidP="00716EBA">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Cs w:val="20"/>
              </w:rPr>
            </w:pPr>
            <w:r w:rsidRPr="007D1373">
              <w:rPr>
                <w:rFonts w:eastAsia="Times New Roman" w:cstheme="minorHAnsi"/>
                <w:szCs w:val="20"/>
              </w:rPr>
              <w:t>2013</w:t>
            </w:r>
          </w:p>
        </w:tc>
        <w:tc>
          <w:tcPr>
            <w:tcW w:w="630" w:type="dxa"/>
            <w:noWrap/>
            <w:vAlign w:val="center"/>
            <w:hideMark/>
          </w:tcPr>
          <w:p w14:paraId="23E96B76" w14:textId="77777777" w:rsidR="00934806" w:rsidRPr="007D1373" w:rsidRDefault="00934806" w:rsidP="00716EBA">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Cs w:val="20"/>
              </w:rPr>
            </w:pPr>
            <w:r w:rsidRPr="007D1373">
              <w:rPr>
                <w:rFonts w:eastAsia="Times New Roman" w:cstheme="minorHAnsi"/>
                <w:szCs w:val="20"/>
              </w:rPr>
              <w:t>2014</w:t>
            </w:r>
          </w:p>
        </w:tc>
        <w:tc>
          <w:tcPr>
            <w:tcW w:w="630" w:type="dxa"/>
            <w:noWrap/>
            <w:vAlign w:val="center"/>
            <w:hideMark/>
          </w:tcPr>
          <w:p w14:paraId="4CCC4A09" w14:textId="77777777" w:rsidR="00934806" w:rsidRPr="007D1373" w:rsidRDefault="00934806" w:rsidP="00716EBA">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Cs w:val="20"/>
              </w:rPr>
            </w:pPr>
            <w:r w:rsidRPr="007D1373">
              <w:rPr>
                <w:rFonts w:eastAsia="Times New Roman" w:cstheme="minorHAnsi"/>
                <w:szCs w:val="20"/>
              </w:rPr>
              <w:t>2015</w:t>
            </w:r>
          </w:p>
        </w:tc>
        <w:tc>
          <w:tcPr>
            <w:tcW w:w="630" w:type="dxa"/>
            <w:noWrap/>
            <w:vAlign w:val="center"/>
            <w:hideMark/>
          </w:tcPr>
          <w:p w14:paraId="544126A4" w14:textId="77777777" w:rsidR="00934806" w:rsidRPr="007D1373" w:rsidRDefault="00934806" w:rsidP="00716EBA">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Cs w:val="20"/>
              </w:rPr>
            </w:pPr>
            <w:r w:rsidRPr="007D1373">
              <w:rPr>
                <w:rFonts w:eastAsia="Times New Roman" w:cstheme="minorHAnsi"/>
                <w:szCs w:val="20"/>
              </w:rPr>
              <w:t>2016</w:t>
            </w:r>
          </w:p>
        </w:tc>
        <w:tc>
          <w:tcPr>
            <w:tcW w:w="630" w:type="dxa"/>
            <w:noWrap/>
            <w:vAlign w:val="center"/>
            <w:hideMark/>
          </w:tcPr>
          <w:p w14:paraId="62744694" w14:textId="77777777" w:rsidR="00934806" w:rsidRPr="007D1373" w:rsidRDefault="00934806" w:rsidP="00716EBA">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Cs w:val="20"/>
              </w:rPr>
            </w:pPr>
            <w:r w:rsidRPr="007D1373">
              <w:rPr>
                <w:rFonts w:eastAsia="Times New Roman" w:cstheme="minorHAnsi"/>
                <w:szCs w:val="20"/>
              </w:rPr>
              <w:t>2017</w:t>
            </w:r>
          </w:p>
        </w:tc>
        <w:tc>
          <w:tcPr>
            <w:tcW w:w="630" w:type="dxa"/>
            <w:noWrap/>
            <w:vAlign w:val="center"/>
            <w:hideMark/>
          </w:tcPr>
          <w:p w14:paraId="21C49647" w14:textId="77777777" w:rsidR="00934806" w:rsidRPr="007D1373" w:rsidRDefault="00934806" w:rsidP="00716EBA">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Cs w:val="20"/>
              </w:rPr>
            </w:pPr>
            <w:r w:rsidRPr="007D1373">
              <w:rPr>
                <w:rFonts w:eastAsia="Times New Roman" w:cstheme="minorHAnsi"/>
                <w:szCs w:val="20"/>
              </w:rPr>
              <w:t>2018</w:t>
            </w:r>
          </w:p>
        </w:tc>
        <w:tc>
          <w:tcPr>
            <w:tcW w:w="630" w:type="dxa"/>
            <w:noWrap/>
            <w:vAlign w:val="center"/>
            <w:hideMark/>
          </w:tcPr>
          <w:p w14:paraId="0DC5D499" w14:textId="77777777" w:rsidR="00934806" w:rsidRPr="007D1373" w:rsidRDefault="00934806" w:rsidP="00716EBA">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Cs w:val="20"/>
              </w:rPr>
            </w:pPr>
            <w:r w:rsidRPr="007D1373">
              <w:rPr>
                <w:rFonts w:eastAsia="Times New Roman" w:cstheme="minorHAnsi"/>
                <w:szCs w:val="20"/>
              </w:rPr>
              <w:t>2019</w:t>
            </w:r>
          </w:p>
        </w:tc>
        <w:tc>
          <w:tcPr>
            <w:tcW w:w="630" w:type="dxa"/>
            <w:noWrap/>
            <w:vAlign w:val="center"/>
            <w:hideMark/>
          </w:tcPr>
          <w:p w14:paraId="7979AAE6" w14:textId="77777777" w:rsidR="00934806" w:rsidRPr="007D1373" w:rsidRDefault="00934806" w:rsidP="00716EBA">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Cs w:val="20"/>
              </w:rPr>
            </w:pPr>
            <w:r w:rsidRPr="007D1373">
              <w:rPr>
                <w:rFonts w:eastAsia="Times New Roman" w:cstheme="minorHAnsi"/>
                <w:szCs w:val="20"/>
              </w:rPr>
              <w:t>2020</w:t>
            </w:r>
          </w:p>
        </w:tc>
      </w:tr>
      <w:tr w:rsidR="00934806" w:rsidRPr="007D1373" w14:paraId="25D29A49" w14:textId="77777777" w:rsidTr="00F42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14:paraId="0FD87C20" w14:textId="77777777" w:rsidR="00934806" w:rsidRPr="00F424FB" w:rsidRDefault="00934806" w:rsidP="00716EBA">
            <w:pPr>
              <w:jc w:val="left"/>
              <w:rPr>
                <w:rFonts w:eastAsia="Times New Roman" w:cstheme="minorHAnsi"/>
                <w:b w:val="0"/>
                <w:bCs w:val="0"/>
                <w:szCs w:val="20"/>
              </w:rPr>
            </w:pPr>
            <w:r w:rsidRPr="00F424FB">
              <w:rPr>
                <w:rFonts w:eastAsia="Times New Roman" w:cstheme="minorHAnsi"/>
                <w:b w:val="0"/>
                <w:bCs w:val="0"/>
                <w:szCs w:val="20"/>
              </w:rPr>
              <w:t>UE-27</w:t>
            </w:r>
          </w:p>
        </w:tc>
        <w:tc>
          <w:tcPr>
            <w:tcW w:w="1190" w:type="dxa"/>
            <w:vMerge w:val="restart"/>
            <w:vAlign w:val="center"/>
            <w:hideMark/>
          </w:tcPr>
          <w:p w14:paraId="7F1E9CB5" w14:textId="77777777" w:rsidR="00934806" w:rsidRPr="007D1373" w:rsidRDefault="00934806" w:rsidP="00716E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Foarte bună</w:t>
            </w:r>
          </w:p>
        </w:tc>
        <w:tc>
          <w:tcPr>
            <w:tcW w:w="670" w:type="dxa"/>
            <w:noWrap/>
            <w:vAlign w:val="center"/>
            <w:hideMark/>
          </w:tcPr>
          <w:p w14:paraId="546EB7BA"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20.5</w:t>
            </w:r>
          </w:p>
        </w:tc>
        <w:tc>
          <w:tcPr>
            <w:tcW w:w="630" w:type="dxa"/>
            <w:noWrap/>
            <w:vAlign w:val="center"/>
            <w:hideMark/>
          </w:tcPr>
          <w:p w14:paraId="368B2AAB"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20.5</w:t>
            </w:r>
          </w:p>
        </w:tc>
        <w:tc>
          <w:tcPr>
            <w:tcW w:w="630" w:type="dxa"/>
            <w:noWrap/>
            <w:vAlign w:val="center"/>
            <w:hideMark/>
          </w:tcPr>
          <w:p w14:paraId="13F0C2A2"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21.4</w:t>
            </w:r>
          </w:p>
        </w:tc>
        <w:tc>
          <w:tcPr>
            <w:tcW w:w="630" w:type="dxa"/>
            <w:noWrap/>
            <w:vAlign w:val="center"/>
            <w:hideMark/>
          </w:tcPr>
          <w:p w14:paraId="16677288"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20.4</w:t>
            </w:r>
          </w:p>
        </w:tc>
        <w:tc>
          <w:tcPr>
            <w:tcW w:w="630" w:type="dxa"/>
            <w:noWrap/>
            <w:vAlign w:val="center"/>
            <w:hideMark/>
          </w:tcPr>
          <w:p w14:paraId="19A18F4B"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20.5</w:t>
            </w:r>
          </w:p>
        </w:tc>
        <w:tc>
          <w:tcPr>
            <w:tcW w:w="630" w:type="dxa"/>
            <w:noWrap/>
            <w:vAlign w:val="center"/>
            <w:hideMark/>
          </w:tcPr>
          <w:p w14:paraId="6602F973"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20.2</w:t>
            </w:r>
          </w:p>
        </w:tc>
        <w:tc>
          <w:tcPr>
            <w:tcW w:w="630" w:type="dxa"/>
            <w:noWrap/>
            <w:vAlign w:val="center"/>
            <w:hideMark/>
          </w:tcPr>
          <w:p w14:paraId="1B289C60"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19.4</w:t>
            </w:r>
          </w:p>
        </w:tc>
        <w:tc>
          <w:tcPr>
            <w:tcW w:w="630" w:type="dxa"/>
            <w:noWrap/>
            <w:vAlign w:val="center"/>
            <w:hideMark/>
          </w:tcPr>
          <w:p w14:paraId="0003E26D"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21.0</w:t>
            </w:r>
          </w:p>
        </w:tc>
        <w:tc>
          <w:tcPr>
            <w:tcW w:w="630" w:type="dxa"/>
            <w:noWrap/>
            <w:vAlign w:val="center"/>
            <w:hideMark/>
          </w:tcPr>
          <w:p w14:paraId="30121104"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21.1</w:t>
            </w:r>
          </w:p>
        </w:tc>
        <w:tc>
          <w:tcPr>
            <w:tcW w:w="630" w:type="dxa"/>
            <w:noWrap/>
            <w:vAlign w:val="center"/>
            <w:hideMark/>
          </w:tcPr>
          <w:p w14:paraId="4023A0BE"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20.5</w:t>
            </w:r>
          </w:p>
        </w:tc>
        <w:tc>
          <w:tcPr>
            <w:tcW w:w="630" w:type="dxa"/>
            <w:noWrap/>
            <w:vAlign w:val="center"/>
            <w:hideMark/>
          </w:tcPr>
          <w:p w14:paraId="31DA7BF8"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23.3</w:t>
            </w:r>
          </w:p>
        </w:tc>
      </w:tr>
      <w:tr w:rsidR="00934806" w:rsidRPr="007D1373" w14:paraId="0AA7590A" w14:textId="77777777" w:rsidTr="00F424FB">
        <w:trPr>
          <w:trHeight w:val="300"/>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14:paraId="1B75970C" w14:textId="77777777" w:rsidR="00934806" w:rsidRPr="00F424FB" w:rsidRDefault="00934806" w:rsidP="00716EBA">
            <w:pPr>
              <w:jc w:val="left"/>
              <w:rPr>
                <w:rFonts w:eastAsia="Times New Roman" w:cstheme="minorHAnsi"/>
                <w:b w:val="0"/>
                <w:bCs w:val="0"/>
                <w:szCs w:val="20"/>
              </w:rPr>
            </w:pPr>
            <w:r w:rsidRPr="00F424FB">
              <w:rPr>
                <w:rFonts w:eastAsia="Times New Roman" w:cstheme="minorHAnsi"/>
                <w:b w:val="0"/>
                <w:bCs w:val="0"/>
                <w:szCs w:val="20"/>
              </w:rPr>
              <w:t>Romania</w:t>
            </w:r>
          </w:p>
        </w:tc>
        <w:tc>
          <w:tcPr>
            <w:tcW w:w="1190" w:type="dxa"/>
            <w:vMerge/>
            <w:vAlign w:val="center"/>
            <w:hideMark/>
          </w:tcPr>
          <w:p w14:paraId="09306780" w14:textId="77777777" w:rsidR="00934806" w:rsidRPr="007D1373" w:rsidRDefault="00934806" w:rsidP="00716EB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p>
        </w:tc>
        <w:tc>
          <w:tcPr>
            <w:tcW w:w="670" w:type="dxa"/>
            <w:noWrap/>
            <w:vAlign w:val="center"/>
            <w:hideMark/>
          </w:tcPr>
          <w:p w14:paraId="20FF5F8F"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26.5</w:t>
            </w:r>
          </w:p>
        </w:tc>
        <w:tc>
          <w:tcPr>
            <w:tcW w:w="630" w:type="dxa"/>
            <w:noWrap/>
            <w:vAlign w:val="center"/>
            <w:hideMark/>
          </w:tcPr>
          <w:p w14:paraId="0001C46C"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25.6</w:t>
            </w:r>
          </w:p>
        </w:tc>
        <w:tc>
          <w:tcPr>
            <w:tcW w:w="630" w:type="dxa"/>
            <w:noWrap/>
            <w:vAlign w:val="center"/>
            <w:hideMark/>
          </w:tcPr>
          <w:p w14:paraId="5ED9240C"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26.7</w:t>
            </w:r>
          </w:p>
        </w:tc>
        <w:tc>
          <w:tcPr>
            <w:tcW w:w="630" w:type="dxa"/>
            <w:noWrap/>
            <w:vAlign w:val="center"/>
            <w:hideMark/>
          </w:tcPr>
          <w:p w14:paraId="4B48BEC5"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27.4</w:t>
            </w:r>
          </w:p>
        </w:tc>
        <w:tc>
          <w:tcPr>
            <w:tcW w:w="630" w:type="dxa"/>
            <w:noWrap/>
            <w:vAlign w:val="center"/>
            <w:hideMark/>
          </w:tcPr>
          <w:p w14:paraId="40CB6E2C"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26.9</w:t>
            </w:r>
          </w:p>
        </w:tc>
        <w:tc>
          <w:tcPr>
            <w:tcW w:w="630" w:type="dxa"/>
            <w:noWrap/>
            <w:vAlign w:val="center"/>
            <w:hideMark/>
          </w:tcPr>
          <w:p w14:paraId="574E6952"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26.6</w:t>
            </w:r>
          </w:p>
        </w:tc>
        <w:tc>
          <w:tcPr>
            <w:tcW w:w="630" w:type="dxa"/>
            <w:noWrap/>
            <w:vAlign w:val="center"/>
            <w:hideMark/>
          </w:tcPr>
          <w:p w14:paraId="762B58BC"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26.5</w:t>
            </w:r>
          </w:p>
        </w:tc>
        <w:tc>
          <w:tcPr>
            <w:tcW w:w="630" w:type="dxa"/>
            <w:noWrap/>
            <w:vAlign w:val="center"/>
            <w:hideMark/>
          </w:tcPr>
          <w:p w14:paraId="77F81E5A"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27.8</w:t>
            </w:r>
          </w:p>
        </w:tc>
        <w:tc>
          <w:tcPr>
            <w:tcW w:w="630" w:type="dxa"/>
            <w:noWrap/>
            <w:vAlign w:val="center"/>
            <w:hideMark/>
          </w:tcPr>
          <w:p w14:paraId="04B15EDB"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26.4</w:t>
            </w:r>
          </w:p>
        </w:tc>
        <w:tc>
          <w:tcPr>
            <w:tcW w:w="630" w:type="dxa"/>
            <w:noWrap/>
            <w:vAlign w:val="center"/>
            <w:hideMark/>
          </w:tcPr>
          <w:p w14:paraId="2390AA4A"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27.9</w:t>
            </w:r>
          </w:p>
        </w:tc>
        <w:tc>
          <w:tcPr>
            <w:tcW w:w="630" w:type="dxa"/>
            <w:noWrap/>
            <w:vAlign w:val="center"/>
            <w:hideMark/>
          </w:tcPr>
          <w:p w14:paraId="7FE18B3B"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31.7</w:t>
            </w:r>
          </w:p>
        </w:tc>
      </w:tr>
      <w:tr w:rsidR="00934806" w:rsidRPr="007D1373" w14:paraId="503B5041" w14:textId="77777777" w:rsidTr="00F42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14:paraId="510F78D3" w14:textId="77777777" w:rsidR="00934806" w:rsidRPr="00F424FB" w:rsidRDefault="00934806" w:rsidP="00716EBA">
            <w:pPr>
              <w:jc w:val="left"/>
              <w:rPr>
                <w:rFonts w:eastAsia="Times New Roman" w:cstheme="minorHAnsi"/>
                <w:b w:val="0"/>
                <w:bCs w:val="0"/>
                <w:szCs w:val="20"/>
              </w:rPr>
            </w:pPr>
            <w:r w:rsidRPr="00F424FB">
              <w:rPr>
                <w:rFonts w:eastAsia="Times New Roman" w:cstheme="minorHAnsi"/>
                <w:b w:val="0"/>
                <w:bCs w:val="0"/>
                <w:szCs w:val="20"/>
              </w:rPr>
              <w:t>UE-27</w:t>
            </w:r>
          </w:p>
        </w:tc>
        <w:tc>
          <w:tcPr>
            <w:tcW w:w="1190" w:type="dxa"/>
            <w:vMerge w:val="restart"/>
            <w:noWrap/>
            <w:vAlign w:val="center"/>
            <w:hideMark/>
          </w:tcPr>
          <w:p w14:paraId="599B063A" w14:textId="77777777" w:rsidR="00934806" w:rsidRPr="007D1373" w:rsidRDefault="00934806" w:rsidP="00716E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7D1373">
              <w:rPr>
                <w:rFonts w:eastAsia="Times New Roman" w:cstheme="minorHAnsi"/>
                <w:color w:val="000000"/>
                <w:szCs w:val="20"/>
              </w:rPr>
              <w:t>Bună</w:t>
            </w:r>
          </w:p>
        </w:tc>
        <w:tc>
          <w:tcPr>
            <w:tcW w:w="670" w:type="dxa"/>
            <w:noWrap/>
            <w:vAlign w:val="center"/>
            <w:hideMark/>
          </w:tcPr>
          <w:p w14:paraId="2B4AB52A"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46.2</w:t>
            </w:r>
          </w:p>
        </w:tc>
        <w:tc>
          <w:tcPr>
            <w:tcW w:w="630" w:type="dxa"/>
            <w:noWrap/>
            <w:vAlign w:val="center"/>
            <w:hideMark/>
          </w:tcPr>
          <w:p w14:paraId="6C14DAC8"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46.1</w:t>
            </w:r>
          </w:p>
        </w:tc>
        <w:tc>
          <w:tcPr>
            <w:tcW w:w="630" w:type="dxa"/>
            <w:noWrap/>
            <w:vAlign w:val="center"/>
            <w:hideMark/>
          </w:tcPr>
          <w:p w14:paraId="771A1247"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45.9</w:t>
            </w:r>
          </w:p>
        </w:tc>
        <w:tc>
          <w:tcPr>
            <w:tcW w:w="630" w:type="dxa"/>
            <w:noWrap/>
            <w:vAlign w:val="center"/>
            <w:hideMark/>
          </w:tcPr>
          <w:p w14:paraId="3E3C3617"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46.1</w:t>
            </w:r>
          </w:p>
        </w:tc>
        <w:tc>
          <w:tcPr>
            <w:tcW w:w="630" w:type="dxa"/>
            <w:noWrap/>
            <w:vAlign w:val="center"/>
            <w:hideMark/>
          </w:tcPr>
          <w:p w14:paraId="26F3D36B"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46.7</w:t>
            </w:r>
          </w:p>
        </w:tc>
        <w:tc>
          <w:tcPr>
            <w:tcW w:w="630" w:type="dxa"/>
            <w:noWrap/>
            <w:vAlign w:val="center"/>
            <w:hideMark/>
          </w:tcPr>
          <w:p w14:paraId="73027926"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46.5</w:t>
            </w:r>
          </w:p>
        </w:tc>
        <w:tc>
          <w:tcPr>
            <w:tcW w:w="630" w:type="dxa"/>
            <w:noWrap/>
            <w:vAlign w:val="center"/>
            <w:hideMark/>
          </w:tcPr>
          <w:p w14:paraId="40EE995F"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48.0</w:t>
            </w:r>
          </w:p>
        </w:tc>
        <w:tc>
          <w:tcPr>
            <w:tcW w:w="630" w:type="dxa"/>
            <w:noWrap/>
            <w:vAlign w:val="center"/>
            <w:hideMark/>
          </w:tcPr>
          <w:p w14:paraId="1C7EA103"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47.9</w:t>
            </w:r>
          </w:p>
        </w:tc>
        <w:tc>
          <w:tcPr>
            <w:tcW w:w="630" w:type="dxa"/>
            <w:noWrap/>
            <w:vAlign w:val="center"/>
            <w:hideMark/>
          </w:tcPr>
          <w:p w14:paraId="40F3BF37"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47.4</w:t>
            </w:r>
          </w:p>
        </w:tc>
        <w:tc>
          <w:tcPr>
            <w:tcW w:w="630" w:type="dxa"/>
            <w:noWrap/>
            <w:vAlign w:val="center"/>
            <w:hideMark/>
          </w:tcPr>
          <w:p w14:paraId="61FB73A0"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48.0</w:t>
            </w:r>
          </w:p>
        </w:tc>
        <w:tc>
          <w:tcPr>
            <w:tcW w:w="630" w:type="dxa"/>
            <w:noWrap/>
            <w:vAlign w:val="center"/>
            <w:hideMark/>
          </w:tcPr>
          <w:p w14:paraId="068FA861"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45.3</w:t>
            </w:r>
          </w:p>
        </w:tc>
      </w:tr>
      <w:tr w:rsidR="00934806" w:rsidRPr="007D1373" w14:paraId="38977B53" w14:textId="77777777" w:rsidTr="00F424FB">
        <w:trPr>
          <w:trHeight w:val="300"/>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14:paraId="0E829E3D" w14:textId="77777777" w:rsidR="00934806" w:rsidRPr="00F424FB" w:rsidRDefault="00934806" w:rsidP="00716EBA">
            <w:pPr>
              <w:jc w:val="left"/>
              <w:rPr>
                <w:rFonts w:eastAsia="Times New Roman" w:cstheme="minorHAnsi"/>
                <w:b w:val="0"/>
                <w:bCs w:val="0"/>
                <w:szCs w:val="20"/>
              </w:rPr>
            </w:pPr>
            <w:r w:rsidRPr="00F424FB">
              <w:rPr>
                <w:rFonts w:eastAsia="Times New Roman" w:cstheme="minorHAnsi"/>
                <w:b w:val="0"/>
                <w:bCs w:val="0"/>
                <w:szCs w:val="20"/>
              </w:rPr>
              <w:lastRenderedPageBreak/>
              <w:t>Romania</w:t>
            </w:r>
          </w:p>
        </w:tc>
        <w:tc>
          <w:tcPr>
            <w:tcW w:w="1190" w:type="dxa"/>
            <w:vMerge/>
            <w:vAlign w:val="center"/>
            <w:hideMark/>
          </w:tcPr>
          <w:p w14:paraId="43FD4EB8" w14:textId="77777777" w:rsidR="00934806" w:rsidRPr="007D1373" w:rsidRDefault="00934806" w:rsidP="00716EB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p>
        </w:tc>
        <w:tc>
          <w:tcPr>
            <w:tcW w:w="670" w:type="dxa"/>
            <w:noWrap/>
            <w:vAlign w:val="center"/>
            <w:hideMark/>
          </w:tcPr>
          <w:p w14:paraId="67C1CA66"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42.2</w:t>
            </w:r>
          </w:p>
        </w:tc>
        <w:tc>
          <w:tcPr>
            <w:tcW w:w="630" w:type="dxa"/>
            <w:noWrap/>
            <w:vAlign w:val="center"/>
            <w:hideMark/>
          </w:tcPr>
          <w:p w14:paraId="107E97EE"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42.3</w:t>
            </w:r>
          </w:p>
        </w:tc>
        <w:tc>
          <w:tcPr>
            <w:tcW w:w="630" w:type="dxa"/>
            <w:noWrap/>
            <w:vAlign w:val="center"/>
            <w:hideMark/>
          </w:tcPr>
          <w:p w14:paraId="63973603"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41.5</w:t>
            </w:r>
          </w:p>
        </w:tc>
        <w:tc>
          <w:tcPr>
            <w:tcW w:w="630" w:type="dxa"/>
            <w:noWrap/>
            <w:vAlign w:val="center"/>
            <w:hideMark/>
          </w:tcPr>
          <w:p w14:paraId="3B0005E7"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41.3</w:t>
            </w:r>
          </w:p>
        </w:tc>
        <w:tc>
          <w:tcPr>
            <w:tcW w:w="630" w:type="dxa"/>
            <w:noWrap/>
            <w:vAlign w:val="center"/>
            <w:hideMark/>
          </w:tcPr>
          <w:p w14:paraId="0AEF4F94"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42.3</w:t>
            </w:r>
          </w:p>
        </w:tc>
        <w:tc>
          <w:tcPr>
            <w:tcW w:w="630" w:type="dxa"/>
            <w:noWrap/>
            <w:vAlign w:val="center"/>
            <w:hideMark/>
          </w:tcPr>
          <w:p w14:paraId="19CCA062"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43.3</w:t>
            </w:r>
          </w:p>
        </w:tc>
        <w:tc>
          <w:tcPr>
            <w:tcW w:w="630" w:type="dxa"/>
            <w:noWrap/>
            <w:vAlign w:val="center"/>
            <w:hideMark/>
          </w:tcPr>
          <w:p w14:paraId="5A318B3E"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43.9</w:t>
            </w:r>
          </w:p>
        </w:tc>
        <w:tc>
          <w:tcPr>
            <w:tcW w:w="630" w:type="dxa"/>
            <w:noWrap/>
            <w:vAlign w:val="center"/>
            <w:hideMark/>
          </w:tcPr>
          <w:p w14:paraId="39B7B9D7"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43.0</w:t>
            </w:r>
          </w:p>
        </w:tc>
        <w:tc>
          <w:tcPr>
            <w:tcW w:w="630" w:type="dxa"/>
            <w:noWrap/>
            <w:vAlign w:val="center"/>
            <w:hideMark/>
          </w:tcPr>
          <w:p w14:paraId="586151A8"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44.2</w:t>
            </w:r>
          </w:p>
        </w:tc>
        <w:tc>
          <w:tcPr>
            <w:tcW w:w="630" w:type="dxa"/>
            <w:noWrap/>
            <w:vAlign w:val="center"/>
            <w:hideMark/>
          </w:tcPr>
          <w:p w14:paraId="28869118"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43.2</w:t>
            </w:r>
          </w:p>
        </w:tc>
        <w:tc>
          <w:tcPr>
            <w:tcW w:w="630" w:type="dxa"/>
            <w:noWrap/>
            <w:vAlign w:val="center"/>
            <w:hideMark/>
          </w:tcPr>
          <w:p w14:paraId="4D79113F"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41.3</w:t>
            </w:r>
          </w:p>
        </w:tc>
      </w:tr>
      <w:tr w:rsidR="00934806" w:rsidRPr="007D1373" w14:paraId="740E5056" w14:textId="77777777" w:rsidTr="00F42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14:paraId="2662E609" w14:textId="77777777" w:rsidR="00934806" w:rsidRPr="00F424FB" w:rsidRDefault="00934806" w:rsidP="00716EBA">
            <w:pPr>
              <w:jc w:val="left"/>
              <w:rPr>
                <w:rFonts w:eastAsia="Times New Roman" w:cstheme="minorHAnsi"/>
                <w:b w:val="0"/>
                <w:bCs w:val="0"/>
                <w:szCs w:val="20"/>
              </w:rPr>
            </w:pPr>
            <w:r w:rsidRPr="00F424FB">
              <w:rPr>
                <w:rFonts w:eastAsia="Times New Roman" w:cstheme="minorHAnsi"/>
                <w:b w:val="0"/>
                <w:bCs w:val="0"/>
                <w:szCs w:val="20"/>
              </w:rPr>
              <w:t>UE-27</w:t>
            </w:r>
          </w:p>
        </w:tc>
        <w:tc>
          <w:tcPr>
            <w:tcW w:w="1190" w:type="dxa"/>
            <w:vMerge w:val="restart"/>
            <w:vAlign w:val="center"/>
            <w:hideMark/>
          </w:tcPr>
          <w:p w14:paraId="3B1FBAAA" w14:textId="77777777" w:rsidR="00934806" w:rsidRPr="007D1373" w:rsidRDefault="00934806" w:rsidP="00716E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7D1373">
              <w:rPr>
                <w:rFonts w:eastAsia="Times New Roman" w:cstheme="minorHAnsi"/>
                <w:color w:val="000000"/>
                <w:szCs w:val="20"/>
              </w:rPr>
              <w:t>Nici bună, nici proastă</w:t>
            </w:r>
          </w:p>
        </w:tc>
        <w:tc>
          <w:tcPr>
            <w:tcW w:w="670" w:type="dxa"/>
            <w:noWrap/>
            <w:vAlign w:val="center"/>
            <w:hideMark/>
          </w:tcPr>
          <w:p w14:paraId="4B48EBF7"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23.5</w:t>
            </w:r>
          </w:p>
        </w:tc>
        <w:tc>
          <w:tcPr>
            <w:tcW w:w="630" w:type="dxa"/>
            <w:noWrap/>
            <w:vAlign w:val="center"/>
            <w:hideMark/>
          </w:tcPr>
          <w:p w14:paraId="47914543"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23.1</w:t>
            </w:r>
          </w:p>
        </w:tc>
        <w:tc>
          <w:tcPr>
            <w:tcW w:w="630" w:type="dxa"/>
            <w:noWrap/>
            <w:vAlign w:val="center"/>
            <w:hideMark/>
          </w:tcPr>
          <w:p w14:paraId="2B1AEFB6"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22.5</w:t>
            </w:r>
          </w:p>
        </w:tc>
        <w:tc>
          <w:tcPr>
            <w:tcW w:w="630" w:type="dxa"/>
            <w:noWrap/>
            <w:vAlign w:val="center"/>
            <w:hideMark/>
          </w:tcPr>
          <w:p w14:paraId="436AE0D3"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23.5</w:t>
            </w:r>
          </w:p>
        </w:tc>
        <w:tc>
          <w:tcPr>
            <w:tcW w:w="630" w:type="dxa"/>
            <w:noWrap/>
            <w:vAlign w:val="center"/>
            <w:hideMark/>
          </w:tcPr>
          <w:p w14:paraId="763FD1F8"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22.9</w:t>
            </w:r>
          </w:p>
        </w:tc>
        <w:tc>
          <w:tcPr>
            <w:tcW w:w="630" w:type="dxa"/>
            <w:noWrap/>
            <w:vAlign w:val="center"/>
            <w:hideMark/>
          </w:tcPr>
          <w:p w14:paraId="096716B3"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23.6</w:t>
            </w:r>
          </w:p>
        </w:tc>
        <w:tc>
          <w:tcPr>
            <w:tcW w:w="630" w:type="dxa"/>
            <w:noWrap/>
            <w:vAlign w:val="center"/>
            <w:hideMark/>
          </w:tcPr>
          <w:p w14:paraId="52DE9164"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23.8</w:t>
            </w:r>
          </w:p>
        </w:tc>
        <w:tc>
          <w:tcPr>
            <w:tcW w:w="630" w:type="dxa"/>
            <w:noWrap/>
            <w:vAlign w:val="center"/>
            <w:hideMark/>
          </w:tcPr>
          <w:p w14:paraId="3F7C844B"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22.6</w:t>
            </w:r>
          </w:p>
        </w:tc>
        <w:tc>
          <w:tcPr>
            <w:tcW w:w="630" w:type="dxa"/>
            <w:noWrap/>
            <w:vAlign w:val="center"/>
            <w:hideMark/>
          </w:tcPr>
          <w:p w14:paraId="26EBF85B"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23.0</w:t>
            </w:r>
          </w:p>
        </w:tc>
        <w:tc>
          <w:tcPr>
            <w:tcW w:w="630" w:type="dxa"/>
            <w:noWrap/>
            <w:vAlign w:val="center"/>
            <w:hideMark/>
          </w:tcPr>
          <w:p w14:paraId="45A37CFF"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22.9</w:t>
            </w:r>
          </w:p>
        </w:tc>
        <w:tc>
          <w:tcPr>
            <w:tcW w:w="630" w:type="dxa"/>
            <w:noWrap/>
            <w:vAlign w:val="center"/>
            <w:hideMark/>
          </w:tcPr>
          <w:p w14:paraId="2BFF167C"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22.5</w:t>
            </w:r>
          </w:p>
        </w:tc>
      </w:tr>
      <w:tr w:rsidR="00934806" w:rsidRPr="007D1373" w14:paraId="38F39296" w14:textId="77777777" w:rsidTr="00F424FB">
        <w:trPr>
          <w:trHeight w:val="300"/>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14:paraId="642CE368" w14:textId="77777777" w:rsidR="00934806" w:rsidRPr="00F424FB" w:rsidRDefault="00934806" w:rsidP="00716EBA">
            <w:pPr>
              <w:jc w:val="left"/>
              <w:rPr>
                <w:rFonts w:eastAsia="Times New Roman" w:cstheme="minorHAnsi"/>
                <w:b w:val="0"/>
                <w:bCs w:val="0"/>
                <w:szCs w:val="20"/>
              </w:rPr>
            </w:pPr>
            <w:r w:rsidRPr="00F424FB">
              <w:rPr>
                <w:rFonts w:eastAsia="Times New Roman" w:cstheme="minorHAnsi"/>
                <w:b w:val="0"/>
                <w:bCs w:val="0"/>
                <w:szCs w:val="20"/>
              </w:rPr>
              <w:t>Romania</w:t>
            </w:r>
          </w:p>
        </w:tc>
        <w:tc>
          <w:tcPr>
            <w:tcW w:w="1190" w:type="dxa"/>
            <w:vMerge/>
            <w:vAlign w:val="center"/>
            <w:hideMark/>
          </w:tcPr>
          <w:p w14:paraId="291D09D7" w14:textId="77777777" w:rsidR="00934806" w:rsidRPr="007D1373" w:rsidRDefault="00934806" w:rsidP="00716EB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p>
        </w:tc>
        <w:tc>
          <w:tcPr>
            <w:tcW w:w="670" w:type="dxa"/>
            <w:noWrap/>
            <w:vAlign w:val="center"/>
            <w:hideMark/>
          </w:tcPr>
          <w:p w14:paraId="5A0F36A6"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21.8</w:t>
            </w:r>
          </w:p>
        </w:tc>
        <w:tc>
          <w:tcPr>
            <w:tcW w:w="630" w:type="dxa"/>
            <w:noWrap/>
            <w:vAlign w:val="center"/>
            <w:hideMark/>
          </w:tcPr>
          <w:p w14:paraId="14B06B54"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22.4</w:t>
            </w:r>
          </w:p>
        </w:tc>
        <w:tc>
          <w:tcPr>
            <w:tcW w:w="630" w:type="dxa"/>
            <w:noWrap/>
            <w:vAlign w:val="center"/>
            <w:hideMark/>
          </w:tcPr>
          <w:p w14:paraId="4F123401"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21.6</w:t>
            </w:r>
          </w:p>
        </w:tc>
        <w:tc>
          <w:tcPr>
            <w:tcW w:w="630" w:type="dxa"/>
            <w:noWrap/>
            <w:vAlign w:val="center"/>
            <w:hideMark/>
          </w:tcPr>
          <w:p w14:paraId="0861F6F0"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21.4</w:t>
            </w:r>
          </w:p>
        </w:tc>
        <w:tc>
          <w:tcPr>
            <w:tcW w:w="630" w:type="dxa"/>
            <w:noWrap/>
            <w:vAlign w:val="center"/>
            <w:hideMark/>
          </w:tcPr>
          <w:p w14:paraId="314B103B"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21.6</w:t>
            </w:r>
          </w:p>
        </w:tc>
        <w:tc>
          <w:tcPr>
            <w:tcW w:w="630" w:type="dxa"/>
            <w:noWrap/>
            <w:vAlign w:val="center"/>
            <w:hideMark/>
          </w:tcPr>
          <w:p w14:paraId="27BA865F"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21.6</w:t>
            </w:r>
          </w:p>
        </w:tc>
        <w:tc>
          <w:tcPr>
            <w:tcW w:w="630" w:type="dxa"/>
            <w:noWrap/>
            <w:vAlign w:val="center"/>
            <w:hideMark/>
          </w:tcPr>
          <w:p w14:paraId="39C1A34F"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22.3</w:t>
            </w:r>
          </w:p>
        </w:tc>
        <w:tc>
          <w:tcPr>
            <w:tcW w:w="630" w:type="dxa"/>
            <w:noWrap/>
            <w:vAlign w:val="center"/>
            <w:hideMark/>
          </w:tcPr>
          <w:p w14:paraId="54A2DB66"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21.8</w:t>
            </w:r>
          </w:p>
        </w:tc>
        <w:tc>
          <w:tcPr>
            <w:tcW w:w="630" w:type="dxa"/>
            <w:noWrap/>
            <w:vAlign w:val="center"/>
            <w:hideMark/>
          </w:tcPr>
          <w:p w14:paraId="06C7BFC2"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22.3</w:t>
            </w:r>
          </w:p>
        </w:tc>
        <w:tc>
          <w:tcPr>
            <w:tcW w:w="630" w:type="dxa"/>
            <w:noWrap/>
            <w:vAlign w:val="center"/>
            <w:hideMark/>
          </w:tcPr>
          <w:p w14:paraId="381437F0"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21.6</w:t>
            </w:r>
          </w:p>
        </w:tc>
        <w:tc>
          <w:tcPr>
            <w:tcW w:w="630" w:type="dxa"/>
            <w:noWrap/>
            <w:vAlign w:val="center"/>
            <w:hideMark/>
          </w:tcPr>
          <w:p w14:paraId="7AB2D072"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19.7</w:t>
            </w:r>
          </w:p>
        </w:tc>
      </w:tr>
      <w:tr w:rsidR="00934806" w:rsidRPr="007D1373" w14:paraId="21941DB7" w14:textId="77777777" w:rsidTr="00F42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14:paraId="734B50FE" w14:textId="77777777" w:rsidR="00934806" w:rsidRPr="00F424FB" w:rsidRDefault="00934806" w:rsidP="00716EBA">
            <w:pPr>
              <w:jc w:val="left"/>
              <w:rPr>
                <w:rFonts w:eastAsia="Times New Roman" w:cstheme="minorHAnsi"/>
                <w:b w:val="0"/>
                <w:bCs w:val="0"/>
                <w:szCs w:val="20"/>
              </w:rPr>
            </w:pPr>
            <w:r w:rsidRPr="00F424FB">
              <w:rPr>
                <w:rFonts w:eastAsia="Times New Roman" w:cstheme="minorHAnsi"/>
                <w:b w:val="0"/>
                <w:bCs w:val="0"/>
                <w:szCs w:val="20"/>
              </w:rPr>
              <w:t>UE-27</w:t>
            </w:r>
          </w:p>
        </w:tc>
        <w:tc>
          <w:tcPr>
            <w:tcW w:w="1190" w:type="dxa"/>
            <w:vMerge w:val="restart"/>
            <w:noWrap/>
            <w:vAlign w:val="center"/>
            <w:hideMark/>
          </w:tcPr>
          <w:p w14:paraId="2B6F0B93" w14:textId="77777777" w:rsidR="00934806" w:rsidRPr="007D1373" w:rsidRDefault="00934806" w:rsidP="00716E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7D1373">
              <w:rPr>
                <w:rFonts w:eastAsia="Times New Roman" w:cstheme="minorHAnsi"/>
                <w:color w:val="000000"/>
                <w:szCs w:val="20"/>
              </w:rPr>
              <w:t>Proastă</w:t>
            </w:r>
          </w:p>
        </w:tc>
        <w:tc>
          <w:tcPr>
            <w:tcW w:w="670" w:type="dxa"/>
            <w:noWrap/>
            <w:vAlign w:val="center"/>
            <w:hideMark/>
          </w:tcPr>
          <w:p w14:paraId="5E1BBE13"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8.0</w:t>
            </w:r>
          </w:p>
        </w:tc>
        <w:tc>
          <w:tcPr>
            <w:tcW w:w="630" w:type="dxa"/>
            <w:noWrap/>
            <w:vAlign w:val="center"/>
            <w:hideMark/>
          </w:tcPr>
          <w:p w14:paraId="6957B72A"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8.1</w:t>
            </w:r>
          </w:p>
        </w:tc>
        <w:tc>
          <w:tcPr>
            <w:tcW w:w="630" w:type="dxa"/>
            <w:noWrap/>
            <w:vAlign w:val="center"/>
            <w:hideMark/>
          </w:tcPr>
          <w:p w14:paraId="651AC569"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8.1</w:t>
            </w:r>
          </w:p>
        </w:tc>
        <w:tc>
          <w:tcPr>
            <w:tcW w:w="630" w:type="dxa"/>
            <w:noWrap/>
            <w:vAlign w:val="center"/>
            <w:hideMark/>
          </w:tcPr>
          <w:p w14:paraId="4F143059"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8.1</w:t>
            </w:r>
          </w:p>
        </w:tc>
        <w:tc>
          <w:tcPr>
            <w:tcW w:w="630" w:type="dxa"/>
            <w:noWrap/>
            <w:vAlign w:val="center"/>
            <w:hideMark/>
          </w:tcPr>
          <w:p w14:paraId="548FB30D"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8.0</w:t>
            </w:r>
          </w:p>
        </w:tc>
        <w:tc>
          <w:tcPr>
            <w:tcW w:w="630" w:type="dxa"/>
            <w:noWrap/>
            <w:vAlign w:val="center"/>
            <w:hideMark/>
          </w:tcPr>
          <w:p w14:paraId="27D4E911"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7.9</w:t>
            </w:r>
          </w:p>
        </w:tc>
        <w:tc>
          <w:tcPr>
            <w:tcW w:w="630" w:type="dxa"/>
            <w:noWrap/>
            <w:vAlign w:val="center"/>
            <w:hideMark/>
          </w:tcPr>
          <w:p w14:paraId="2DFE07DF"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7.2</w:t>
            </w:r>
          </w:p>
        </w:tc>
        <w:tc>
          <w:tcPr>
            <w:tcW w:w="630" w:type="dxa"/>
            <w:noWrap/>
            <w:vAlign w:val="center"/>
            <w:hideMark/>
          </w:tcPr>
          <w:p w14:paraId="0580AF8F"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6.9</w:t>
            </w:r>
          </w:p>
        </w:tc>
        <w:tc>
          <w:tcPr>
            <w:tcW w:w="630" w:type="dxa"/>
            <w:noWrap/>
            <w:vAlign w:val="center"/>
            <w:hideMark/>
          </w:tcPr>
          <w:p w14:paraId="34DBC79C"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6.9</w:t>
            </w:r>
          </w:p>
        </w:tc>
        <w:tc>
          <w:tcPr>
            <w:tcW w:w="630" w:type="dxa"/>
            <w:noWrap/>
            <w:vAlign w:val="center"/>
            <w:hideMark/>
          </w:tcPr>
          <w:p w14:paraId="6E856A29"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7.0</w:t>
            </w:r>
          </w:p>
        </w:tc>
        <w:tc>
          <w:tcPr>
            <w:tcW w:w="630" w:type="dxa"/>
            <w:noWrap/>
            <w:vAlign w:val="center"/>
            <w:hideMark/>
          </w:tcPr>
          <w:p w14:paraId="0F469378"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7.0</w:t>
            </w:r>
          </w:p>
        </w:tc>
      </w:tr>
      <w:tr w:rsidR="00934806" w:rsidRPr="007D1373" w14:paraId="302FD748" w14:textId="77777777" w:rsidTr="00F424FB">
        <w:trPr>
          <w:trHeight w:val="300"/>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14:paraId="4A44B505" w14:textId="77777777" w:rsidR="00934806" w:rsidRPr="00F424FB" w:rsidRDefault="00934806" w:rsidP="00716EBA">
            <w:pPr>
              <w:jc w:val="left"/>
              <w:rPr>
                <w:rFonts w:eastAsia="Times New Roman" w:cstheme="minorHAnsi"/>
                <w:b w:val="0"/>
                <w:bCs w:val="0"/>
                <w:szCs w:val="20"/>
              </w:rPr>
            </w:pPr>
            <w:r w:rsidRPr="00F424FB">
              <w:rPr>
                <w:rFonts w:eastAsia="Times New Roman" w:cstheme="minorHAnsi"/>
                <w:b w:val="0"/>
                <w:bCs w:val="0"/>
                <w:szCs w:val="20"/>
              </w:rPr>
              <w:t>Romania</w:t>
            </w:r>
          </w:p>
        </w:tc>
        <w:tc>
          <w:tcPr>
            <w:tcW w:w="1190" w:type="dxa"/>
            <w:vMerge/>
            <w:vAlign w:val="center"/>
            <w:hideMark/>
          </w:tcPr>
          <w:p w14:paraId="48E15BDB" w14:textId="77777777" w:rsidR="00934806" w:rsidRPr="007D1373" w:rsidRDefault="00934806" w:rsidP="00716EB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p>
        </w:tc>
        <w:tc>
          <w:tcPr>
            <w:tcW w:w="670" w:type="dxa"/>
            <w:noWrap/>
            <w:vAlign w:val="center"/>
            <w:hideMark/>
          </w:tcPr>
          <w:p w14:paraId="088DAEA3"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7.8</w:t>
            </w:r>
          </w:p>
        </w:tc>
        <w:tc>
          <w:tcPr>
            <w:tcW w:w="630" w:type="dxa"/>
            <w:noWrap/>
            <w:vAlign w:val="center"/>
            <w:hideMark/>
          </w:tcPr>
          <w:p w14:paraId="3E716108"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7.9</w:t>
            </w:r>
          </w:p>
        </w:tc>
        <w:tc>
          <w:tcPr>
            <w:tcW w:w="630" w:type="dxa"/>
            <w:noWrap/>
            <w:vAlign w:val="center"/>
            <w:hideMark/>
          </w:tcPr>
          <w:p w14:paraId="1EA44421"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8.2</w:t>
            </w:r>
          </w:p>
        </w:tc>
        <w:tc>
          <w:tcPr>
            <w:tcW w:w="630" w:type="dxa"/>
            <w:noWrap/>
            <w:vAlign w:val="center"/>
            <w:hideMark/>
          </w:tcPr>
          <w:p w14:paraId="1ED65FC3"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7.9</w:t>
            </w:r>
          </w:p>
        </w:tc>
        <w:tc>
          <w:tcPr>
            <w:tcW w:w="630" w:type="dxa"/>
            <w:noWrap/>
            <w:vAlign w:val="center"/>
            <w:hideMark/>
          </w:tcPr>
          <w:p w14:paraId="2124710B"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7.6</w:t>
            </w:r>
          </w:p>
        </w:tc>
        <w:tc>
          <w:tcPr>
            <w:tcW w:w="630" w:type="dxa"/>
            <w:noWrap/>
            <w:vAlign w:val="center"/>
            <w:hideMark/>
          </w:tcPr>
          <w:p w14:paraId="0E116520"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7.1</w:t>
            </w:r>
          </w:p>
        </w:tc>
        <w:tc>
          <w:tcPr>
            <w:tcW w:w="630" w:type="dxa"/>
            <w:noWrap/>
            <w:vAlign w:val="center"/>
            <w:hideMark/>
          </w:tcPr>
          <w:p w14:paraId="4C6143F5"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6.0</w:t>
            </w:r>
          </w:p>
        </w:tc>
        <w:tc>
          <w:tcPr>
            <w:tcW w:w="630" w:type="dxa"/>
            <w:noWrap/>
            <w:vAlign w:val="center"/>
            <w:hideMark/>
          </w:tcPr>
          <w:p w14:paraId="4A78E4D8"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6.0</w:t>
            </w:r>
          </w:p>
        </w:tc>
        <w:tc>
          <w:tcPr>
            <w:tcW w:w="630" w:type="dxa"/>
            <w:noWrap/>
            <w:vAlign w:val="center"/>
            <w:hideMark/>
          </w:tcPr>
          <w:p w14:paraId="1AF02051"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5.8</w:t>
            </w:r>
          </w:p>
        </w:tc>
        <w:tc>
          <w:tcPr>
            <w:tcW w:w="630" w:type="dxa"/>
            <w:noWrap/>
            <w:vAlign w:val="center"/>
            <w:hideMark/>
          </w:tcPr>
          <w:p w14:paraId="091481D8"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5.9</w:t>
            </w:r>
          </w:p>
        </w:tc>
        <w:tc>
          <w:tcPr>
            <w:tcW w:w="630" w:type="dxa"/>
            <w:noWrap/>
            <w:vAlign w:val="center"/>
            <w:hideMark/>
          </w:tcPr>
          <w:p w14:paraId="72C5FAB5"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6.0</w:t>
            </w:r>
          </w:p>
        </w:tc>
      </w:tr>
      <w:tr w:rsidR="00934806" w:rsidRPr="007D1373" w14:paraId="44967A5C" w14:textId="77777777" w:rsidTr="00F42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14:paraId="3662C3CB" w14:textId="77777777" w:rsidR="00934806" w:rsidRPr="00F424FB" w:rsidRDefault="00934806" w:rsidP="00716EBA">
            <w:pPr>
              <w:jc w:val="left"/>
              <w:rPr>
                <w:rFonts w:eastAsia="Times New Roman" w:cstheme="minorHAnsi"/>
                <w:b w:val="0"/>
                <w:bCs w:val="0"/>
                <w:szCs w:val="20"/>
              </w:rPr>
            </w:pPr>
            <w:r w:rsidRPr="00F424FB">
              <w:rPr>
                <w:rFonts w:eastAsia="Times New Roman" w:cstheme="minorHAnsi"/>
                <w:b w:val="0"/>
                <w:bCs w:val="0"/>
                <w:szCs w:val="20"/>
              </w:rPr>
              <w:t>UE-27</w:t>
            </w:r>
          </w:p>
        </w:tc>
        <w:tc>
          <w:tcPr>
            <w:tcW w:w="1190" w:type="dxa"/>
            <w:vMerge w:val="restart"/>
            <w:vAlign w:val="center"/>
            <w:hideMark/>
          </w:tcPr>
          <w:p w14:paraId="05FE0609" w14:textId="77777777" w:rsidR="00934806" w:rsidRPr="007D1373" w:rsidRDefault="00934806" w:rsidP="00716E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7D1373">
              <w:rPr>
                <w:rFonts w:eastAsia="Times New Roman" w:cstheme="minorHAnsi"/>
                <w:color w:val="000000"/>
                <w:szCs w:val="20"/>
              </w:rPr>
              <w:t>Foarte proastă</w:t>
            </w:r>
          </w:p>
        </w:tc>
        <w:tc>
          <w:tcPr>
            <w:tcW w:w="670" w:type="dxa"/>
            <w:noWrap/>
            <w:vAlign w:val="center"/>
            <w:hideMark/>
          </w:tcPr>
          <w:p w14:paraId="7D3A3F16"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1.9</w:t>
            </w:r>
          </w:p>
        </w:tc>
        <w:tc>
          <w:tcPr>
            <w:tcW w:w="630" w:type="dxa"/>
            <w:noWrap/>
            <w:vAlign w:val="center"/>
            <w:hideMark/>
          </w:tcPr>
          <w:p w14:paraId="3E933B8F"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2.1</w:t>
            </w:r>
          </w:p>
        </w:tc>
        <w:tc>
          <w:tcPr>
            <w:tcW w:w="630" w:type="dxa"/>
            <w:noWrap/>
            <w:vAlign w:val="center"/>
            <w:hideMark/>
          </w:tcPr>
          <w:p w14:paraId="3160AD80"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2.1</w:t>
            </w:r>
          </w:p>
        </w:tc>
        <w:tc>
          <w:tcPr>
            <w:tcW w:w="630" w:type="dxa"/>
            <w:noWrap/>
            <w:vAlign w:val="center"/>
            <w:hideMark/>
          </w:tcPr>
          <w:p w14:paraId="64ECC517"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2.0</w:t>
            </w:r>
          </w:p>
        </w:tc>
        <w:tc>
          <w:tcPr>
            <w:tcW w:w="630" w:type="dxa"/>
            <w:noWrap/>
            <w:vAlign w:val="center"/>
            <w:hideMark/>
          </w:tcPr>
          <w:p w14:paraId="6A51E908"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1.9</w:t>
            </w:r>
          </w:p>
        </w:tc>
        <w:tc>
          <w:tcPr>
            <w:tcW w:w="630" w:type="dxa"/>
            <w:noWrap/>
            <w:vAlign w:val="center"/>
            <w:hideMark/>
          </w:tcPr>
          <w:p w14:paraId="6365C467"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1.9</w:t>
            </w:r>
          </w:p>
        </w:tc>
        <w:tc>
          <w:tcPr>
            <w:tcW w:w="630" w:type="dxa"/>
            <w:noWrap/>
            <w:vAlign w:val="center"/>
            <w:hideMark/>
          </w:tcPr>
          <w:p w14:paraId="522C7DDB"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1.6</w:t>
            </w:r>
          </w:p>
        </w:tc>
        <w:tc>
          <w:tcPr>
            <w:tcW w:w="630" w:type="dxa"/>
            <w:noWrap/>
            <w:vAlign w:val="center"/>
            <w:hideMark/>
          </w:tcPr>
          <w:p w14:paraId="0FE51D9E"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1.6</w:t>
            </w:r>
          </w:p>
        </w:tc>
        <w:tc>
          <w:tcPr>
            <w:tcW w:w="630" w:type="dxa"/>
            <w:noWrap/>
            <w:vAlign w:val="center"/>
            <w:hideMark/>
          </w:tcPr>
          <w:p w14:paraId="63ADEED1"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1.6</w:t>
            </w:r>
          </w:p>
        </w:tc>
        <w:tc>
          <w:tcPr>
            <w:tcW w:w="630" w:type="dxa"/>
            <w:noWrap/>
            <w:vAlign w:val="center"/>
            <w:hideMark/>
          </w:tcPr>
          <w:p w14:paraId="22AFBF83"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1.6</w:t>
            </w:r>
          </w:p>
        </w:tc>
        <w:tc>
          <w:tcPr>
            <w:tcW w:w="630" w:type="dxa"/>
            <w:noWrap/>
            <w:vAlign w:val="center"/>
            <w:hideMark/>
          </w:tcPr>
          <w:p w14:paraId="4B52DA88" w14:textId="77777777" w:rsidR="00934806" w:rsidRPr="007D1373" w:rsidRDefault="00934806" w:rsidP="00716EB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Cs w:val="20"/>
              </w:rPr>
            </w:pPr>
            <w:r w:rsidRPr="007D1373">
              <w:rPr>
                <w:rFonts w:eastAsia="Times New Roman" w:cstheme="minorHAnsi"/>
                <w:szCs w:val="20"/>
              </w:rPr>
              <w:t>1.8</w:t>
            </w:r>
          </w:p>
        </w:tc>
      </w:tr>
      <w:tr w:rsidR="00934806" w:rsidRPr="007D1373" w14:paraId="5ADEA752" w14:textId="77777777" w:rsidTr="00F424FB">
        <w:trPr>
          <w:trHeight w:val="300"/>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14:paraId="5BE0E4ED" w14:textId="77777777" w:rsidR="00934806" w:rsidRPr="00F424FB" w:rsidRDefault="00934806" w:rsidP="00716EBA">
            <w:pPr>
              <w:jc w:val="left"/>
              <w:rPr>
                <w:rFonts w:eastAsia="Times New Roman" w:cstheme="minorHAnsi"/>
                <w:b w:val="0"/>
                <w:bCs w:val="0"/>
                <w:szCs w:val="20"/>
              </w:rPr>
            </w:pPr>
            <w:r w:rsidRPr="00F424FB">
              <w:rPr>
                <w:rFonts w:eastAsia="Times New Roman" w:cstheme="minorHAnsi"/>
                <w:b w:val="0"/>
                <w:bCs w:val="0"/>
                <w:szCs w:val="20"/>
              </w:rPr>
              <w:t>Romania</w:t>
            </w:r>
          </w:p>
        </w:tc>
        <w:tc>
          <w:tcPr>
            <w:tcW w:w="1190" w:type="dxa"/>
            <w:vMerge/>
            <w:vAlign w:val="center"/>
            <w:hideMark/>
          </w:tcPr>
          <w:p w14:paraId="5DBB3934" w14:textId="77777777" w:rsidR="00934806" w:rsidRPr="007D1373" w:rsidRDefault="00934806" w:rsidP="00716EBA">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p>
        </w:tc>
        <w:tc>
          <w:tcPr>
            <w:tcW w:w="670" w:type="dxa"/>
            <w:noWrap/>
            <w:vAlign w:val="center"/>
            <w:hideMark/>
          </w:tcPr>
          <w:p w14:paraId="728E6950"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1.7</w:t>
            </w:r>
          </w:p>
        </w:tc>
        <w:tc>
          <w:tcPr>
            <w:tcW w:w="630" w:type="dxa"/>
            <w:noWrap/>
            <w:vAlign w:val="center"/>
            <w:hideMark/>
          </w:tcPr>
          <w:p w14:paraId="5C6B11B4"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1.8</w:t>
            </w:r>
          </w:p>
        </w:tc>
        <w:tc>
          <w:tcPr>
            <w:tcW w:w="630" w:type="dxa"/>
            <w:noWrap/>
            <w:vAlign w:val="center"/>
            <w:hideMark/>
          </w:tcPr>
          <w:p w14:paraId="1293191C"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2.0</w:t>
            </w:r>
          </w:p>
        </w:tc>
        <w:tc>
          <w:tcPr>
            <w:tcW w:w="630" w:type="dxa"/>
            <w:noWrap/>
            <w:vAlign w:val="center"/>
            <w:hideMark/>
          </w:tcPr>
          <w:p w14:paraId="3036FE2C"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1.9</w:t>
            </w:r>
          </w:p>
        </w:tc>
        <w:tc>
          <w:tcPr>
            <w:tcW w:w="630" w:type="dxa"/>
            <w:noWrap/>
            <w:vAlign w:val="center"/>
            <w:hideMark/>
          </w:tcPr>
          <w:p w14:paraId="48C19DE6"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1.7</w:t>
            </w:r>
          </w:p>
        </w:tc>
        <w:tc>
          <w:tcPr>
            <w:tcW w:w="630" w:type="dxa"/>
            <w:noWrap/>
            <w:vAlign w:val="center"/>
            <w:hideMark/>
          </w:tcPr>
          <w:p w14:paraId="46D35812"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1.4</w:t>
            </w:r>
          </w:p>
        </w:tc>
        <w:tc>
          <w:tcPr>
            <w:tcW w:w="630" w:type="dxa"/>
            <w:noWrap/>
            <w:vAlign w:val="center"/>
            <w:hideMark/>
          </w:tcPr>
          <w:p w14:paraId="34E68A60"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1.2</w:t>
            </w:r>
          </w:p>
        </w:tc>
        <w:tc>
          <w:tcPr>
            <w:tcW w:w="630" w:type="dxa"/>
            <w:noWrap/>
            <w:vAlign w:val="center"/>
            <w:hideMark/>
          </w:tcPr>
          <w:p w14:paraId="0B574491"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1.3</w:t>
            </w:r>
          </w:p>
        </w:tc>
        <w:tc>
          <w:tcPr>
            <w:tcW w:w="630" w:type="dxa"/>
            <w:noWrap/>
            <w:vAlign w:val="center"/>
            <w:hideMark/>
          </w:tcPr>
          <w:p w14:paraId="2DEE314A"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1.2</w:t>
            </w:r>
          </w:p>
        </w:tc>
        <w:tc>
          <w:tcPr>
            <w:tcW w:w="630" w:type="dxa"/>
            <w:noWrap/>
            <w:vAlign w:val="center"/>
            <w:hideMark/>
          </w:tcPr>
          <w:p w14:paraId="25E5A9B8"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1.3</w:t>
            </w:r>
          </w:p>
        </w:tc>
        <w:tc>
          <w:tcPr>
            <w:tcW w:w="630" w:type="dxa"/>
            <w:noWrap/>
            <w:vAlign w:val="center"/>
            <w:hideMark/>
          </w:tcPr>
          <w:p w14:paraId="76ACB668" w14:textId="77777777" w:rsidR="00934806" w:rsidRPr="007D1373" w:rsidRDefault="00934806" w:rsidP="00716EB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Cs w:val="20"/>
              </w:rPr>
            </w:pPr>
            <w:r w:rsidRPr="007D1373">
              <w:rPr>
                <w:rFonts w:eastAsia="Times New Roman" w:cstheme="minorHAnsi"/>
                <w:szCs w:val="20"/>
              </w:rPr>
              <w:t>1.4</w:t>
            </w:r>
          </w:p>
        </w:tc>
      </w:tr>
    </w:tbl>
    <w:p w14:paraId="2AC5D23A" w14:textId="77777777" w:rsidR="00934806" w:rsidRPr="002F6715" w:rsidRDefault="00934806" w:rsidP="00934806">
      <w:pPr>
        <w:spacing w:after="0"/>
        <w:rPr>
          <w:i/>
          <w:iCs/>
          <w:sz w:val="16"/>
          <w:szCs w:val="16"/>
        </w:rPr>
      </w:pPr>
      <w:r w:rsidRPr="002F6715">
        <w:rPr>
          <w:i/>
          <w:iCs/>
          <w:sz w:val="16"/>
          <w:szCs w:val="16"/>
        </w:rPr>
        <w:t>Sursa: Eurostat, Percepția stării de sănătate pe sexe, vârste și statut pe piața muncii, [hlth_silc_01]</w:t>
      </w:r>
    </w:p>
    <w:p w14:paraId="71038108" w14:textId="77777777" w:rsidR="00934806" w:rsidRPr="007D1373" w:rsidRDefault="00934806" w:rsidP="00934806">
      <w:pPr>
        <w:spacing w:after="0"/>
      </w:pPr>
    </w:p>
    <w:p w14:paraId="2E7A167B" w14:textId="77777777" w:rsidR="00934806" w:rsidRPr="007D1373" w:rsidRDefault="00934806" w:rsidP="00934806">
      <w:pPr>
        <w:spacing w:after="0"/>
      </w:pPr>
      <w:r w:rsidRPr="007D1373">
        <w:t>Un procent de 21.6% dintre români au o limitare redusă sau severă în desfășurarea activităților uzuale, iar 74.1% nu au nicio limitare. (</w:t>
      </w:r>
      <w:r w:rsidRPr="007D1373">
        <w:fldChar w:fldCharType="begin"/>
      </w:r>
      <w:r w:rsidRPr="007D1373">
        <w:instrText xml:space="preserve"> REF _Ref86889712 \h </w:instrText>
      </w:r>
      <w:r w:rsidRPr="007D1373">
        <w:fldChar w:fldCharType="separate"/>
      </w:r>
      <w:r w:rsidRPr="007D1373">
        <w:t xml:space="preserve">Figura </w:t>
      </w:r>
      <w:r>
        <w:rPr>
          <w:noProof/>
        </w:rPr>
        <w:t>8</w:t>
      </w:r>
      <w:r w:rsidRPr="007D1373">
        <w:fldChar w:fldCharType="end"/>
      </w:r>
      <w:r w:rsidRPr="007D1373">
        <w:t>)</w:t>
      </w:r>
    </w:p>
    <w:p w14:paraId="1CBD3FEE" w14:textId="301477DB" w:rsidR="00934806" w:rsidRPr="007D1373" w:rsidRDefault="0089533D" w:rsidP="0089533D">
      <w:pPr>
        <w:pStyle w:val="Caption"/>
      </w:pPr>
      <w:bookmarkStart w:id="29" w:name="_Toc86993643"/>
      <w:r>
        <w:t xml:space="preserve">Figură </w:t>
      </w:r>
      <w:r>
        <w:fldChar w:fldCharType="begin"/>
      </w:r>
      <w:r>
        <w:instrText xml:space="preserve"> SEQ Figură \* ARABIC </w:instrText>
      </w:r>
      <w:r>
        <w:fldChar w:fldCharType="separate"/>
      </w:r>
      <w:r>
        <w:rPr>
          <w:noProof/>
        </w:rPr>
        <w:t>8</w:t>
      </w:r>
      <w:r>
        <w:fldChar w:fldCharType="end"/>
      </w:r>
      <w:r>
        <w:t xml:space="preserve"> </w:t>
      </w:r>
      <w:r w:rsidRPr="00421827">
        <w:t>Percepția asupra limitărilor pe termen lung în desfășurarea activităților uzuale</w:t>
      </w:r>
      <w:bookmarkEnd w:id="29"/>
    </w:p>
    <w:p w14:paraId="774773B4" w14:textId="16C5BF28" w:rsidR="00934806" w:rsidRPr="007D1373" w:rsidRDefault="00934806" w:rsidP="00934806">
      <w:pPr>
        <w:spacing w:after="0"/>
      </w:pPr>
      <w:r w:rsidRPr="007D1373">
        <w:rPr>
          <w:noProof/>
        </w:rPr>
        <w:drawing>
          <wp:inline distT="0" distB="0" distL="0" distR="0" wp14:anchorId="77DFB65C" wp14:editId="5C63D26B">
            <wp:extent cx="5643563" cy="3467100"/>
            <wp:effectExtent l="0" t="0" r="14605"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AB0C3A1" w14:textId="77777777" w:rsidR="00934806" w:rsidRPr="002F6715" w:rsidRDefault="00934806" w:rsidP="00934806">
      <w:pPr>
        <w:spacing w:after="0"/>
        <w:rPr>
          <w:i/>
          <w:iCs/>
          <w:sz w:val="16"/>
          <w:szCs w:val="16"/>
        </w:rPr>
      </w:pPr>
      <w:r w:rsidRPr="002F6715">
        <w:rPr>
          <w:i/>
          <w:iCs/>
          <w:sz w:val="16"/>
          <w:szCs w:val="16"/>
        </w:rPr>
        <w:t>Sursa: Eurostat, Percepția asupra limitărilor pe termen lung în desfășurarea activităților uzuale [hlth_silc_20]</w:t>
      </w:r>
    </w:p>
    <w:p w14:paraId="0A4DA74C" w14:textId="77777777" w:rsidR="00934806" w:rsidRPr="007D1373" w:rsidRDefault="00934806" w:rsidP="00934806">
      <w:pPr>
        <w:rPr>
          <w:lang w:eastAsia="ro-RO"/>
        </w:rPr>
      </w:pPr>
    </w:p>
    <w:p w14:paraId="6017BDBD" w14:textId="1A72609E" w:rsidR="00934806" w:rsidRPr="0037602D" w:rsidRDefault="0037602D" w:rsidP="00934806">
      <w:pPr>
        <w:pStyle w:val="Heading1"/>
        <w:rPr>
          <w:rFonts w:eastAsia="Times New Roman"/>
          <w:lang w:eastAsia="ro-RO"/>
        </w:rPr>
      </w:pPr>
      <w:bookmarkStart w:id="30" w:name="_Toc86993592"/>
      <w:r w:rsidRPr="0037602D">
        <w:rPr>
          <w:rFonts w:eastAsia="Times New Roman"/>
          <w:lang w:eastAsia="ro-RO"/>
        </w:rPr>
        <w:t>CADRUL LEGISLATIV</w:t>
      </w:r>
      <w:bookmarkEnd w:id="30"/>
    </w:p>
    <w:p w14:paraId="09D6DF2B" w14:textId="77777777" w:rsidR="00934806" w:rsidRDefault="00934806" w:rsidP="00934806">
      <w:pPr>
        <w:rPr>
          <w:rFonts w:cs="Arial"/>
          <w:szCs w:val="20"/>
        </w:rPr>
      </w:pPr>
      <w:r>
        <w:rPr>
          <w:rFonts w:cs="Arial"/>
          <w:szCs w:val="20"/>
        </w:rPr>
        <w:t xml:space="preserve">Standardele minime de cost revizuite pentru serviciile sociale au fost adoptate în mai 2020 ceea ce a presupus finanțarea serviciilor pe cele deja existente în perioada 2014 – mai 2020. După implementarea legii salarizării unitare în 2017 (Legea-cadru nr. 153/2017 privind salarizarea personalului plătit din fonduri publice) respectarea standardelor minime de cost nu a mai putut fi respectată în cazul serviciilor sociale oferite de către instituțiile publice (FONPC, 2019) fapt ce a dus la dificultăți în asigurarea finanțării corespunzătoare a serviciilor oferite. </w:t>
      </w:r>
    </w:p>
    <w:p w14:paraId="133C307E" w14:textId="77777777" w:rsidR="00934806" w:rsidRDefault="00934806" w:rsidP="00934806">
      <w:pPr>
        <w:rPr>
          <w:rFonts w:cs="Arial"/>
          <w:szCs w:val="20"/>
        </w:rPr>
      </w:pPr>
      <w:r>
        <w:rPr>
          <w:rFonts w:cs="Arial"/>
          <w:szCs w:val="20"/>
        </w:rPr>
        <w:t xml:space="preserve">Standardele minime de cost erau avute în vedere la stabilirea finanțării pentru serviciile sociale furnizate de către instituțiile publice, dar și în cazul celor finanțate de către furnizorii privați. În cazul serviciilor sociale oferite de către instituțiile publice aceste standarde de cost erau crescute prin hotărâri de consilii locale/ consilii județene. Standardele minime de cost nu erau respectate de către  autoritățile locale în finanțarea serviciilor contractate de la furnizorii privați, costul oferit acestora fiind cu mult sub aceste standarde minime. Finanțarea acestora era realizată </w:t>
      </w:r>
      <w:r>
        <w:rPr>
          <w:rFonts w:cs="Arial"/>
          <w:szCs w:val="20"/>
        </w:rPr>
        <w:lastRenderedPageBreak/>
        <w:t xml:space="preserve">în funcție de bugetele disponibile și de cele mai multe ori sub nivelul standardului minim de cost. (FONPC, 2019; SOS, 2018) </w:t>
      </w:r>
    </w:p>
    <w:p w14:paraId="001FD143" w14:textId="313586B9" w:rsidR="00934806" w:rsidRPr="001A4852" w:rsidRDefault="001A4852" w:rsidP="00934806">
      <w:pPr>
        <w:pStyle w:val="Heading1"/>
        <w:rPr>
          <w:rFonts w:eastAsia="Times New Roman"/>
          <w:lang w:eastAsia="ro-RO"/>
        </w:rPr>
      </w:pPr>
      <w:bookmarkStart w:id="31" w:name="_Toc86993593"/>
      <w:r w:rsidRPr="001A4852">
        <w:rPr>
          <w:rFonts w:eastAsia="Times New Roman"/>
          <w:lang w:eastAsia="ro-RO"/>
        </w:rPr>
        <w:t>BIBLIOGRAFIE</w:t>
      </w:r>
      <w:bookmarkEnd w:id="31"/>
    </w:p>
    <w:p w14:paraId="10658AC0" w14:textId="77777777" w:rsidR="001A4852" w:rsidRDefault="00934806" w:rsidP="001A4852">
      <w:r w:rsidRPr="007D1373">
        <w:t xml:space="preserve">Dan, A.N., Dan, M., (2005). Persoanele fără adăpost din </w:t>
      </w:r>
      <w:r w:rsidRPr="001A4852">
        <w:t>România – o estimare a numărului acestora, Calitatea Vieții, 16 (1–2);</w:t>
      </w:r>
    </w:p>
    <w:p w14:paraId="56915370" w14:textId="046777A4" w:rsidR="00934806" w:rsidRPr="001A4852" w:rsidRDefault="00934806" w:rsidP="001A4852">
      <w:pPr>
        <w:rPr>
          <w:rFonts w:cstheme="minorHAnsi"/>
          <w:szCs w:val="20"/>
        </w:rPr>
      </w:pPr>
      <w:r w:rsidRPr="001A4852">
        <w:rPr>
          <w:rFonts w:cstheme="minorHAnsi"/>
        </w:rPr>
        <w:t>FONPC. (2019). Efectul măsurilor fiscale și economice asupra furnizării și contractării de servicii sociale. Autor: Claudia Petrescu.</w:t>
      </w:r>
    </w:p>
    <w:p w14:paraId="09803B29" w14:textId="77777777" w:rsidR="00934806" w:rsidRPr="001A4852" w:rsidRDefault="00934806" w:rsidP="001A4852">
      <w:pPr>
        <w:pStyle w:val="FootnoteText"/>
        <w:rPr>
          <w:rFonts w:cstheme="minorHAnsi"/>
        </w:rPr>
      </w:pPr>
      <w:r w:rsidRPr="001A4852">
        <w:rPr>
          <w:rFonts w:cstheme="minorHAnsi"/>
        </w:rPr>
        <w:t xml:space="preserve">SOS Satele Copiilor România. (2018). </w:t>
      </w:r>
      <w:r w:rsidRPr="001A4852">
        <w:rPr>
          <w:rFonts w:cstheme="minorHAnsi"/>
          <w:i/>
          <w:iCs/>
        </w:rPr>
        <w:t xml:space="preserve">Amprenta socială şi economică a Asociației Sos Satele Copiilor România. </w:t>
      </w:r>
      <w:r w:rsidRPr="001A4852">
        <w:rPr>
          <w:rFonts w:cstheme="minorHAnsi"/>
        </w:rPr>
        <w:t>SOS Satele Copiilor România, Autori: Petrescu, C. (coord.), Ilie, S., Neguț, A., Mihalache, F., Stănilă, G., disponibil la</w:t>
      </w:r>
    </w:p>
    <w:p w14:paraId="176A40DB" w14:textId="77777777" w:rsidR="00934806" w:rsidRPr="001A4852" w:rsidRDefault="00934806" w:rsidP="001A4852">
      <w:pPr>
        <w:rPr>
          <w:rFonts w:cstheme="minorHAnsi"/>
          <w:lang w:eastAsia="ro-RO"/>
        </w:rPr>
      </w:pPr>
      <w:r w:rsidRPr="001A4852">
        <w:rPr>
          <w:rFonts w:cstheme="minorHAnsi"/>
        </w:rPr>
        <w:t>https://www.sos-satelecopiilor.ro/wp-content/uploads/2018/11SOS-Satele-Copiilor_Raport_A4_08-11-208.pdf</w:t>
      </w:r>
    </w:p>
    <w:bookmarkEnd w:id="0"/>
    <w:sectPr w:rsidR="00934806" w:rsidRPr="001A4852" w:rsidSect="006108E4">
      <w:headerReference w:type="default" r:id="rId20"/>
      <w:footerReference w:type="even" r:id="rId21"/>
      <w:footerReference w:type="default" r:id="rId22"/>
      <w:headerReference w:type="first" r:id="rId23"/>
      <w:footerReference w:type="first" r:id="rId24"/>
      <w:pgSz w:w="11909" w:h="16834" w:code="9"/>
      <w:pgMar w:top="1440" w:right="1077" w:bottom="1440" w:left="144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0340C" w14:textId="77777777" w:rsidR="00005F76" w:rsidRDefault="00005F76" w:rsidP="00E940B2">
      <w:pPr>
        <w:spacing w:after="0" w:line="240" w:lineRule="auto"/>
      </w:pPr>
      <w:r>
        <w:separator/>
      </w:r>
    </w:p>
  </w:endnote>
  <w:endnote w:type="continuationSeparator" w:id="0">
    <w:p w14:paraId="6F31D875" w14:textId="77777777" w:rsidR="00005F76" w:rsidRDefault="00005F76" w:rsidP="00E940B2">
      <w:pPr>
        <w:spacing w:after="0" w:line="240" w:lineRule="auto"/>
      </w:pPr>
      <w:r>
        <w:continuationSeparator/>
      </w:r>
    </w:p>
  </w:endnote>
  <w:endnote w:type="continuationNotice" w:id="1">
    <w:p w14:paraId="3B752644" w14:textId="77777777" w:rsidR="00005F76" w:rsidRDefault="00005F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YInterstate Light">
    <w:altName w:val="Calibri"/>
    <w:charset w:val="00"/>
    <w:family w:val="auto"/>
    <w:pitch w:val="variable"/>
    <w:sig w:usb0="A00002AF" w:usb1="5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6364044"/>
      <w:docPartObj>
        <w:docPartGallery w:val="Page Numbers (Bottom of Page)"/>
        <w:docPartUnique/>
      </w:docPartObj>
    </w:sdtPr>
    <w:sdtEndPr>
      <w:rPr>
        <w:rStyle w:val="PageNumber"/>
      </w:rPr>
    </w:sdtEndPr>
    <w:sdtContent>
      <w:p w14:paraId="03EBD173" w14:textId="023AE2EB" w:rsidR="00FF74C0" w:rsidRDefault="00FF74C0" w:rsidP="00DC4F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128295" w14:textId="77777777" w:rsidR="00FF74C0" w:rsidRDefault="00FF74C0" w:rsidP="00DC4F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1730807"/>
      <w:docPartObj>
        <w:docPartGallery w:val="Page Numbers (Bottom of Page)"/>
        <w:docPartUnique/>
      </w:docPartObj>
    </w:sdtPr>
    <w:sdtEndPr>
      <w:rPr>
        <w:rStyle w:val="PageNumber"/>
      </w:rPr>
    </w:sdtEndPr>
    <w:sdtContent>
      <w:p w14:paraId="723123DD" w14:textId="1A4C4ACC" w:rsidR="00FF74C0" w:rsidRDefault="00FF74C0" w:rsidP="00DC4F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sdtContent>
  </w:sdt>
  <w:sdt>
    <w:sdtPr>
      <w:rPr>
        <w:i/>
      </w:rPr>
      <w:id w:val="1090745718"/>
      <w:docPartObj>
        <w:docPartGallery w:val="Page Numbers (Bottom of Page)"/>
        <w:docPartUnique/>
      </w:docPartObj>
    </w:sdtPr>
    <w:sdtEndPr>
      <w:rPr>
        <w:rFonts w:cstheme="minorHAnsi"/>
        <w:i w:val="0"/>
      </w:rPr>
    </w:sdtEndPr>
    <w:sdtContent>
      <w:p w14:paraId="29D00723" w14:textId="4562BAFF" w:rsidR="00FF74C0" w:rsidRPr="00AF1709" w:rsidRDefault="00FF74C0" w:rsidP="00DC4F34">
        <w:pPr>
          <w:pBdr>
            <w:top w:val="single" w:sz="4" w:space="1" w:color="auto"/>
          </w:pBdr>
          <w:ind w:right="360"/>
          <w:rPr>
            <w:rFonts w:cstheme="minorHAnsi"/>
            <w:b/>
            <w:i/>
            <w:color w:val="8F8F8F" w:themeColor="accent5" w:themeShade="BF"/>
            <w:sz w:val="16"/>
            <w:szCs w:val="16"/>
          </w:rPr>
        </w:pPr>
        <w:r w:rsidRPr="00AF1709">
          <w:rPr>
            <w:rStyle w:val="Strong"/>
            <w:rFonts w:cs="Calibri"/>
            <w:b w:val="0"/>
            <w:i/>
            <w:color w:val="3CA1BC"/>
            <w:sz w:val="16"/>
          </w:rPr>
          <w:t>„Implementarea Planului de Evaluare a Programului Operațional Capital Uman 2014-2020 - Evaluarea intervențiilor POSDRU în domeniul incluziunii sociale”, Contract nr. 36273 / 05.05.2020</w:t>
        </w:r>
        <w:r w:rsidRPr="00AF1709">
          <w:rPr>
            <w:rStyle w:val="Strong"/>
            <w:rFonts w:cstheme="minorHAnsi"/>
            <w:b w:val="0"/>
            <w:i/>
            <w:color w:val="134753" w:themeColor="accent1"/>
            <w:sz w:val="16"/>
            <w:szCs w:val="16"/>
          </w:rPr>
          <w:tab/>
        </w:r>
        <w:r w:rsidRPr="00AF1709">
          <w:rPr>
            <w:rStyle w:val="Strong"/>
            <w:rFonts w:asciiTheme="majorHAnsi" w:hAnsiTheme="majorHAnsi" w:cstheme="majorHAnsi"/>
            <w:i/>
            <w:color w:val="8F8F8F" w:themeColor="accent5" w:themeShade="BF"/>
            <w:sz w:val="16"/>
            <w:szCs w:val="16"/>
          </w:rPr>
          <w:tab/>
        </w:r>
        <w:r w:rsidRPr="00AF1709">
          <w:rPr>
            <w:rStyle w:val="Strong"/>
            <w:rFonts w:asciiTheme="majorHAnsi" w:hAnsiTheme="majorHAnsi" w:cstheme="majorHAnsi"/>
            <w:i/>
            <w:color w:val="8F8F8F" w:themeColor="accent5" w:themeShade="BF"/>
            <w:sz w:val="16"/>
            <w:szCs w:val="16"/>
          </w:rPr>
          <w:tab/>
        </w:r>
        <w:r w:rsidRPr="00AF1709">
          <w:rPr>
            <w:rStyle w:val="Strong"/>
            <w:rFonts w:asciiTheme="majorHAnsi" w:hAnsiTheme="majorHAnsi" w:cstheme="majorHAnsi"/>
            <w:i/>
            <w:color w:val="8F8F8F" w:themeColor="accent5" w:themeShade="BF"/>
            <w:sz w:val="16"/>
            <w:szCs w:val="16"/>
          </w:rPr>
          <w:tab/>
        </w:r>
        <w:r w:rsidRPr="00AF1709">
          <w:rPr>
            <w:rStyle w:val="Strong"/>
            <w:rFonts w:asciiTheme="majorHAnsi" w:hAnsiTheme="majorHAnsi" w:cstheme="majorHAnsi"/>
            <w:i/>
            <w:color w:val="8F8F8F" w:themeColor="accent5" w:themeShade="BF"/>
            <w:sz w:val="16"/>
            <w:szCs w:val="16"/>
          </w:rPr>
          <w:tab/>
        </w:r>
        <w:r w:rsidRPr="00AF1709">
          <w:rPr>
            <w:rStyle w:val="Strong"/>
            <w:rFonts w:asciiTheme="majorHAnsi" w:hAnsiTheme="majorHAnsi" w:cstheme="majorHAnsi"/>
            <w:i/>
            <w:color w:val="8F8F8F" w:themeColor="accent5" w:themeShade="BF"/>
            <w:sz w:val="16"/>
            <w:szCs w:val="16"/>
          </w:rPr>
          <w:tab/>
        </w:r>
        <w:r w:rsidRPr="00AF1709">
          <w:rPr>
            <w:rStyle w:val="Strong"/>
            <w:rFonts w:asciiTheme="majorHAnsi" w:hAnsiTheme="majorHAnsi" w:cstheme="majorHAnsi"/>
            <w:i/>
            <w:color w:val="8F8F8F" w:themeColor="accent5" w:themeShade="BF"/>
            <w:sz w:val="16"/>
            <w:szCs w:val="16"/>
          </w:rPr>
          <w:tab/>
        </w:r>
        <w:r w:rsidRPr="00AF1709">
          <w:rPr>
            <w:rStyle w:val="Strong"/>
            <w:rFonts w:asciiTheme="majorHAnsi" w:hAnsiTheme="majorHAnsi" w:cstheme="majorHAnsi"/>
            <w:i/>
            <w:color w:val="8F8F8F" w:themeColor="accent5" w:themeShade="BF"/>
            <w:sz w:val="16"/>
            <w:szCs w:val="16"/>
          </w:rPr>
          <w:tab/>
        </w:r>
        <w:r w:rsidRPr="00AF1709">
          <w:rPr>
            <w:rStyle w:val="Strong"/>
            <w:rFonts w:asciiTheme="majorHAnsi" w:hAnsiTheme="majorHAnsi" w:cstheme="majorHAnsi"/>
            <w:i/>
            <w:color w:val="8F8F8F" w:themeColor="accent5" w:themeShade="BF"/>
            <w:sz w:val="16"/>
            <w:szCs w:val="16"/>
          </w:rPr>
          <w:tab/>
        </w:r>
        <w:r w:rsidRPr="00AF1709">
          <w:rPr>
            <w:rStyle w:val="Strong"/>
            <w:rFonts w:asciiTheme="majorHAnsi" w:hAnsiTheme="majorHAnsi" w:cstheme="majorHAnsi"/>
            <w:i/>
            <w:color w:val="8F8F8F" w:themeColor="accent5" w:themeShade="BF"/>
            <w:sz w:val="16"/>
            <w:szCs w:val="16"/>
          </w:rPr>
          <w:tab/>
        </w:r>
        <w:r w:rsidRPr="00AF1709">
          <w:rPr>
            <w:rStyle w:val="Strong"/>
            <w:rFonts w:asciiTheme="majorHAnsi" w:hAnsiTheme="majorHAnsi" w:cstheme="majorHAnsi"/>
            <w:i/>
            <w:color w:val="8F8F8F" w:themeColor="accent5" w:themeShade="BF"/>
            <w:sz w:val="16"/>
            <w:szCs w:val="16"/>
          </w:rPr>
          <w:tab/>
        </w:r>
        <w:r w:rsidRPr="00AF1709">
          <w:rPr>
            <w:rStyle w:val="Strong"/>
            <w:rFonts w:asciiTheme="majorHAnsi" w:hAnsiTheme="majorHAnsi" w:cstheme="majorHAnsi"/>
            <w:i/>
            <w:color w:val="8F8F8F" w:themeColor="accent5" w:themeShade="BF"/>
            <w:sz w:val="16"/>
            <w:szCs w:val="16"/>
          </w:rPr>
          <w:tab/>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0630533"/>
      <w:docPartObj>
        <w:docPartGallery w:val="Page Numbers (Bottom of Page)"/>
        <w:docPartUnique/>
      </w:docPartObj>
    </w:sdtPr>
    <w:sdtEndPr>
      <w:rPr>
        <w:rStyle w:val="PageNumber"/>
      </w:rPr>
    </w:sdtEndPr>
    <w:sdtContent>
      <w:p w14:paraId="7A0A638F" w14:textId="4194CF2A" w:rsidR="00FF74C0" w:rsidRDefault="00FF74C0" w:rsidP="00DC4F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6C0468" w14:textId="77777777" w:rsidR="00FF74C0" w:rsidRDefault="00FF74C0" w:rsidP="00DC4F34">
    <w:pPr>
      <w:ind w:right="360"/>
    </w:pPr>
  </w:p>
  <w:p w14:paraId="16EADD55" w14:textId="50348662" w:rsidR="00FF74C0" w:rsidRPr="00087221" w:rsidRDefault="00FF74C0" w:rsidP="003A7639">
    <w:pPr>
      <w:pBdr>
        <w:top w:val="single" w:sz="4" w:space="1" w:color="auto"/>
      </w:pBdr>
      <w:rPr>
        <w:rFonts w:asciiTheme="majorHAnsi" w:hAnsiTheme="majorHAnsi" w:cstheme="majorHAnsi"/>
        <w:b/>
        <w:color w:val="8F8F8F" w:themeColor="accent5" w:themeShade="BF"/>
        <w:sz w:val="16"/>
        <w:szCs w:val="16"/>
      </w:rPr>
    </w:pPr>
    <w:r w:rsidRPr="00087221">
      <w:rPr>
        <w:rStyle w:val="Strong"/>
        <w:rFonts w:cs="Calibri"/>
        <w:b w:val="0"/>
        <w:color w:val="3CA1BC"/>
        <w:sz w:val="16"/>
      </w:rPr>
      <w:t xml:space="preserve">„Implementarea Planului de Evaluare a Programului Operațional Capital Uman 2014-2020 </w:t>
    </w:r>
    <w:r w:rsidR="00B16274" w:rsidRPr="00B16274">
      <w:rPr>
        <w:rStyle w:val="Strong"/>
        <w:rFonts w:cs="Calibri"/>
        <w:b w:val="0"/>
        <w:color w:val="3CA1BC"/>
        <w:sz w:val="16"/>
      </w:rPr>
      <w:t>- Primul exercițiu de evaluare a Programului Operațional Capital Uman 2014-2020 ”, Contract nr. 36273 / 05.05.2020</w:t>
    </w:r>
    <w:r w:rsidR="00B16274" w:rsidRPr="00B16274">
      <w:rPr>
        <w:rStyle w:val="Strong"/>
        <w:rFonts w:cs="Calibri"/>
        <w:b w:val="0"/>
        <w:color w:val="3CA1BC"/>
        <w:sz w:val="16"/>
      </w:rPr>
      <w:tab/>
    </w:r>
    <w:r w:rsidRPr="00087221">
      <w:rPr>
        <w:rStyle w:val="Strong"/>
        <w:rFonts w:asciiTheme="majorHAnsi" w:hAnsiTheme="majorHAnsi" w:cstheme="majorHAnsi"/>
        <w:i/>
        <w:color w:val="8F8F8F" w:themeColor="accent5" w:themeShade="BF"/>
        <w:sz w:val="16"/>
        <w:szCs w:val="16"/>
      </w:rPr>
      <w:tab/>
      <w:t xml:space="preserve">                                           </w:t>
    </w:r>
    <w:r w:rsidRPr="00087221">
      <w:rPr>
        <w:rStyle w:val="Strong"/>
        <w:rFonts w:asciiTheme="majorHAnsi" w:hAnsiTheme="majorHAnsi" w:cstheme="majorHAnsi"/>
        <w:i/>
        <w:color w:val="8F8F8F" w:themeColor="accent5" w:themeShade="BF"/>
        <w:sz w:val="16"/>
        <w:szCs w:val="16"/>
      </w:rPr>
      <w:tab/>
    </w:r>
    <w:r w:rsidRPr="00087221">
      <w:rPr>
        <w:rStyle w:val="Strong"/>
        <w:rFonts w:asciiTheme="majorHAnsi" w:hAnsiTheme="majorHAnsi" w:cstheme="majorHAnsi"/>
        <w:i/>
        <w:color w:val="8F8F8F" w:themeColor="accent5" w:themeShade="BF"/>
        <w:sz w:val="16"/>
        <w:szCs w:val="16"/>
      </w:rPr>
      <w:tab/>
    </w:r>
    <w:r w:rsidRPr="00087221">
      <w:rPr>
        <w:rStyle w:val="Strong"/>
        <w:rFonts w:asciiTheme="majorHAnsi" w:hAnsiTheme="majorHAnsi" w:cstheme="majorHAnsi"/>
        <w:i/>
        <w:color w:val="8F8F8F" w:themeColor="accent5" w:themeShade="BF"/>
        <w:sz w:val="16"/>
        <w:szCs w:val="16"/>
      </w:rPr>
      <w:tab/>
    </w:r>
    <w:r w:rsidRPr="00087221">
      <w:rPr>
        <w:rStyle w:val="Strong"/>
        <w:rFonts w:asciiTheme="majorHAnsi" w:hAnsiTheme="majorHAnsi" w:cstheme="majorHAnsi"/>
        <w:i/>
        <w:color w:val="8F8F8F" w:themeColor="accent5" w:themeShade="BF"/>
        <w:sz w:val="16"/>
        <w:szCs w:val="16"/>
      </w:rPr>
      <w:tab/>
    </w:r>
    <w:r w:rsidRPr="00087221">
      <w:rPr>
        <w:rStyle w:val="Strong"/>
        <w:rFonts w:asciiTheme="majorHAnsi" w:hAnsiTheme="majorHAnsi" w:cstheme="majorHAnsi"/>
        <w:i/>
        <w:color w:val="8F8F8F" w:themeColor="accent5" w:themeShade="BF"/>
        <w:sz w:val="16"/>
        <w:szCs w:val="16"/>
      </w:rPr>
      <w:tab/>
    </w:r>
    <w:r w:rsidRPr="00087221">
      <w:rPr>
        <w:rStyle w:val="Strong"/>
        <w:rFonts w:asciiTheme="majorHAnsi" w:hAnsiTheme="majorHAnsi" w:cstheme="majorHAnsi"/>
        <w:i/>
        <w:color w:val="8F8F8F" w:themeColor="accent5" w:themeShade="BF"/>
        <w:sz w:val="16"/>
        <w:szCs w:val="16"/>
      </w:rPr>
      <w:tab/>
    </w:r>
    <w:r w:rsidRPr="00087221">
      <w:rPr>
        <w:rStyle w:val="Strong"/>
        <w:rFonts w:asciiTheme="majorHAnsi" w:hAnsiTheme="majorHAnsi" w:cstheme="majorHAnsi"/>
        <w:i/>
        <w:color w:val="8F8F8F" w:themeColor="accent5" w:themeShade="BF"/>
        <w:sz w:val="16"/>
        <w:szCs w:val="16"/>
      </w:rPr>
      <w:tab/>
    </w:r>
    <w:r w:rsidRPr="00087221">
      <w:rPr>
        <w:rStyle w:val="Strong"/>
        <w:rFonts w:asciiTheme="majorHAnsi" w:hAnsiTheme="majorHAnsi" w:cstheme="majorHAnsi"/>
        <w:i/>
        <w:color w:val="8F8F8F" w:themeColor="accent5" w:themeShade="B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AE52" w14:textId="77777777" w:rsidR="00005F76" w:rsidRDefault="00005F76" w:rsidP="00E940B2">
      <w:pPr>
        <w:spacing w:after="0" w:line="240" w:lineRule="auto"/>
      </w:pPr>
      <w:r>
        <w:separator/>
      </w:r>
    </w:p>
  </w:footnote>
  <w:footnote w:type="continuationSeparator" w:id="0">
    <w:p w14:paraId="45FFBE8E" w14:textId="77777777" w:rsidR="00005F76" w:rsidRDefault="00005F76" w:rsidP="00E940B2">
      <w:pPr>
        <w:spacing w:after="0" w:line="240" w:lineRule="auto"/>
      </w:pPr>
      <w:r>
        <w:continuationSeparator/>
      </w:r>
    </w:p>
  </w:footnote>
  <w:footnote w:type="continuationNotice" w:id="1">
    <w:p w14:paraId="0D561F77" w14:textId="77777777" w:rsidR="00005F76" w:rsidRDefault="00005F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5B8D" w14:textId="00E52F3E" w:rsidR="00FF74C0" w:rsidRPr="007629BA" w:rsidRDefault="00FF74C0" w:rsidP="007629BA">
    <w:pPr>
      <w:pStyle w:val="Header"/>
    </w:pPr>
    <w:r>
      <w:rPr>
        <w:noProof/>
      </w:rPr>
      <w:drawing>
        <wp:anchor distT="0" distB="0" distL="114300" distR="114300" simplePos="0" relativeHeight="251658240" behindDoc="1" locked="0" layoutInCell="1" allowOverlap="1" wp14:anchorId="3D8E0CB4" wp14:editId="5CD9C99F">
          <wp:simplePos x="0" y="0"/>
          <wp:positionH relativeFrom="margin">
            <wp:align>right</wp:align>
          </wp:positionH>
          <wp:positionV relativeFrom="paragraph">
            <wp:posOffset>-15875</wp:posOffset>
          </wp:positionV>
          <wp:extent cx="693420" cy="6934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anchor>
      </w:drawing>
    </w:r>
    <w:r>
      <w:rPr>
        <w:noProof/>
      </w:rPr>
      <w:drawing>
        <wp:anchor distT="0" distB="0" distL="114300" distR="114300" simplePos="0" relativeHeight="251658241" behindDoc="1" locked="0" layoutInCell="1" allowOverlap="1" wp14:anchorId="30F0A641" wp14:editId="2ECD6EDF">
          <wp:simplePos x="0" y="0"/>
          <wp:positionH relativeFrom="margin">
            <wp:align>center</wp:align>
          </wp:positionH>
          <wp:positionV relativeFrom="paragraph">
            <wp:posOffset>6985</wp:posOffset>
          </wp:positionV>
          <wp:extent cx="670560" cy="640080"/>
          <wp:effectExtent l="0" t="0" r="0" b="7620"/>
          <wp:wrapTight wrapText="bothSides">
            <wp:wrapPolygon edited="0">
              <wp:start x="5523" y="0"/>
              <wp:lineTo x="0" y="3857"/>
              <wp:lineTo x="0" y="16714"/>
              <wp:lineTo x="4909" y="20571"/>
              <wp:lineTo x="6750" y="21214"/>
              <wp:lineTo x="13500" y="21214"/>
              <wp:lineTo x="17182" y="20571"/>
              <wp:lineTo x="20864" y="13500"/>
              <wp:lineTo x="20864" y="7071"/>
              <wp:lineTo x="18409" y="2571"/>
              <wp:lineTo x="14727" y="0"/>
              <wp:lineTo x="5523" y="0"/>
            </wp:wrapPolygon>
          </wp:wrapTight>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anchor>
      </w:drawing>
    </w:r>
    <w:bookmarkStart w:id="32" w:name="_Hlk64291475"/>
    <w:r>
      <w:rPr>
        <w:noProof/>
      </w:rPr>
      <w:drawing>
        <wp:inline distT="0" distB="0" distL="0" distR="0" wp14:anchorId="069F3A80" wp14:editId="2593FCE5">
          <wp:extent cx="800100" cy="6705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sidRPr="4051BB58">
      <w:rPr>
        <w:noProof/>
      </w:rPr>
      <w:t xml:space="preserve">                                                                                                                                            </w:t>
    </w:r>
    <w:bookmarkEnd w:id="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C9FF" w14:textId="0C1A8DDC" w:rsidR="00FF74C0" w:rsidRDefault="00FF74C0">
    <w:pPr>
      <w:pStyle w:val="Header"/>
    </w:pPr>
    <w:r w:rsidRPr="00D63EF2">
      <w:rPr>
        <w:noProof/>
      </w:rPr>
      <w:drawing>
        <wp:inline distT="0" distB="0" distL="0" distR="0" wp14:anchorId="56E3041D" wp14:editId="5E21AF24">
          <wp:extent cx="800100" cy="66675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pic:spPr>
              </pic:pic>
            </a:graphicData>
          </a:graphic>
        </wp:inline>
      </w:drawing>
    </w:r>
    <w:r w:rsidRPr="00591FCC">
      <w:rPr>
        <w:rFonts w:eastAsia="Calibri" w:cs="Calibri"/>
        <w:noProof/>
        <w:szCs w:val="20"/>
      </w:rPr>
      <w:ptab w:relativeTo="margin" w:alignment="center" w:leader="none"/>
    </w:r>
    <w:r w:rsidRPr="00D63EF2">
      <w:rPr>
        <w:noProof/>
      </w:rPr>
      <w:drawing>
        <wp:inline distT="0" distB="0" distL="0" distR="0" wp14:anchorId="34849A32" wp14:editId="5E1C39AB">
          <wp:extent cx="666750" cy="638175"/>
          <wp:effectExtent l="0" t="0" r="0"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
                    <a:extLst>
                      <a:ext uri="{28A0092B-C50C-407E-A947-70E740481C1C}">
                        <a14:useLocalDpi xmlns:a14="http://schemas.microsoft.com/office/drawing/2010/main" val="0"/>
                      </a:ext>
                    </a:extLst>
                  </a:blip>
                  <a:srcRect r="76346"/>
                  <a:stretch/>
                </pic:blipFill>
                <pic:spPr bwMode="auto">
                  <a:xfrm>
                    <a:off x="0" y="0"/>
                    <a:ext cx="666750" cy="638175"/>
                  </a:xfrm>
                  <a:prstGeom prst="rect">
                    <a:avLst/>
                  </a:prstGeom>
                  <a:noFill/>
                  <a:ln>
                    <a:noFill/>
                  </a:ln>
                  <a:extLst>
                    <a:ext uri="{53640926-AAD7-44D8-BBD7-CCE9431645EC}">
                      <a14:shadowObscured xmlns:a14="http://schemas.microsoft.com/office/drawing/2010/main"/>
                    </a:ext>
                  </a:extLst>
                </pic:spPr>
              </pic:pic>
            </a:graphicData>
          </a:graphic>
        </wp:inline>
      </w:drawing>
    </w:r>
    <w:r w:rsidRPr="00591FCC">
      <w:rPr>
        <w:rFonts w:eastAsia="Calibri" w:cs="Calibri"/>
        <w:noProof/>
        <w:szCs w:val="20"/>
      </w:rPr>
      <w:ptab w:relativeTo="margin" w:alignment="right" w:leader="none"/>
    </w:r>
    <w:r w:rsidRPr="00D63EF2">
      <w:rPr>
        <w:noProof/>
      </w:rPr>
      <w:drawing>
        <wp:inline distT="0" distB="0" distL="0" distR="0" wp14:anchorId="548B0171" wp14:editId="73C324FD">
          <wp:extent cx="695325" cy="695325"/>
          <wp:effectExtent l="0" t="0" r="9525"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2F57"/>
    <w:multiLevelType w:val="hybridMultilevel"/>
    <w:tmpl w:val="9B8A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05EC"/>
    <w:multiLevelType w:val="multilevel"/>
    <w:tmpl w:val="24CE49AA"/>
    <w:lvl w:ilvl="0">
      <w:start w:val="2"/>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pStyle w:val="Heading3"/>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7F12B37"/>
    <w:multiLevelType w:val="multilevel"/>
    <w:tmpl w:val="EED63C80"/>
    <w:lvl w:ilvl="0">
      <w:start w:val="1"/>
      <w:numFmt w:val="decimal"/>
      <w:pStyle w:val="Heading1"/>
      <w:lvlText w:val="%1."/>
      <w:lvlJc w:val="left"/>
      <w:pPr>
        <w:ind w:left="360" w:hanging="360"/>
      </w:pPr>
      <w:rPr>
        <w:sz w:val="20"/>
        <w:szCs w:val="20"/>
      </w:rPr>
    </w:lvl>
    <w:lvl w:ilvl="1">
      <w:start w:val="1"/>
      <w:numFmt w:val="decimal"/>
      <w:pStyle w:val="Heading2"/>
      <w:isLgl/>
      <w:lvlText w:val="%1.%2."/>
      <w:lvlJc w:val="left"/>
      <w:pPr>
        <w:ind w:left="1288"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DAE5B87"/>
    <w:multiLevelType w:val="hybridMultilevel"/>
    <w:tmpl w:val="1182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02129"/>
    <w:multiLevelType w:val="hybridMultilevel"/>
    <w:tmpl w:val="26FCE496"/>
    <w:lvl w:ilvl="0" w:tplc="AD08B1AA">
      <w:start w:val="1"/>
      <w:numFmt w:val="bullet"/>
      <w:pStyle w:val="EYtabelbullet"/>
      <w:lvlText w:val=""/>
      <w:lvlJc w:val="left"/>
      <w:pPr>
        <w:ind w:left="360" w:hanging="360"/>
      </w:pPr>
      <w:rPr>
        <w:rFonts w:ascii="Wingdings 3" w:hAnsi="Wingdings 3" w:hint="default"/>
        <w:color w:val="FFC000"/>
        <w:sz w:val="16"/>
      </w:rPr>
    </w:lvl>
    <w:lvl w:ilvl="1" w:tplc="D032A9F2">
      <w:start w:val="1"/>
      <w:numFmt w:val="bullet"/>
      <w:pStyle w:val="EYheading2"/>
      <w:lvlText w:val="o"/>
      <w:lvlJc w:val="left"/>
      <w:pPr>
        <w:ind w:left="1080" w:hanging="360"/>
      </w:pPr>
      <w:rPr>
        <w:rFonts w:ascii="Courier New" w:hAnsi="Courier New" w:cs="Courier New" w:hint="default"/>
        <w:color w:val="000000" w:themeColor="text1"/>
      </w:rPr>
    </w:lvl>
    <w:lvl w:ilvl="2" w:tplc="08090005" w:tentative="1">
      <w:start w:val="1"/>
      <w:numFmt w:val="bullet"/>
      <w:pStyle w:val="EYheading3"/>
      <w:lvlText w:val=""/>
      <w:lvlJc w:val="left"/>
      <w:pPr>
        <w:ind w:left="1800" w:hanging="360"/>
      </w:pPr>
      <w:rPr>
        <w:rFonts w:ascii="Wingdings" w:hAnsi="Wingdings" w:hint="default"/>
      </w:rPr>
    </w:lvl>
    <w:lvl w:ilvl="3" w:tplc="08090001" w:tentative="1">
      <w:start w:val="1"/>
      <w:numFmt w:val="bullet"/>
      <w:pStyle w:val="EYheading4"/>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CA2731"/>
    <w:multiLevelType w:val="hybridMultilevel"/>
    <w:tmpl w:val="8E34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56501"/>
    <w:multiLevelType w:val="hybridMultilevel"/>
    <w:tmpl w:val="53F6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62C14"/>
    <w:multiLevelType w:val="hybridMultilevel"/>
    <w:tmpl w:val="690C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E563B"/>
    <w:multiLevelType w:val="hybridMultilevel"/>
    <w:tmpl w:val="C42ECA6C"/>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04455C"/>
    <w:multiLevelType w:val="hybridMultilevel"/>
    <w:tmpl w:val="598E24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63A50F4"/>
    <w:multiLevelType w:val="hybridMultilevel"/>
    <w:tmpl w:val="B662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B283F"/>
    <w:multiLevelType w:val="hybridMultilevel"/>
    <w:tmpl w:val="A440A664"/>
    <w:lvl w:ilvl="0" w:tplc="E354AE6E">
      <w:start w:val="1"/>
      <w:numFmt w:val="decimal"/>
      <w:lvlText w:val="%1."/>
      <w:lvlJc w:val="left"/>
      <w:pPr>
        <w:ind w:left="360" w:hanging="360"/>
      </w:pPr>
      <w:rPr>
        <w:b/>
        <w:i w:val="0"/>
        <w:iCs w:val="0"/>
        <w:color w:val="134753" w:themeColor="accent1"/>
        <w:sz w:val="20"/>
        <w:szCs w:val="20"/>
        <w:u w:val="single"/>
      </w:rPr>
    </w:lvl>
    <w:lvl w:ilvl="1" w:tplc="555ADF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57115"/>
    <w:multiLevelType w:val="hybridMultilevel"/>
    <w:tmpl w:val="01C8BB56"/>
    <w:lvl w:ilvl="0" w:tplc="12246E08">
      <w:start w:val="1"/>
      <w:numFmt w:val="decimal"/>
      <w:pStyle w:val="Heading22"/>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B82DFB"/>
    <w:multiLevelType w:val="hybridMultilevel"/>
    <w:tmpl w:val="79B8031C"/>
    <w:lvl w:ilvl="0" w:tplc="0418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71073D"/>
    <w:multiLevelType w:val="hybridMultilevel"/>
    <w:tmpl w:val="C58E7B1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164D68"/>
    <w:multiLevelType w:val="hybridMultilevel"/>
    <w:tmpl w:val="D80CE188"/>
    <w:lvl w:ilvl="0" w:tplc="DD664CAE">
      <w:start w:val="1"/>
      <w:numFmt w:val="bullet"/>
      <w:lvlText w:val=""/>
      <w:lvlJc w:val="left"/>
      <w:pPr>
        <w:ind w:left="720" w:hanging="360"/>
      </w:pPr>
      <w:rPr>
        <w:rFonts w:ascii="Symbol" w:hAnsi="Symbol" w:hint="default"/>
        <w:color w:val="ABCD3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65696"/>
    <w:multiLevelType w:val="hybridMultilevel"/>
    <w:tmpl w:val="EAF6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1C5ED5"/>
    <w:multiLevelType w:val="hybridMultilevel"/>
    <w:tmpl w:val="A30A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730A5"/>
    <w:multiLevelType w:val="hybridMultilevel"/>
    <w:tmpl w:val="E9E6C054"/>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15"/>
  </w:num>
  <w:num w:numId="5">
    <w:abstractNumId w:val="9"/>
  </w:num>
  <w:num w:numId="6">
    <w:abstractNumId w:val="16"/>
  </w:num>
  <w:num w:numId="7">
    <w:abstractNumId w:val="5"/>
  </w:num>
  <w:num w:numId="8">
    <w:abstractNumId w:val="0"/>
  </w:num>
  <w:num w:numId="9">
    <w:abstractNumId w:val="18"/>
  </w:num>
  <w:num w:numId="10">
    <w:abstractNumId w:val="8"/>
  </w:num>
  <w:num w:numId="11">
    <w:abstractNumId w:val="3"/>
  </w:num>
  <w:num w:numId="12">
    <w:abstractNumId w:val="7"/>
  </w:num>
  <w:num w:numId="13">
    <w:abstractNumId w:val="17"/>
  </w:num>
  <w:num w:numId="14">
    <w:abstractNumId w:val="10"/>
  </w:num>
  <w:num w:numId="15">
    <w:abstractNumId w:val="6"/>
  </w:num>
  <w:num w:numId="16">
    <w:abstractNumId w:val="11"/>
  </w:num>
  <w:num w:numId="17">
    <w:abstractNumId w:val="14"/>
  </w:num>
  <w:num w:numId="18">
    <w:abstractNumId w:val="13"/>
  </w:num>
  <w:num w:numId="19">
    <w:abstractNumId w:val="1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NDQzNTMxNDU3NDFQ0lEKTi0uzszPAykwrgUAFO8DJCwAAAA="/>
  </w:docVars>
  <w:rsids>
    <w:rsidRoot w:val="000352C4"/>
    <w:rsid w:val="00001604"/>
    <w:rsid w:val="000024AA"/>
    <w:rsid w:val="000047E2"/>
    <w:rsid w:val="00005026"/>
    <w:rsid w:val="00005AE7"/>
    <w:rsid w:val="00005F76"/>
    <w:rsid w:val="00011F62"/>
    <w:rsid w:val="00014974"/>
    <w:rsid w:val="00015AC6"/>
    <w:rsid w:val="00016B05"/>
    <w:rsid w:val="000211C4"/>
    <w:rsid w:val="000253CB"/>
    <w:rsid w:val="0002716F"/>
    <w:rsid w:val="000333B5"/>
    <w:rsid w:val="00033587"/>
    <w:rsid w:val="00034ECE"/>
    <w:rsid w:val="000352C4"/>
    <w:rsid w:val="00044C9E"/>
    <w:rsid w:val="00046243"/>
    <w:rsid w:val="000517F6"/>
    <w:rsid w:val="000542F8"/>
    <w:rsid w:val="00057F87"/>
    <w:rsid w:val="00063978"/>
    <w:rsid w:val="00063FA8"/>
    <w:rsid w:val="00066B82"/>
    <w:rsid w:val="00067F7A"/>
    <w:rsid w:val="00070645"/>
    <w:rsid w:val="00070BE4"/>
    <w:rsid w:val="000742C1"/>
    <w:rsid w:val="00076847"/>
    <w:rsid w:val="00080CAA"/>
    <w:rsid w:val="00081520"/>
    <w:rsid w:val="00084B96"/>
    <w:rsid w:val="00087221"/>
    <w:rsid w:val="000876E1"/>
    <w:rsid w:val="00096675"/>
    <w:rsid w:val="00097174"/>
    <w:rsid w:val="000A540E"/>
    <w:rsid w:val="000A624F"/>
    <w:rsid w:val="000A7332"/>
    <w:rsid w:val="000B0CF0"/>
    <w:rsid w:val="000B2088"/>
    <w:rsid w:val="000B271B"/>
    <w:rsid w:val="000B44A3"/>
    <w:rsid w:val="000B65A2"/>
    <w:rsid w:val="000B66ED"/>
    <w:rsid w:val="000B6C42"/>
    <w:rsid w:val="000C3115"/>
    <w:rsid w:val="000C354D"/>
    <w:rsid w:val="000C39D2"/>
    <w:rsid w:val="000C4E5E"/>
    <w:rsid w:val="000C6AD1"/>
    <w:rsid w:val="000E25DA"/>
    <w:rsid w:val="000E25E1"/>
    <w:rsid w:val="000E4E91"/>
    <w:rsid w:val="000E50B7"/>
    <w:rsid w:val="000E541E"/>
    <w:rsid w:val="000E6613"/>
    <w:rsid w:val="000E6F9C"/>
    <w:rsid w:val="000F1DEA"/>
    <w:rsid w:val="000F3ADF"/>
    <w:rsid w:val="000F5548"/>
    <w:rsid w:val="00101929"/>
    <w:rsid w:val="00101F1B"/>
    <w:rsid w:val="00105C59"/>
    <w:rsid w:val="001123F6"/>
    <w:rsid w:val="001131A8"/>
    <w:rsid w:val="00116A1B"/>
    <w:rsid w:val="0012015A"/>
    <w:rsid w:val="0012615D"/>
    <w:rsid w:val="0013074A"/>
    <w:rsid w:val="00131265"/>
    <w:rsid w:val="00132CBF"/>
    <w:rsid w:val="00137FF1"/>
    <w:rsid w:val="0014070E"/>
    <w:rsid w:val="0014142A"/>
    <w:rsid w:val="00142651"/>
    <w:rsid w:val="0014273C"/>
    <w:rsid w:val="00142D4E"/>
    <w:rsid w:val="001437C4"/>
    <w:rsid w:val="00143C17"/>
    <w:rsid w:val="00147B87"/>
    <w:rsid w:val="0015288B"/>
    <w:rsid w:val="00152945"/>
    <w:rsid w:val="0015391C"/>
    <w:rsid w:val="001559F1"/>
    <w:rsid w:val="001562EB"/>
    <w:rsid w:val="00162A23"/>
    <w:rsid w:val="00162C48"/>
    <w:rsid w:val="00164849"/>
    <w:rsid w:val="00164B2E"/>
    <w:rsid w:val="00171190"/>
    <w:rsid w:val="00173A7E"/>
    <w:rsid w:val="0017560A"/>
    <w:rsid w:val="001767D8"/>
    <w:rsid w:val="00176E4E"/>
    <w:rsid w:val="00177002"/>
    <w:rsid w:val="00180DB2"/>
    <w:rsid w:val="00184555"/>
    <w:rsid w:val="00193A7C"/>
    <w:rsid w:val="00197622"/>
    <w:rsid w:val="001A19D1"/>
    <w:rsid w:val="001A2241"/>
    <w:rsid w:val="001A360D"/>
    <w:rsid w:val="001A4852"/>
    <w:rsid w:val="001B02C3"/>
    <w:rsid w:val="001B14D0"/>
    <w:rsid w:val="001B4D34"/>
    <w:rsid w:val="001B6A7A"/>
    <w:rsid w:val="001B7BBE"/>
    <w:rsid w:val="001C0CAB"/>
    <w:rsid w:val="001C2C88"/>
    <w:rsid w:val="001C55D4"/>
    <w:rsid w:val="001C644C"/>
    <w:rsid w:val="001C6E2D"/>
    <w:rsid w:val="001D792E"/>
    <w:rsid w:val="001E0F6E"/>
    <w:rsid w:val="001E197A"/>
    <w:rsid w:val="001F02D1"/>
    <w:rsid w:val="001F081B"/>
    <w:rsid w:val="001F287C"/>
    <w:rsid w:val="001F5229"/>
    <w:rsid w:val="001F6525"/>
    <w:rsid w:val="002048E0"/>
    <w:rsid w:val="00210ACA"/>
    <w:rsid w:val="00211D63"/>
    <w:rsid w:val="0021211D"/>
    <w:rsid w:val="0022797E"/>
    <w:rsid w:val="002358F1"/>
    <w:rsid w:val="002409FE"/>
    <w:rsid w:val="00244E51"/>
    <w:rsid w:val="0024683D"/>
    <w:rsid w:val="00247EDF"/>
    <w:rsid w:val="00254A89"/>
    <w:rsid w:val="00255690"/>
    <w:rsid w:val="002636D7"/>
    <w:rsid w:val="00264C03"/>
    <w:rsid w:val="00264CD8"/>
    <w:rsid w:val="002665D8"/>
    <w:rsid w:val="00266F8D"/>
    <w:rsid w:val="002708B2"/>
    <w:rsid w:val="00272086"/>
    <w:rsid w:val="00274315"/>
    <w:rsid w:val="002764CD"/>
    <w:rsid w:val="00282FAD"/>
    <w:rsid w:val="002830EB"/>
    <w:rsid w:val="002866DA"/>
    <w:rsid w:val="00286856"/>
    <w:rsid w:val="00290100"/>
    <w:rsid w:val="00294986"/>
    <w:rsid w:val="002A08C6"/>
    <w:rsid w:val="002A1D8F"/>
    <w:rsid w:val="002A225D"/>
    <w:rsid w:val="002A2AF8"/>
    <w:rsid w:val="002B0598"/>
    <w:rsid w:val="002B1079"/>
    <w:rsid w:val="002B255B"/>
    <w:rsid w:val="002B4D14"/>
    <w:rsid w:val="002C101A"/>
    <w:rsid w:val="002C16DC"/>
    <w:rsid w:val="002C303A"/>
    <w:rsid w:val="002C515C"/>
    <w:rsid w:val="002C6788"/>
    <w:rsid w:val="002C786A"/>
    <w:rsid w:val="002C7ADD"/>
    <w:rsid w:val="002D1A9D"/>
    <w:rsid w:val="002D5E1D"/>
    <w:rsid w:val="002D6F21"/>
    <w:rsid w:val="002D7405"/>
    <w:rsid w:val="002E0A71"/>
    <w:rsid w:val="002E178E"/>
    <w:rsid w:val="002E2855"/>
    <w:rsid w:val="002E6C53"/>
    <w:rsid w:val="002E7E6C"/>
    <w:rsid w:val="002F32AE"/>
    <w:rsid w:val="002F6715"/>
    <w:rsid w:val="002F75AC"/>
    <w:rsid w:val="002F7E35"/>
    <w:rsid w:val="00301617"/>
    <w:rsid w:val="00302384"/>
    <w:rsid w:val="003029DE"/>
    <w:rsid w:val="0030395D"/>
    <w:rsid w:val="00305206"/>
    <w:rsid w:val="00305841"/>
    <w:rsid w:val="00306452"/>
    <w:rsid w:val="00311F0E"/>
    <w:rsid w:val="00313049"/>
    <w:rsid w:val="00313296"/>
    <w:rsid w:val="00313395"/>
    <w:rsid w:val="00315E35"/>
    <w:rsid w:val="00317C60"/>
    <w:rsid w:val="003206F0"/>
    <w:rsid w:val="00320BD3"/>
    <w:rsid w:val="00321862"/>
    <w:rsid w:val="00321C38"/>
    <w:rsid w:val="003264D8"/>
    <w:rsid w:val="0032669F"/>
    <w:rsid w:val="00327572"/>
    <w:rsid w:val="00327FDA"/>
    <w:rsid w:val="00330528"/>
    <w:rsid w:val="00332EFB"/>
    <w:rsid w:val="00340885"/>
    <w:rsid w:val="003429EC"/>
    <w:rsid w:val="00342B40"/>
    <w:rsid w:val="00351867"/>
    <w:rsid w:val="00355AAC"/>
    <w:rsid w:val="003616B4"/>
    <w:rsid w:val="00365666"/>
    <w:rsid w:val="00366219"/>
    <w:rsid w:val="0036723D"/>
    <w:rsid w:val="00370DA8"/>
    <w:rsid w:val="00371B67"/>
    <w:rsid w:val="003723E4"/>
    <w:rsid w:val="00372E96"/>
    <w:rsid w:val="00374409"/>
    <w:rsid w:val="0037602D"/>
    <w:rsid w:val="00376297"/>
    <w:rsid w:val="003774D1"/>
    <w:rsid w:val="00380C2D"/>
    <w:rsid w:val="00382408"/>
    <w:rsid w:val="00384B7D"/>
    <w:rsid w:val="00385D35"/>
    <w:rsid w:val="003864BB"/>
    <w:rsid w:val="00386C10"/>
    <w:rsid w:val="0038707A"/>
    <w:rsid w:val="0038749D"/>
    <w:rsid w:val="003912A8"/>
    <w:rsid w:val="00391D6A"/>
    <w:rsid w:val="00392258"/>
    <w:rsid w:val="003979BF"/>
    <w:rsid w:val="003A2DED"/>
    <w:rsid w:val="003A361E"/>
    <w:rsid w:val="003A3E1D"/>
    <w:rsid w:val="003A7639"/>
    <w:rsid w:val="003A7FBC"/>
    <w:rsid w:val="003B1772"/>
    <w:rsid w:val="003B2859"/>
    <w:rsid w:val="003B32B8"/>
    <w:rsid w:val="003B3F2B"/>
    <w:rsid w:val="003B4BBC"/>
    <w:rsid w:val="003C1B68"/>
    <w:rsid w:val="003C30C4"/>
    <w:rsid w:val="003D1DA3"/>
    <w:rsid w:val="003D2EDA"/>
    <w:rsid w:val="003D3929"/>
    <w:rsid w:val="003D4E9A"/>
    <w:rsid w:val="003D5CE3"/>
    <w:rsid w:val="003D5E53"/>
    <w:rsid w:val="003D736C"/>
    <w:rsid w:val="003E0C2D"/>
    <w:rsid w:val="003E28E6"/>
    <w:rsid w:val="003E535F"/>
    <w:rsid w:val="003E79CB"/>
    <w:rsid w:val="003F126B"/>
    <w:rsid w:val="003F15CB"/>
    <w:rsid w:val="003F1D6E"/>
    <w:rsid w:val="003F4F61"/>
    <w:rsid w:val="003F7840"/>
    <w:rsid w:val="0040729B"/>
    <w:rsid w:val="004107F0"/>
    <w:rsid w:val="00416012"/>
    <w:rsid w:val="00417709"/>
    <w:rsid w:val="00420384"/>
    <w:rsid w:val="00420A44"/>
    <w:rsid w:val="0042463D"/>
    <w:rsid w:val="00425FB4"/>
    <w:rsid w:val="0042626E"/>
    <w:rsid w:val="004271B4"/>
    <w:rsid w:val="00427AC1"/>
    <w:rsid w:val="00432025"/>
    <w:rsid w:val="00437234"/>
    <w:rsid w:val="004378A8"/>
    <w:rsid w:val="00440988"/>
    <w:rsid w:val="004470C6"/>
    <w:rsid w:val="0045135C"/>
    <w:rsid w:val="00452604"/>
    <w:rsid w:val="0046064E"/>
    <w:rsid w:val="0046189C"/>
    <w:rsid w:val="00463BE3"/>
    <w:rsid w:val="0047351A"/>
    <w:rsid w:val="00473574"/>
    <w:rsid w:val="004743AB"/>
    <w:rsid w:val="004747B2"/>
    <w:rsid w:val="004748DB"/>
    <w:rsid w:val="004841DC"/>
    <w:rsid w:val="00486991"/>
    <w:rsid w:val="0049234C"/>
    <w:rsid w:val="0049345D"/>
    <w:rsid w:val="00494563"/>
    <w:rsid w:val="00494C82"/>
    <w:rsid w:val="00494D13"/>
    <w:rsid w:val="004A1624"/>
    <w:rsid w:val="004A2A3B"/>
    <w:rsid w:val="004B2D4F"/>
    <w:rsid w:val="004B2DF7"/>
    <w:rsid w:val="004C0864"/>
    <w:rsid w:val="004C1DA6"/>
    <w:rsid w:val="004C557F"/>
    <w:rsid w:val="004C6A1C"/>
    <w:rsid w:val="004D1B05"/>
    <w:rsid w:val="004D3719"/>
    <w:rsid w:val="004E0C9E"/>
    <w:rsid w:val="004E7497"/>
    <w:rsid w:val="004F2AFC"/>
    <w:rsid w:val="004F3055"/>
    <w:rsid w:val="005022C7"/>
    <w:rsid w:val="00502437"/>
    <w:rsid w:val="005055DC"/>
    <w:rsid w:val="00510308"/>
    <w:rsid w:val="005113F0"/>
    <w:rsid w:val="005218F6"/>
    <w:rsid w:val="00521D33"/>
    <w:rsid w:val="005273A6"/>
    <w:rsid w:val="00530D36"/>
    <w:rsid w:val="00530F0C"/>
    <w:rsid w:val="00533A74"/>
    <w:rsid w:val="005345C9"/>
    <w:rsid w:val="00534B60"/>
    <w:rsid w:val="00540FC2"/>
    <w:rsid w:val="0054674F"/>
    <w:rsid w:val="00546A7F"/>
    <w:rsid w:val="005539F6"/>
    <w:rsid w:val="00554439"/>
    <w:rsid w:val="00557B95"/>
    <w:rsid w:val="005618C9"/>
    <w:rsid w:val="00564A1B"/>
    <w:rsid w:val="0056568D"/>
    <w:rsid w:val="00566BE2"/>
    <w:rsid w:val="0057064A"/>
    <w:rsid w:val="00571CFD"/>
    <w:rsid w:val="00573765"/>
    <w:rsid w:val="00576A54"/>
    <w:rsid w:val="00576CED"/>
    <w:rsid w:val="005808BB"/>
    <w:rsid w:val="0058148B"/>
    <w:rsid w:val="00582A83"/>
    <w:rsid w:val="00583767"/>
    <w:rsid w:val="005859FF"/>
    <w:rsid w:val="00585B7A"/>
    <w:rsid w:val="005909C3"/>
    <w:rsid w:val="005909F8"/>
    <w:rsid w:val="00591FCC"/>
    <w:rsid w:val="00593D04"/>
    <w:rsid w:val="005950D0"/>
    <w:rsid w:val="00596C3F"/>
    <w:rsid w:val="00597C65"/>
    <w:rsid w:val="005A345A"/>
    <w:rsid w:val="005A3BC4"/>
    <w:rsid w:val="005A58AD"/>
    <w:rsid w:val="005A72E6"/>
    <w:rsid w:val="005B0EFB"/>
    <w:rsid w:val="005B1EEF"/>
    <w:rsid w:val="005B25A4"/>
    <w:rsid w:val="005B3367"/>
    <w:rsid w:val="005B5112"/>
    <w:rsid w:val="005B69A5"/>
    <w:rsid w:val="005B6BCC"/>
    <w:rsid w:val="005B7961"/>
    <w:rsid w:val="005C3067"/>
    <w:rsid w:val="005D0DFD"/>
    <w:rsid w:val="005D44B2"/>
    <w:rsid w:val="005E3362"/>
    <w:rsid w:val="005E56CF"/>
    <w:rsid w:val="005E7D9A"/>
    <w:rsid w:val="005E7ECB"/>
    <w:rsid w:val="005F1D2B"/>
    <w:rsid w:val="005F5476"/>
    <w:rsid w:val="006002B0"/>
    <w:rsid w:val="00602E26"/>
    <w:rsid w:val="00607520"/>
    <w:rsid w:val="006108E4"/>
    <w:rsid w:val="006130A4"/>
    <w:rsid w:val="00614216"/>
    <w:rsid w:val="00614EBF"/>
    <w:rsid w:val="00616B42"/>
    <w:rsid w:val="006200F6"/>
    <w:rsid w:val="00621A95"/>
    <w:rsid w:val="00622C6E"/>
    <w:rsid w:val="00623723"/>
    <w:rsid w:val="006240AF"/>
    <w:rsid w:val="0063111E"/>
    <w:rsid w:val="00631605"/>
    <w:rsid w:val="00634A4A"/>
    <w:rsid w:val="006375EB"/>
    <w:rsid w:val="006377E0"/>
    <w:rsid w:val="00643F8B"/>
    <w:rsid w:val="00645CEC"/>
    <w:rsid w:val="00647A68"/>
    <w:rsid w:val="00647BAE"/>
    <w:rsid w:val="00650E69"/>
    <w:rsid w:val="0065633C"/>
    <w:rsid w:val="00662794"/>
    <w:rsid w:val="006667AA"/>
    <w:rsid w:val="00666A03"/>
    <w:rsid w:val="00672808"/>
    <w:rsid w:val="0067299C"/>
    <w:rsid w:val="00673B77"/>
    <w:rsid w:val="006753DB"/>
    <w:rsid w:val="006760B5"/>
    <w:rsid w:val="00676FB1"/>
    <w:rsid w:val="00677670"/>
    <w:rsid w:val="006800AA"/>
    <w:rsid w:val="00691CD9"/>
    <w:rsid w:val="00692104"/>
    <w:rsid w:val="0069418A"/>
    <w:rsid w:val="006965AE"/>
    <w:rsid w:val="006A6A0A"/>
    <w:rsid w:val="006B057F"/>
    <w:rsid w:val="006B07BF"/>
    <w:rsid w:val="006B14EC"/>
    <w:rsid w:val="006B223A"/>
    <w:rsid w:val="006B4810"/>
    <w:rsid w:val="006B49DD"/>
    <w:rsid w:val="006B515C"/>
    <w:rsid w:val="006B6AAA"/>
    <w:rsid w:val="006B7461"/>
    <w:rsid w:val="006B7EC8"/>
    <w:rsid w:val="006C1B06"/>
    <w:rsid w:val="006C1B6D"/>
    <w:rsid w:val="006C43F5"/>
    <w:rsid w:val="006C45DE"/>
    <w:rsid w:val="006C64D3"/>
    <w:rsid w:val="006E0349"/>
    <w:rsid w:val="006E06EF"/>
    <w:rsid w:val="006E55DA"/>
    <w:rsid w:val="006E649F"/>
    <w:rsid w:val="006F2BF5"/>
    <w:rsid w:val="006F47E1"/>
    <w:rsid w:val="0070025D"/>
    <w:rsid w:val="007013E2"/>
    <w:rsid w:val="007033D1"/>
    <w:rsid w:val="00707853"/>
    <w:rsid w:val="00707A72"/>
    <w:rsid w:val="007100C0"/>
    <w:rsid w:val="00710AFC"/>
    <w:rsid w:val="00711B6E"/>
    <w:rsid w:val="00713632"/>
    <w:rsid w:val="00713A6E"/>
    <w:rsid w:val="00717EA6"/>
    <w:rsid w:val="00720660"/>
    <w:rsid w:val="0072510B"/>
    <w:rsid w:val="00725CA3"/>
    <w:rsid w:val="0072734E"/>
    <w:rsid w:val="00727540"/>
    <w:rsid w:val="00734793"/>
    <w:rsid w:val="00736294"/>
    <w:rsid w:val="00736573"/>
    <w:rsid w:val="00736AAE"/>
    <w:rsid w:val="00740472"/>
    <w:rsid w:val="00741C9F"/>
    <w:rsid w:val="0074490A"/>
    <w:rsid w:val="00744D01"/>
    <w:rsid w:val="0074535A"/>
    <w:rsid w:val="00747069"/>
    <w:rsid w:val="00747869"/>
    <w:rsid w:val="00750344"/>
    <w:rsid w:val="0075065B"/>
    <w:rsid w:val="0075786A"/>
    <w:rsid w:val="007605E2"/>
    <w:rsid w:val="00760C00"/>
    <w:rsid w:val="00761C23"/>
    <w:rsid w:val="007629BA"/>
    <w:rsid w:val="007648D3"/>
    <w:rsid w:val="00767BCA"/>
    <w:rsid w:val="00771A80"/>
    <w:rsid w:val="007760DF"/>
    <w:rsid w:val="00780A9A"/>
    <w:rsid w:val="00781595"/>
    <w:rsid w:val="007818A9"/>
    <w:rsid w:val="00781AFD"/>
    <w:rsid w:val="00781D31"/>
    <w:rsid w:val="00785689"/>
    <w:rsid w:val="00787DDF"/>
    <w:rsid w:val="00793031"/>
    <w:rsid w:val="007939BB"/>
    <w:rsid w:val="00794FD5"/>
    <w:rsid w:val="007A0803"/>
    <w:rsid w:val="007A42AE"/>
    <w:rsid w:val="007A5089"/>
    <w:rsid w:val="007A6EAE"/>
    <w:rsid w:val="007A72CF"/>
    <w:rsid w:val="007A75AF"/>
    <w:rsid w:val="007A7A05"/>
    <w:rsid w:val="007B1E0F"/>
    <w:rsid w:val="007B3D5F"/>
    <w:rsid w:val="007C1379"/>
    <w:rsid w:val="007C4499"/>
    <w:rsid w:val="007C7542"/>
    <w:rsid w:val="007D04B0"/>
    <w:rsid w:val="007D50F2"/>
    <w:rsid w:val="007D5BD8"/>
    <w:rsid w:val="007E3E9E"/>
    <w:rsid w:val="007E754E"/>
    <w:rsid w:val="007F02F7"/>
    <w:rsid w:val="007F1053"/>
    <w:rsid w:val="007F3BA1"/>
    <w:rsid w:val="0080034C"/>
    <w:rsid w:val="00801604"/>
    <w:rsid w:val="00803908"/>
    <w:rsid w:val="00804DEB"/>
    <w:rsid w:val="00805C5D"/>
    <w:rsid w:val="0080628F"/>
    <w:rsid w:val="00814A82"/>
    <w:rsid w:val="00816615"/>
    <w:rsid w:val="00816E79"/>
    <w:rsid w:val="00820D2C"/>
    <w:rsid w:val="00820DD7"/>
    <w:rsid w:val="008236CF"/>
    <w:rsid w:val="008258D2"/>
    <w:rsid w:val="00826543"/>
    <w:rsid w:val="008321C5"/>
    <w:rsid w:val="00835219"/>
    <w:rsid w:val="00843FF9"/>
    <w:rsid w:val="00844BD5"/>
    <w:rsid w:val="008472D5"/>
    <w:rsid w:val="008476C4"/>
    <w:rsid w:val="00851CC7"/>
    <w:rsid w:val="00854050"/>
    <w:rsid w:val="008562B1"/>
    <w:rsid w:val="00857593"/>
    <w:rsid w:val="008631DA"/>
    <w:rsid w:val="00863B8B"/>
    <w:rsid w:val="00864F35"/>
    <w:rsid w:val="00865BC9"/>
    <w:rsid w:val="008662FC"/>
    <w:rsid w:val="0086663A"/>
    <w:rsid w:val="00866D2C"/>
    <w:rsid w:val="00867C22"/>
    <w:rsid w:val="008704BD"/>
    <w:rsid w:val="0087499B"/>
    <w:rsid w:val="00874FB1"/>
    <w:rsid w:val="0087583F"/>
    <w:rsid w:val="00876352"/>
    <w:rsid w:val="00876B01"/>
    <w:rsid w:val="0087739D"/>
    <w:rsid w:val="00885CFE"/>
    <w:rsid w:val="00886275"/>
    <w:rsid w:val="00887796"/>
    <w:rsid w:val="008916A9"/>
    <w:rsid w:val="0089205A"/>
    <w:rsid w:val="008936C4"/>
    <w:rsid w:val="0089418B"/>
    <w:rsid w:val="0089533D"/>
    <w:rsid w:val="008A0F4E"/>
    <w:rsid w:val="008B23C1"/>
    <w:rsid w:val="008C6CCE"/>
    <w:rsid w:val="008C6D9A"/>
    <w:rsid w:val="008D0427"/>
    <w:rsid w:val="008D793F"/>
    <w:rsid w:val="008E12E1"/>
    <w:rsid w:val="008E24E4"/>
    <w:rsid w:val="008E5A4B"/>
    <w:rsid w:val="008F1052"/>
    <w:rsid w:val="008F1A3B"/>
    <w:rsid w:val="008F2268"/>
    <w:rsid w:val="00900CB1"/>
    <w:rsid w:val="009011F3"/>
    <w:rsid w:val="00901620"/>
    <w:rsid w:val="00902E77"/>
    <w:rsid w:val="00904235"/>
    <w:rsid w:val="00905674"/>
    <w:rsid w:val="0090569F"/>
    <w:rsid w:val="0090648E"/>
    <w:rsid w:val="00914588"/>
    <w:rsid w:val="009169BD"/>
    <w:rsid w:val="00932F2F"/>
    <w:rsid w:val="009330E2"/>
    <w:rsid w:val="00933F08"/>
    <w:rsid w:val="00934806"/>
    <w:rsid w:val="009350AD"/>
    <w:rsid w:val="00935921"/>
    <w:rsid w:val="00937939"/>
    <w:rsid w:val="00940EC4"/>
    <w:rsid w:val="009439F5"/>
    <w:rsid w:val="00943BF9"/>
    <w:rsid w:val="00946C8A"/>
    <w:rsid w:val="00950267"/>
    <w:rsid w:val="009506D9"/>
    <w:rsid w:val="00951996"/>
    <w:rsid w:val="009525E9"/>
    <w:rsid w:val="0095297C"/>
    <w:rsid w:val="00953D30"/>
    <w:rsid w:val="00953E56"/>
    <w:rsid w:val="009545A4"/>
    <w:rsid w:val="009615CA"/>
    <w:rsid w:val="009628BF"/>
    <w:rsid w:val="00967176"/>
    <w:rsid w:val="009674CF"/>
    <w:rsid w:val="009703BA"/>
    <w:rsid w:val="00971658"/>
    <w:rsid w:val="009747CB"/>
    <w:rsid w:val="009756EE"/>
    <w:rsid w:val="009775C2"/>
    <w:rsid w:val="00981DE1"/>
    <w:rsid w:val="0098492B"/>
    <w:rsid w:val="00986A44"/>
    <w:rsid w:val="00986B40"/>
    <w:rsid w:val="00990286"/>
    <w:rsid w:val="00991680"/>
    <w:rsid w:val="00994928"/>
    <w:rsid w:val="0099529B"/>
    <w:rsid w:val="009958E1"/>
    <w:rsid w:val="009A1344"/>
    <w:rsid w:val="009A25C5"/>
    <w:rsid w:val="009A44AC"/>
    <w:rsid w:val="009A7A58"/>
    <w:rsid w:val="009B111D"/>
    <w:rsid w:val="009B4667"/>
    <w:rsid w:val="009B6225"/>
    <w:rsid w:val="009C2861"/>
    <w:rsid w:val="009C2B56"/>
    <w:rsid w:val="009C4178"/>
    <w:rsid w:val="009C47B7"/>
    <w:rsid w:val="009C49A0"/>
    <w:rsid w:val="009D045D"/>
    <w:rsid w:val="009D073A"/>
    <w:rsid w:val="009D2353"/>
    <w:rsid w:val="009D322A"/>
    <w:rsid w:val="009D32EB"/>
    <w:rsid w:val="009D4621"/>
    <w:rsid w:val="009D5547"/>
    <w:rsid w:val="009E3864"/>
    <w:rsid w:val="009E5228"/>
    <w:rsid w:val="009E7BE7"/>
    <w:rsid w:val="009F0021"/>
    <w:rsid w:val="009F055B"/>
    <w:rsid w:val="009F754C"/>
    <w:rsid w:val="00A02E71"/>
    <w:rsid w:val="00A07716"/>
    <w:rsid w:val="00A07C2E"/>
    <w:rsid w:val="00A10856"/>
    <w:rsid w:val="00A1503D"/>
    <w:rsid w:val="00A15441"/>
    <w:rsid w:val="00A15834"/>
    <w:rsid w:val="00A2006C"/>
    <w:rsid w:val="00A21CE6"/>
    <w:rsid w:val="00A305B1"/>
    <w:rsid w:val="00A32587"/>
    <w:rsid w:val="00A33182"/>
    <w:rsid w:val="00A3423C"/>
    <w:rsid w:val="00A3426A"/>
    <w:rsid w:val="00A44FB6"/>
    <w:rsid w:val="00A501B9"/>
    <w:rsid w:val="00A52EA6"/>
    <w:rsid w:val="00A54840"/>
    <w:rsid w:val="00A54E8C"/>
    <w:rsid w:val="00A56F4A"/>
    <w:rsid w:val="00A570FD"/>
    <w:rsid w:val="00A57C2F"/>
    <w:rsid w:val="00A63703"/>
    <w:rsid w:val="00A63A7A"/>
    <w:rsid w:val="00A66418"/>
    <w:rsid w:val="00A710E2"/>
    <w:rsid w:val="00A715C4"/>
    <w:rsid w:val="00A83077"/>
    <w:rsid w:val="00A83A14"/>
    <w:rsid w:val="00A86781"/>
    <w:rsid w:val="00A8730D"/>
    <w:rsid w:val="00A92BA0"/>
    <w:rsid w:val="00A94BEE"/>
    <w:rsid w:val="00A9661F"/>
    <w:rsid w:val="00A96F2B"/>
    <w:rsid w:val="00AA194C"/>
    <w:rsid w:val="00AA56BE"/>
    <w:rsid w:val="00AA774E"/>
    <w:rsid w:val="00AA786F"/>
    <w:rsid w:val="00AC0BFF"/>
    <w:rsid w:val="00AC3202"/>
    <w:rsid w:val="00AD0D38"/>
    <w:rsid w:val="00AD38BF"/>
    <w:rsid w:val="00AD6DF9"/>
    <w:rsid w:val="00AD7F33"/>
    <w:rsid w:val="00AE2176"/>
    <w:rsid w:val="00AE2E68"/>
    <w:rsid w:val="00AE37BC"/>
    <w:rsid w:val="00AF0282"/>
    <w:rsid w:val="00AF0575"/>
    <w:rsid w:val="00AF1709"/>
    <w:rsid w:val="00AF4120"/>
    <w:rsid w:val="00AF529B"/>
    <w:rsid w:val="00AF779B"/>
    <w:rsid w:val="00B0032E"/>
    <w:rsid w:val="00B00AF8"/>
    <w:rsid w:val="00B0369B"/>
    <w:rsid w:val="00B11C74"/>
    <w:rsid w:val="00B12A51"/>
    <w:rsid w:val="00B12D5B"/>
    <w:rsid w:val="00B14713"/>
    <w:rsid w:val="00B16274"/>
    <w:rsid w:val="00B17223"/>
    <w:rsid w:val="00B21514"/>
    <w:rsid w:val="00B21B7D"/>
    <w:rsid w:val="00B237DE"/>
    <w:rsid w:val="00B24D2D"/>
    <w:rsid w:val="00B33DCB"/>
    <w:rsid w:val="00B34300"/>
    <w:rsid w:val="00B346D6"/>
    <w:rsid w:val="00B35641"/>
    <w:rsid w:val="00B356F8"/>
    <w:rsid w:val="00B36963"/>
    <w:rsid w:val="00B431AB"/>
    <w:rsid w:val="00B52AE6"/>
    <w:rsid w:val="00B53CEE"/>
    <w:rsid w:val="00B552BC"/>
    <w:rsid w:val="00B55BD0"/>
    <w:rsid w:val="00B56B6E"/>
    <w:rsid w:val="00B56E56"/>
    <w:rsid w:val="00B573A7"/>
    <w:rsid w:val="00B61466"/>
    <w:rsid w:val="00B66981"/>
    <w:rsid w:val="00B722C5"/>
    <w:rsid w:val="00B7390F"/>
    <w:rsid w:val="00B7598A"/>
    <w:rsid w:val="00B805AE"/>
    <w:rsid w:val="00B81204"/>
    <w:rsid w:val="00B81802"/>
    <w:rsid w:val="00B9140B"/>
    <w:rsid w:val="00B920BC"/>
    <w:rsid w:val="00B923F3"/>
    <w:rsid w:val="00B94BD2"/>
    <w:rsid w:val="00BB4C5D"/>
    <w:rsid w:val="00BB662C"/>
    <w:rsid w:val="00BB664F"/>
    <w:rsid w:val="00BB699E"/>
    <w:rsid w:val="00BB7C0E"/>
    <w:rsid w:val="00BC416C"/>
    <w:rsid w:val="00BC50ED"/>
    <w:rsid w:val="00BC50F7"/>
    <w:rsid w:val="00BC691E"/>
    <w:rsid w:val="00BC6EAA"/>
    <w:rsid w:val="00BD3038"/>
    <w:rsid w:val="00BD3F14"/>
    <w:rsid w:val="00BD76A7"/>
    <w:rsid w:val="00BD7B1D"/>
    <w:rsid w:val="00BD7EB0"/>
    <w:rsid w:val="00BE03B9"/>
    <w:rsid w:val="00BE10E5"/>
    <w:rsid w:val="00BE63AA"/>
    <w:rsid w:val="00BF2D09"/>
    <w:rsid w:val="00BF52AE"/>
    <w:rsid w:val="00BF5449"/>
    <w:rsid w:val="00BF75EE"/>
    <w:rsid w:val="00BF7EFB"/>
    <w:rsid w:val="00C003FC"/>
    <w:rsid w:val="00C02A78"/>
    <w:rsid w:val="00C04A54"/>
    <w:rsid w:val="00C057EA"/>
    <w:rsid w:val="00C10E8B"/>
    <w:rsid w:val="00C1129C"/>
    <w:rsid w:val="00C119C7"/>
    <w:rsid w:val="00C12E96"/>
    <w:rsid w:val="00C13BE1"/>
    <w:rsid w:val="00C14070"/>
    <w:rsid w:val="00C14120"/>
    <w:rsid w:val="00C166DD"/>
    <w:rsid w:val="00C171DD"/>
    <w:rsid w:val="00C216C2"/>
    <w:rsid w:val="00C228BE"/>
    <w:rsid w:val="00C24DFC"/>
    <w:rsid w:val="00C262A4"/>
    <w:rsid w:val="00C301F2"/>
    <w:rsid w:val="00C36E29"/>
    <w:rsid w:val="00C44622"/>
    <w:rsid w:val="00C50209"/>
    <w:rsid w:val="00C53B3A"/>
    <w:rsid w:val="00C54CA8"/>
    <w:rsid w:val="00C5783C"/>
    <w:rsid w:val="00C65BBA"/>
    <w:rsid w:val="00C701A4"/>
    <w:rsid w:val="00C75C26"/>
    <w:rsid w:val="00C766D6"/>
    <w:rsid w:val="00C76B61"/>
    <w:rsid w:val="00C77ACB"/>
    <w:rsid w:val="00C81329"/>
    <w:rsid w:val="00C827D6"/>
    <w:rsid w:val="00C8409D"/>
    <w:rsid w:val="00C847C0"/>
    <w:rsid w:val="00C8635E"/>
    <w:rsid w:val="00C865E3"/>
    <w:rsid w:val="00C901BE"/>
    <w:rsid w:val="00C9169C"/>
    <w:rsid w:val="00C92ED6"/>
    <w:rsid w:val="00C95271"/>
    <w:rsid w:val="00C952A3"/>
    <w:rsid w:val="00C95DC1"/>
    <w:rsid w:val="00C96664"/>
    <w:rsid w:val="00C972D1"/>
    <w:rsid w:val="00CA4E01"/>
    <w:rsid w:val="00CA721F"/>
    <w:rsid w:val="00CA7346"/>
    <w:rsid w:val="00CA7ED2"/>
    <w:rsid w:val="00CB1D93"/>
    <w:rsid w:val="00CB1F14"/>
    <w:rsid w:val="00CB361A"/>
    <w:rsid w:val="00CB377C"/>
    <w:rsid w:val="00CC21FB"/>
    <w:rsid w:val="00CC3378"/>
    <w:rsid w:val="00CC5467"/>
    <w:rsid w:val="00CC60B8"/>
    <w:rsid w:val="00CC6AFA"/>
    <w:rsid w:val="00CD327E"/>
    <w:rsid w:val="00CD504E"/>
    <w:rsid w:val="00CD7306"/>
    <w:rsid w:val="00CD7427"/>
    <w:rsid w:val="00CD7E3F"/>
    <w:rsid w:val="00CE3340"/>
    <w:rsid w:val="00D1262B"/>
    <w:rsid w:val="00D22921"/>
    <w:rsid w:val="00D26755"/>
    <w:rsid w:val="00D32DA6"/>
    <w:rsid w:val="00D3460B"/>
    <w:rsid w:val="00D36CAE"/>
    <w:rsid w:val="00D36E2C"/>
    <w:rsid w:val="00D37188"/>
    <w:rsid w:val="00D41F5E"/>
    <w:rsid w:val="00D42131"/>
    <w:rsid w:val="00D51BCF"/>
    <w:rsid w:val="00D57F47"/>
    <w:rsid w:val="00D6495D"/>
    <w:rsid w:val="00D65DCF"/>
    <w:rsid w:val="00D7236C"/>
    <w:rsid w:val="00D72817"/>
    <w:rsid w:val="00D8031C"/>
    <w:rsid w:val="00D83136"/>
    <w:rsid w:val="00D91221"/>
    <w:rsid w:val="00D920A1"/>
    <w:rsid w:val="00D9421A"/>
    <w:rsid w:val="00D94678"/>
    <w:rsid w:val="00DA0269"/>
    <w:rsid w:val="00DA0666"/>
    <w:rsid w:val="00DA24AC"/>
    <w:rsid w:val="00DA35C7"/>
    <w:rsid w:val="00DA3A63"/>
    <w:rsid w:val="00DA5BF5"/>
    <w:rsid w:val="00DA7F16"/>
    <w:rsid w:val="00DB1DDD"/>
    <w:rsid w:val="00DB1EA1"/>
    <w:rsid w:val="00DB415C"/>
    <w:rsid w:val="00DB4CB9"/>
    <w:rsid w:val="00DB5A71"/>
    <w:rsid w:val="00DB7FC7"/>
    <w:rsid w:val="00DC065A"/>
    <w:rsid w:val="00DC4F34"/>
    <w:rsid w:val="00DC7DF8"/>
    <w:rsid w:val="00DD25EE"/>
    <w:rsid w:val="00DD4976"/>
    <w:rsid w:val="00DE3737"/>
    <w:rsid w:val="00DE5823"/>
    <w:rsid w:val="00DE7363"/>
    <w:rsid w:val="00DE7425"/>
    <w:rsid w:val="00DF2833"/>
    <w:rsid w:val="00DF2BA6"/>
    <w:rsid w:val="00DF2C89"/>
    <w:rsid w:val="00DF37C8"/>
    <w:rsid w:val="00DF73A4"/>
    <w:rsid w:val="00E00482"/>
    <w:rsid w:val="00E00C2D"/>
    <w:rsid w:val="00E00DE0"/>
    <w:rsid w:val="00E0560F"/>
    <w:rsid w:val="00E1151C"/>
    <w:rsid w:val="00E20F04"/>
    <w:rsid w:val="00E21426"/>
    <w:rsid w:val="00E3136A"/>
    <w:rsid w:val="00E33478"/>
    <w:rsid w:val="00E34C06"/>
    <w:rsid w:val="00E40004"/>
    <w:rsid w:val="00E4049D"/>
    <w:rsid w:val="00E45645"/>
    <w:rsid w:val="00E50D1D"/>
    <w:rsid w:val="00E51C3E"/>
    <w:rsid w:val="00E5301C"/>
    <w:rsid w:val="00E53261"/>
    <w:rsid w:val="00E57054"/>
    <w:rsid w:val="00E605D8"/>
    <w:rsid w:val="00E611D7"/>
    <w:rsid w:val="00E70970"/>
    <w:rsid w:val="00E71A60"/>
    <w:rsid w:val="00E7565E"/>
    <w:rsid w:val="00E800A3"/>
    <w:rsid w:val="00E80A96"/>
    <w:rsid w:val="00E834DE"/>
    <w:rsid w:val="00E85C7E"/>
    <w:rsid w:val="00E87041"/>
    <w:rsid w:val="00E90364"/>
    <w:rsid w:val="00E90C64"/>
    <w:rsid w:val="00E9213E"/>
    <w:rsid w:val="00E940B2"/>
    <w:rsid w:val="00E94C71"/>
    <w:rsid w:val="00E96272"/>
    <w:rsid w:val="00E9650D"/>
    <w:rsid w:val="00E96CFF"/>
    <w:rsid w:val="00E977BB"/>
    <w:rsid w:val="00E97DB7"/>
    <w:rsid w:val="00EA12A7"/>
    <w:rsid w:val="00EA3ADA"/>
    <w:rsid w:val="00EA3EFB"/>
    <w:rsid w:val="00EA4BEF"/>
    <w:rsid w:val="00EA7306"/>
    <w:rsid w:val="00EB1CCD"/>
    <w:rsid w:val="00EB3973"/>
    <w:rsid w:val="00EB52E9"/>
    <w:rsid w:val="00EC33D7"/>
    <w:rsid w:val="00EC5F36"/>
    <w:rsid w:val="00ED2F3E"/>
    <w:rsid w:val="00ED33F6"/>
    <w:rsid w:val="00ED4A49"/>
    <w:rsid w:val="00EE01A7"/>
    <w:rsid w:val="00EE20EF"/>
    <w:rsid w:val="00EE2AE0"/>
    <w:rsid w:val="00EE3E45"/>
    <w:rsid w:val="00EF1EC5"/>
    <w:rsid w:val="00EF2706"/>
    <w:rsid w:val="00EF3A3C"/>
    <w:rsid w:val="00F03085"/>
    <w:rsid w:val="00F0329E"/>
    <w:rsid w:val="00F1270C"/>
    <w:rsid w:val="00F15240"/>
    <w:rsid w:val="00F15DBC"/>
    <w:rsid w:val="00F15E9F"/>
    <w:rsid w:val="00F20082"/>
    <w:rsid w:val="00F277FF"/>
    <w:rsid w:val="00F304E2"/>
    <w:rsid w:val="00F34104"/>
    <w:rsid w:val="00F34C52"/>
    <w:rsid w:val="00F36869"/>
    <w:rsid w:val="00F424FB"/>
    <w:rsid w:val="00F42BA5"/>
    <w:rsid w:val="00F4326F"/>
    <w:rsid w:val="00F45E25"/>
    <w:rsid w:val="00F46BB5"/>
    <w:rsid w:val="00F50941"/>
    <w:rsid w:val="00F51E4B"/>
    <w:rsid w:val="00F5399D"/>
    <w:rsid w:val="00F54F5F"/>
    <w:rsid w:val="00F63E8F"/>
    <w:rsid w:val="00F668DC"/>
    <w:rsid w:val="00F674C9"/>
    <w:rsid w:val="00F70C23"/>
    <w:rsid w:val="00F71854"/>
    <w:rsid w:val="00F753F1"/>
    <w:rsid w:val="00F776C8"/>
    <w:rsid w:val="00F82216"/>
    <w:rsid w:val="00F87033"/>
    <w:rsid w:val="00F87939"/>
    <w:rsid w:val="00F91873"/>
    <w:rsid w:val="00F939B2"/>
    <w:rsid w:val="00F962B3"/>
    <w:rsid w:val="00F97B2B"/>
    <w:rsid w:val="00FA041E"/>
    <w:rsid w:val="00FB15F4"/>
    <w:rsid w:val="00FB6524"/>
    <w:rsid w:val="00FB7334"/>
    <w:rsid w:val="00FC0EF9"/>
    <w:rsid w:val="00FC3422"/>
    <w:rsid w:val="00FC517B"/>
    <w:rsid w:val="00FC7604"/>
    <w:rsid w:val="00FD61FA"/>
    <w:rsid w:val="00FE0C1E"/>
    <w:rsid w:val="00FE1A3D"/>
    <w:rsid w:val="00FE1E62"/>
    <w:rsid w:val="00FE4132"/>
    <w:rsid w:val="00FE4426"/>
    <w:rsid w:val="00FE511D"/>
    <w:rsid w:val="00FF09E6"/>
    <w:rsid w:val="00FF1D26"/>
    <w:rsid w:val="00FF2201"/>
    <w:rsid w:val="00FF35E8"/>
    <w:rsid w:val="00FF5084"/>
    <w:rsid w:val="00FF743F"/>
    <w:rsid w:val="00FF74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37E133"/>
  <w15:docId w15:val="{E84E30DA-56AE-46D9-979B-D728323E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91C"/>
    <w:pPr>
      <w:jc w:val="both"/>
    </w:pPr>
    <w:rPr>
      <w:sz w:val="20"/>
      <w:lang w:val="ro-RO"/>
    </w:rPr>
  </w:style>
  <w:style w:type="paragraph" w:styleId="Heading1">
    <w:name w:val="heading 1"/>
    <w:basedOn w:val="Normal"/>
    <w:next w:val="Normal"/>
    <w:link w:val="Heading1Char"/>
    <w:autoRedefine/>
    <w:uiPriority w:val="9"/>
    <w:qFormat/>
    <w:rsid w:val="00392258"/>
    <w:pPr>
      <w:keepNext/>
      <w:keepLines/>
      <w:numPr>
        <w:numId w:val="1"/>
      </w:numPr>
      <w:spacing w:after="120" w:line="240" w:lineRule="auto"/>
      <w:outlineLvl w:val="0"/>
    </w:pPr>
    <w:rPr>
      <w:rFonts w:ascii="Calibri" w:eastAsiaTheme="majorEastAsia" w:hAnsi="Calibri" w:cs="Calibri"/>
      <w:b/>
      <w:color w:val="00ABC0" w:themeColor="accent2"/>
      <w:szCs w:val="24"/>
    </w:rPr>
  </w:style>
  <w:style w:type="paragraph" w:styleId="Heading2">
    <w:name w:val="heading 2"/>
    <w:aliases w:val="H2,Heading 2 Hidden,HD2,heading2,palacs csunyan beszel,Attribute Heading 2,Alfejezet,PLS 2,PLS 21,PLS 22,PLS 23,num,afsnit,H21,H22,H23,PLS 24,H24,PLS 25,H25,PLS 26,H26,PLS 27,H27,PLS 28,H28,PLS 29,H29,PLS 210,H210,Hovedoverskrift,h2,heading 2"/>
    <w:basedOn w:val="Normal"/>
    <w:next w:val="Normal"/>
    <w:link w:val="Heading2Char"/>
    <w:autoRedefine/>
    <w:uiPriority w:val="9"/>
    <w:unhideWhenUsed/>
    <w:qFormat/>
    <w:rsid w:val="0015391C"/>
    <w:pPr>
      <w:keepNext/>
      <w:keepLines/>
      <w:numPr>
        <w:ilvl w:val="1"/>
        <w:numId w:val="1"/>
      </w:numPr>
      <w:spacing w:before="120" w:after="120" w:line="240" w:lineRule="auto"/>
      <w:outlineLvl w:val="1"/>
    </w:pPr>
    <w:rPr>
      <w:rFonts w:ascii="Calibri" w:eastAsiaTheme="majorEastAsia" w:hAnsi="Calibri" w:cs="Calibri"/>
      <w:bCs/>
      <w:i/>
      <w:iCs/>
      <w:color w:val="00ABC0" w:themeColor="accent2"/>
    </w:rPr>
  </w:style>
  <w:style w:type="paragraph" w:styleId="Heading3">
    <w:name w:val="heading 3"/>
    <w:basedOn w:val="Normal"/>
    <w:next w:val="Normal"/>
    <w:link w:val="Heading3Char"/>
    <w:autoRedefine/>
    <w:uiPriority w:val="9"/>
    <w:unhideWhenUsed/>
    <w:qFormat/>
    <w:rsid w:val="000C39D2"/>
    <w:pPr>
      <w:keepNext/>
      <w:keepLines/>
      <w:numPr>
        <w:ilvl w:val="2"/>
        <w:numId w:val="2"/>
      </w:numPr>
      <w:spacing w:before="40" w:after="0"/>
      <w:outlineLvl w:val="2"/>
    </w:pPr>
    <w:rPr>
      <w:rFonts w:eastAsiaTheme="majorEastAsia" w:cstheme="majorBidi"/>
      <w:bCs/>
      <w:color w:val="00ABC0" w:themeColor="accent2"/>
      <w:szCs w:val="24"/>
    </w:rPr>
  </w:style>
  <w:style w:type="paragraph" w:styleId="Heading4">
    <w:name w:val="heading 4"/>
    <w:basedOn w:val="Normal"/>
    <w:next w:val="Normal"/>
    <w:link w:val="Heading4Char"/>
    <w:uiPriority w:val="9"/>
    <w:unhideWhenUsed/>
    <w:qFormat/>
    <w:rsid w:val="005950D0"/>
    <w:pPr>
      <w:keepNext/>
      <w:keepLines/>
      <w:spacing w:before="40" w:after="0"/>
      <w:outlineLvl w:val="3"/>
    </w:pPr>
    <w:rPr>
      <w:rFonts w:asciiTheme="majorHAnsi" w:eastAsiaTheme="majorEastAsia" w:hAnsiTheme="majorHAnsi" w:cstheme="majorBidi"/>
      <w:i/>
      <w:iCs/>
      <w:color w:val="0E353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WB Para,Lijstalinea1,A_wyliczenie,K-P_odwolanie,Akapit z listą5,maz_wyliczenie,opis dzialania,Bullet 1,Table of contents numbered,List Paragraph4,List1,body 2,bu,List Paragraph1,Normal bullet 2,Numbered List"/>
    <w:basedOn w:val="Normal"/>
    <w:link w:val="ListParagraphChar"/>
    <w:uiPriority w:val="34"/>
    <w:qFormat/>
    <w:rsid w:val="000352C4"/>
    <w:pPr>
      <w:ind w:left="720"/>
      <w:contextualSpacing/>
    </w:pPr>
  </w:style>
  <w:style w:type="paragraph" w:customStyle="1" w:styleId="al">
    <w:name w:val="a_l"/>
    <w:basedOn w:val="Normal"/>
    <w:rsid w:val="00C24DF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 Text Char Char,Fußnote,fn,FT,ft,SD Footnote Text,Footnote Text AG,Note de bas de page Car Car,Note de bas de page Car Car Car Car Car,Note de bas de page Car Car Car Car,Note de bas de page Car Car Car,Podrozdział,Footnote,o"/>
    <w:basedOn w:val="Normal"/>
    <w:link w:val="FootnoteTextChar"/>
    <w:uiPriority w:val="99"/>
    <w:unhideWhenUsed/>
    <w:qFormat/>
    <w:rsid w:val="00E940B2"/>
    <w:pPr>
      <w:spacing w:after="0" w:line="240" w:lineRule="auto"/>
    </w:pPr>
    <w:rPr>
      <w:szCs w:val="20"/>
    </w:rPr>
  </w:style>
  <w:style w:type="character" w:customStyle="1" w:styleId="FootnoteTextChar">
    <w:name w:val="Footnote Text Char"/>
    <w:aliases w:val="Footnote Text Char Char Char,Fußnote Char,fn Char,FT Char,ft Char,SD Footnote Text Char,Footnote Text AG Char,Note de bas de page Car Car Char,Note de bas de page Car Car Car Car Car Char,Note de bas de page Car Car Car Car Char"/>
    <w:basedOn w:val="DefaultParagraphFont"/>
    <w:link w:val="FootnoteText"/>
    <w:uiPriority w:val="99"/>
    <w:rsid w:val="00E940B2"/>
    <w:rPr>
      <w:sz w:val="20"/>
      <w:szCs w:val="20"/>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 BVI fnr,f"/>
    <w:basedOn w:val="DefaultParagraphFont"/>
    <w:link w:val="FootnotesymbolCharCaracterChar"/>
    <w:uiPriority w:val="99"/>
    <w:unhideWhenUsed/>
    <w:qFormat/>
    <w:rsid w:val="00E940B2"/>
    <w:rPr>
      <w:vertAlign w:val="superscript"/>
    </w:rPr>
  </w:style>
  <w:style w:type="character" w:styleId="Hyperlink">
    <w:name w:val="Hyperlink"/>
    <w:basedOn w:val="DefaultParagraphFont"/>
    <w:uiPriority w:val="99"/>
    <w:unhideWhenUsed/>
    <w:rsid w:val="00E940B2"/>
    <w:rPr>
      <w:color w:val="0000FF"/>
      <w:u w:val="single"/>
    </w:rPr>
  </w:style>
  <w:style w:type="paragraph" w:customStyle="1" w:styleId="Default">
    <w:name w:val="Default"/>
    <w:rsid w:val="001E0F6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96C3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FollowedHyperlink">
    <w:name w:val="FollowedHyperlink"/>
    <w:basedOn w:val="DefaultParagraphFont"/>
    <w:uiPriority w:val="99"/>
    <w:semiHidden/>
    <w:unhideWhenUsed/>
    <w:rsid w:val="009A25C5"/>
    <w:rPr>
      <w:color w:val="134753" w:themeColor="followedHyperlink"/>
      <w:u w:val="single"/>
    </w:rPr>
  </w:style>
  <w:style w:type="paragraph" w:customStyle="1" w:styleId="rtejustify">
    <w:name w:val="rtejustify"/>
    <w:basedOn w:val="Normal"/>
    <w:rsid w:val="0089418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aliases w:val="Bold"/>
    <w:basedOn w:val="DefaultParagraphFont"/>
    <w:qFormat/>
    <w:rsid w:val="00142D4E"/>
    <w:rPr>
      <w:b/>
      <w:bCs/>
    </w:rPr>
  </w:style>
  <w:style w:type="paragraph" w:customStyle="1" w:styleId="listparagraph0">
    <w:name w:val="listparagraph"/>
    <w:basedOn w:val="Normal"/>
    <w:rsid w:val="00142D4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1Char">
    <w:name w:val="Heading 1 Char"/>
    <w:basedOn w:val="DefaultParagraphFont"/>
    <w:link w:val="Heading1"/>
    <w:uiPriority w:val="9"/>
    <w:rsid w:val="0015391C"/>
    <w:rPr>
      <w:rFonts w:ascii="Calibri" w:eastAsiaTheme="majorEastAsia" w:hAnsi="Calibri" w:cs="Calibri"/>
      <w:b/>
      <w:color w:val="00ABC0" w:themeColor="accent2"/>
      <w:sz w:val="20"/>
      <w:szCs w:val="24"/>
      <w:lang w:val="ro-RO"/>
    </w:rPr>
  </w:style>
  <w:style w:type="character" w:customStyle="1" w:styleId="Heading2Char">
    <w:name w:val="Heading 2 Char"/>
    <w:aliases w:val="H2 Char,Heading 2 Hidden Char,HD2 Char,heading2 Char,palacs csunyan beszel Char,Attribute Heading 2 Char,Alfejezet Char,PLS 2 Char,PLS 21 Char,PLS 22 Char,PLS 23 Char,num Char,afsnit Char,H21 Char,H22 Char,H23 Char,PLS 24 Char,H24 Char"/>
    <w:basedOn w:val="DefaultParagraphFont"/>
    <w:link w:val="Heading2"/>
    <w:uiPriority w:val="9"/>
    <w:rsid w:val="0015391C"/>
    <w:rPr>
      <w:rFonts w:ascii="Calibri" w:eastAsiaTheme="majorEastAsia" w:hAnsi="Calibri" w:cs="Calibri"/>
      <w:bCs/>
      <w:i/>
      <w:iCs/>
      <w:color w:val="00ABC0" w:themeColor="accent2"/>
      <w:sz w:val="20"/>
      <w:lang w:val="ro-RO"/>
    </w:rPr>
  </w:style>
  <w:style w:type="character" w:customStyle="1" w:styleId="apple-converted-space">
    <w:name w:val="apple-converted-space"/>
    <w:basedOn w:val="DefaultParagraphFont"/>
    <w:rsid w:val="00BF5449"/>
  </w:style>
  <w:style w:type="character" w:styleId="CommentReference">
    <w:name w:val="annotation reference"/>
    <w:basedOn w:val="DefaultParagraphFont"/>
    <w:uiPriority w:val="99"/>
    <w:semiHidden/>
    <w:unhideWhenUsed/>
    <w:rsid w:val="00BF5449"/>
    <w:rPr>
      <w:sz w:val="16"/>
      <w:szCs w:val="16"/>
    </w:rPr>
  </w:style>
  <w:style w:type="paragraph" w:styleId="CommentText">
    <w:name w:val="annotation text"/>
    <w:basedOn w:val="Normal"/>
    <w:link w:val="CommentTextChar"/>
    <w:uiPriority w:val="99"/>
    <w:unhideWhenUsed/>
    <w:rsid w:val="00BF5449"/>
    <w:pPr>
      <w:spacing w:after="160" w:line="240" w:lineRule="auto"/>
    </w:pPr>
    <w:rPr>
      <w:szCs w:val="20"/>
    </w:rPr>
  </w:style>
  <w:style w:type="character" w:customStyle="1" w:styleId="CommentTextChar">
    <w:name w:val="Comment Text Char"/>
    <w:basedOn w:val="DefaultParagraphFont"/>
    <w:link w:val="CommentText"/>
    <w:uiPriority w:val="99"/>
    <w:rsid w:val="00BF5449"/>
    <w:rPr>
      <w:sz w:val="20"/>
      <w:szCs w:val="20"/>
    </w:rPr>
  </w:style>
  <w:style w:type="paragraph" w:styleId="BalloonText">
    <w:name w:val="Balloon Text"/>
    <w:basedOn w:val="Normal"/>
    <w:link w:val="BalloonTextChar"/>
    <w:uiPriority w:val="99"/>
    <w:semiHidden/>
    <w:unhideWhenUsed/>
    <w:rsid w:val="00BF5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44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B1F14"/>
    <w:pPr>
      <w:spacing w:after="200"/>
    </w:pPr>
    <w:rPr>
      <w:b/>
      <w:bCs/>
    </w:rPr>
  </w:style>
  <w:style w:type="character" w:customStyle="1" w:styleId="CommentSubjectChar">
    <w:name w:val="Comment Subject Char"/>
    <w:basedOn w:val="CommentTextChar"/>
    <w:link w:val="CommentSubject"/>
    <w:uiPriority w:val="99"/>
    <w:semiHidden/>
    <w:rsid w:val="00CB1F14"/>
    <w:rPr>
      <w:b/>
      <w:bCs/>
      <w:sz w:val="20"/>
      <w:szCs w:val="20"/>
    </w:rPr>
  </w:style>
  <w:style w:type="paragraph" w:styleId="TOCHeading">
    <w:name w:val="TOC Heading"/>
    <w:basedOn w:val="Heading1"/>
    <w:next w:val="Normal"/>
    <w:uiPriority w:val="39"/>
    <w:unhideWhenUsed/>
    <w:qFormat/>
    <w:rsid w:val="00BC6EAA"/>
    <w:pPr>
      <w:numPr>
        <w:numId w:val="0"/>
      </w:numPr>
      <w:outlineLvl w:val="9"/>
    </w:pPr>
    <w:rPr>
      <w:b w:val="0"/>
      <w:color w:val="0E353E" w:themeColor="accent1" w:themeShade="BF"/>
    </w:rPr>
  </w:style>
  <w:style w:type="paragraph" w:styleId="TOC1">
    <w:name w:val="toc 1"/>
    <w:basedOn w:val="Normal"/>
    <w:next w:val="Normal"/>
    <w:autoRedefine/>
    <w:uiPriority w:val="39"/>
    <w:unhideWhenUsed/>
    <w:rsid w:val="00BC6EAA"/>
    <w:pPr>
      <w:spacing w:before="120" w:after="0"/>
      <w:jc w:val="left"/>
    </w:pPr>
    <w:rPr>
      <w:rFonts w:cstheme="minorHAnsi"/>
      <w:b/>
      <w:bCs/>
      <w:i/>
      <w:iCs/>
      <w:sz w:val="24"/>
      <w:szCs w:val="24"/>
    </w:rPr>
  </w:style>
  <w:style w:type="paragraph" w:styleId="TOC2">
    <w:name w:val="toc 2"/>
    <w:basedOn w:val="Normal"/>
    <w:next w:val="Normal"/>
    <w:autoRedefine/>
    <w:uiPriority w:val="39"/>
    <w:unhideWhenUsed/>
    <w:rsid w:val="006800AA"/>
    <w:pPr>
      <w:tabs>
        <w:tab w:val="left" w:pos="880"/>
        <w:tab w:val="right" w:leader="dot" w:pos="9019"/>
      </w:tabs>
      <w:spacing w:before="120" w:after="60" w:line="240" w:lineRule="auto"/>
      <w:ind w:left="220"/>
      <w:jc w:val="left"/>
    </w:pPr>
    <w:rPr>
      <w:rFonts w:ascii="Calibri" w:hAnsi="Calibri" w:cs="Calibri"/>
      <w:noProof/>
    </w:rPr>
  </w:style>
  <w:style w:type="character" w:customStyle="1" w:styleId="Heading3Char">
    <w:name w:val="Heading 3 Char"/>
    <w:basedOn w:val="DefaultParagraphFont"/>
    <w:link w:val="Heading3"/>
    <w:uiPriority w:val="9"/>
    <w:rsid w:val="000C39D2"/>
    <w:rPr>
      <w:rFonts w:eastAsiaTheme="majorEastAsia" w:cstheme="majorBidi"/>
      <w:bCs/>
      <w:color w:val="00ABC0" w:themeColor="accent2"/>
      <w:szCs w:val="24"/>
      <w:lang w:val="ro-RO"/>
    </w:rPr>
  </w:style>
  <w:style w:type="character" w:customStyle="1" w:styleId="spar">
    <w:name w:val="s_par"/>
    <w:basedOn w:val="DefaultParagraphFont"/>
    <w:rsid w:val="00DF73A4"/>
  </w:style>
  <w:style w:type="paragraph" w:styleId="TOC3">
    <w:name w:val="toc 3"/>
    <w:basedOn w:val="Normal"/>
    <w:next w:val="Normal"/>
    <w:autoRedefine/>
    <w:uiPriority w:val="39"/>
    <w:unhideWhenUsed/>
    <w:rsid w:val="00162C48"/>
    <w:pPr>
      <w:spacing w:after="0"/>
      <w:ind w:left="440"/>
      <w:jc w:val="left"/>
    </w:pPr>
    <w:rPr>
      <w:rFonts w:cstheme="minorHAnsi"/>
      <w:szCs w:val="20"/>
    </w:rPr>
  </w:style>
  <w:style w:type="character" w:customStyle="1" w:styleId="UnresolvedMention1">
    <w:name w:val="Unresolved Mention1"/>
    <w:basedOn w:val="DefaultParagraphFont"/>
    <w:uiPriority w:val="99"/>
    <w:semiHidden/>
    <w:unhideWhenUsed/>
    <w:rsid w:val="009747CB"/>
    <w:rPr>
      <w:color w:val="605E5C"/>
      <w:shd w:val="clear" w:color="auto" w:fill="E1DFDD"/>
    </w:rPr>
  </w:style>
  <w:style w:type="paragraph" w:styleId="Caption">
    <w:name w:val="caption"/>
    <w:basedOn w:val="Normal"/>
    <w:next w:val="Normal"/>
    <w:autoRedefine/>
    <w:uiPriority w:val="35"/>
    <w:unhideWhenUsed/>
    <w:qFormat/>
    <w:rsid w:val="00BE10E5"/>
    <w:pPr>
      <w:keepNext/>
      <w:spacing w:after="60" w:line="240" w:lineRule="auto"/>
      <w:contextualSpacing/>
    </w:pPr>
    <w:rPr>
      <w:rFonts w:ascii="Calibri" w:hAnsi="Calibri" w:cs="Calibri"/>
      <w:b/>
      <w:iCs/>
      <w:color w:val="000000" w:themeColor="text1"/>
      <w:szCs w:val="20"/>
    </w:rPr>
  </w:style>
  <w:style w:type="character" w:customStyle="1" w:styleId="file">
    <w:name w:val="file"/>
    <w:basedOn w:val="DefaultParagraphFont"/>
    <w:rsid w:val="00621A95"/>
  </w:style>
  <w:style w:type="paragraph" w:styleId="Header">
    <w:name w:val="header"/>
    <w:basedOn w:val="Normal"/>
    <w:link w:val="HeaderChar"/>
    <w:uiPriority w:val="99"/>
    <w:unhideWhenUsed/>
    <w:rsid w:val="00B17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223"/>
  </w:style>
  <w:style w:type="paragraph" w:styleId="Footer">
    <w:name w:val="footer"/>
    <w:basedOn w:val="Normal"/>
    <w:link w:val="FooterChar"/>
    <w:uiPriority w:val="99"/>
    <w:unhideWhenUsed/>
    <w:rsid w:val="00B17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223"/>
  </w:style>
  <w:style w:type="character" w:customStyle="1" w:styleId="fontstyle01">
    <w:name w:val="fontstyle01"/>
    <w:basedOn w:val="DefaultParagraphFont"/>
    <w:rsid w:val="00AA774E"/>
    <w:rPr>
      <w:rFonts w:ascii="Times New Roman" w:hAnsi="Times New Roman" w:cs="Times New Roman" w:hint="default"/>
      <w:b w:val="0"/>
      <w:bCs w:val="0"/>
      <w:i w:val="0"/>
      <w:iCs w:val="0"/>
      <w:color w:val="000000"/>
      <w:sz w:val="24"/>
      <w:szCs w:val="24"/>
    </w:rPr>
  </w:style>
  <w:style w:type="character" w:customStyle="1" w:styleId="UnresolvedMention2">
    <w:name w:val="Unresolved Mention2"/>
    <w:basedOn w:val="DefaultParagraphFont"/>
    <w:uiPriority w:val="99"/>
    <w:semiHidden/>
    <w:unhideWhenUsed/>
    <w:rsid w:val="00315E35"/>
    <w:rPr>
      <w:color w:val="605E5C"/>
      <w:shd w:val="clear" w:color="auto" w:fill="E1DFDD"/>
    </w:rPr>
  </w:style>
  <w:style w:type="character" w:customStyle="1" w:styleId="Heading4Char">
    <w:name w:val="Heading 4 Char"/>
    <w:basedOn w:val="DefaultParagraphFont"/>
    <w:link w:val="Heading4"/>
    <w:uiPriority w:val="9"/>
    <w:rsid w:val="005950D0"/>
    <w:rPr>
      <w:rFonts w:asciiTheme="majorHAnsi" w:eastAsiaTheme="majorEastAsia" w:hAnsiTheme="majorHAnsi" w:cstheme="majorBidi"/>
      <w:i/>
      <w:iCs/>
      <w:color w:val="0E353E" w:themeColor="accent1" w:themeShade="BF"/>
    </w:rPr>
  </w:style>
  <w:style w:type="character" w:customStyle="1" w:styleId="cmg">
    <w:name w:val="cmg"/>
    <w:basedOn w:val="DefaultParagraphFont"/>
    <w:rsid w:val="005950D0"/>
  </w:style>
  <w:style w:type="character" w:customStyle="1" w:styleId="sartttl">
    <w:name w:val="s_art_ttl"/>
    <w:basedOn w:val="DefaultParagraphFont"/>
    <w:rsid w:val="00804DEB"/>
  </w:style>
  <w:style w:type="character" w:customStyle="1" w:styleId="saln">
    <w:name w:val="s_aln"/>
    <w:basedOn w:val="DefaultParagraphFont"/>
    <w:rsid w:val="00804DEB"/>
  </w:style>
  <w:style w:type="character" w:customStyle="1" w:styleId="salnttl">
    <w:name w:val="s_aln_ttl"/>
    <w:basedOn w:val="DefaultParagraphFont"/>
    <w:rsid w:val="00804DEB"/>
  </w:style>
  <w:style w:type="character" w:customStyle="1" w:styleId="salnbdy">
    <w:name w:val="s_aln_bdy"/>
    <w:basedOn w:val="DefaultParagraphFont"/>
    <w:rsid w:val="00804DEB"/>
  </w:style>
  <w:style w:type="character" w:customStyle="1" w:styleId="slit">
    <w:name w:val="s_lit"/>
    <w:basedOn w:val="DefaultParagraphFont"/>
    <w:rsid w:val="00804DEB"/>
  </w:style>
  <w:style w:type="character" w:customStyle="1" w:styleId="slitttl">
    <w:name w:val="s_lit_ttl"/>
    <w:basedOn w:val="DefaultParagraphFont"/>
    <w:rsid w:val="00804DEB"/>
  </w:style>
  <w:style w:type="character" w:customStyle="1" w:styleId="slitbdy">
    <w:name w:val="s_lit_bdy"/>
    <w:basedOn w:val="DefaultParagraphFont"/>
    <w:rsid w:val="00804DEB"/>
  </w:style>
  <w:style w:type="character" w:customStyle="1" w:styleId="sden">
    <w:name w:val="s_den"/>
    <w:basedOn w:val="DefaultParagraphFont"/>
    <w:rsid w:val="00866D2C"/>
  </w:style>
  <w:style w:type="character" w:customStyle="1" w:styleId="shdr">
    <w:name w:val="s_hdr"/>
    <w:basedOn w:val="DefaultParagraphFont"/>
    <w:rsid w:val="005539F6"/>
  </w:style>
  <w:style w:type="table" w:styleId="TableGrid">
    <w:name w:val="Table Grid"/>
    <w:basedOn w:val="TableNormal"/>
    <w:uiPriority w:val="39"/>
    <w:rsid w:val="00583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35219"/>
    <w:rPr>
      <w:color w:val="605E5C"/>
      <w:shd w:val="clear" w:color="auto" w:fill="E1DFDD"/>
    </w:rPr>
  </w:style>
  <w:style w:type="paragraph" w:styleId="Title">
    <w:name w:val="Title"/>
    <w:basedOn w:val="Normal"/>
    <w:link w:val="TitleChar"/>
    <w:uiPriority w:val="10"/>
    <w:qFormat/>
    <w:rsid w:val="00A94BEE"/>
    <w:pPr>
      <w:spacing w:after="240" w:line="240" w:lineRule="auto"/>
      <w:jc w:val="center"/>
    </w:pPr>
    <w:rPr>
      <w:rFonts w:ascii="Tahoma" w:eastAsia="Times New Roman" w:hAnsi="Tahoma" w:cs="Times New Roman"/>
      <w:b/>
      <w:sz w:val="24"/>
      <w:szCs w:val="20"/>
      <w:lang w:val="en-GB"/>
    </w:rPr>
  </w:style>
  <w:style w:type="character" w:customStyle="1" w:styleId="TitleChar">
    <w:name w:val="Title Char"/>
    <w:basedOn w:val="DefaultParagraphFont"/>
    <w:link w:val="Title"/>
    <w:uiPriority w:val="10"/>
    <w:rsid w:val="00A94BEE"/>
    <w:rPr>
      <w:rFonts w:ascii="Tahoma" w:eastAsia="Times New Roman" w:hAnsi="Tahoma" w:cs="Times New Roman"/>
      <w:b/>
      <w:sz w:val="24"/>
      <w:szCs w:val="20"/>
      <w:lang w:val="en-GB"/>
    </w:rPr>
  </w:style>
  <w:style w:type="paragraph" w:styleId="IntenseQuote">
    <w:name w:val="Intense Quote"/>
    <w:basedOn w:val="Normal"/>
    <w:next w:val="Normal"/>
    <w:link w:val="IntenseQuoteChar"/>
    <w:uiPriority w:val="30"/>
    <w:qFormat/>
    <w:rsid w:val="00A94BEE"/>
    <w:pPr>
      <w:pBdr>
        <w:top w:val="single" w:sz="4" w:space="10" w:color="134753" w:themeColor="accent1"/>
        <w:bottom w:val="single" w:sz="4" w:space="10" w:color="134753" w:themeColor="accent1"/>
      </w:pBdr>
      <w:suppressAutoHyphens/>
      <w:spacing w:before="360" w:after="360" w:line="240" w:lineRule="auto"/>
      <w:ind w:left="864" w:right="864"/>
      <w:jc w:val="center"/>
    </w:pPr>
    <w:rPr>
      <w:rFonts w:eastAsia="Calibri" w:cs="Calibri"/>
      <w:i/>
      <w:iCs/>
      <w:color w:val="134753" w:themeColor="accent1"/>
      <w:szCs w:val="20"/>
      <w:lang w:val="en-GB" w:eastAsia="ar-SA"/>
    </w:rPr>
  </w:style>
  <w:style w:type="character" w:customStyle="1" w:styleId="IntenseQuoteChar">
    <w:name w:val="Intense Quote Char"/>
    <w:basedOn w:val="DefaultParagraphFont"/>
    <w:link w:val="IntenseQuote"/>
    <w:uiPriority w:val="30"/>
    <w:rsid w:val="00A94BEE"/>
    <w:rPr>
      <w:rFonts w:eastAsia="Calibri" w:cs="Calibri"/>
      <w:i/>
      <w:iCs/>
      <w:color w:val="134753" w:themeColor="accent1"/>
      <w:sz w:val="20"/>
      <w:szCs w:val="20"/>
      <w:lang w:val="en-GB" w:eastAsia="ar-SA"/>
    </w:r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FootnoteReference"/>
    <w:uiPriority w:val="99"/>
    <w:rsid w:val="00066B82"/>
    <w:pPr>
      <w:spacing w:after="160" w:line="240" w:lineRule="exact"/>
    </w:pPr>
    <w:rPr>
      <w:vertAlign w:val="superscript"/>
    </w:rPr>
  </w:style>
  <w:style w:type="character" w:customStyle="1" w:styleId="ListParagraphChar">
    <w:name w:val="List Paragraph Char"/>
    <w:aliases w:val="List Paragraph (numbered (a)) Char,WB Para Char,Lijstalinea1 Char,A_wyliczenie Char,K-P_odwolanie Char,Akapit z listą5 Char,maz_wyliczenie Char,opis dzialania Char,Bullet 1 Char,Table of contents numbered Char,List Paragraph4 Char"/>
    <w:link w:val="ListParagraph"/>
    <w:uiPriority w:val="34"/>
    <w:qFormat/>
    <w:locked/>
    <w:rsid w:val="00066B82"/>
  </w:style>
  <w:style w:type="paragraph" w:customStyle="1" w:styleId="EYtablebody">
    <w:name w:val="EY_table_body"/>
    <w:basedOn w:val="Normal"/>
    <w:link w:val="EYtablebodyChar"/>
    <w:qFormat/>
    <w:rsid w:val="00B35641"/>
    <w:pPr>
      <w:spacing w:before="40" w:after="40" w:line="240" w:lineRule="auto"/>
    </w:pPr>
    <w:rPr>
      <w:rFonts w:ascii="Arial" w:eastAsia="Times New Roman" w:hAnsi="Arial" w:cs="Arial"/>
      <w:color w:val="000000" w:themeColor="text1"/>
      <w:sz w:val="18"/>
      <w:szCs w:val="24"/>
    </w:rPr>
  </w:style>
  <w:style w:type="character" w:customStyle="1" w:styleId="EYtablebodyChar">
    <w:name w:val="EY_table_body Char"/>
    <w:basedOn w:val="DefaultParagraphFont"/>
    <w:link w:val="EYtablebody"/>
    <w:rsid w:val="00B35641"/>
    <w:rPr>
      <w:rFonts w:ascii="Arial" w:eastAsia="Times New Roman" w:hAnsi="Arial" w:cs="Arial"/>
      <w:color w:val="000000" w:themeColor="text1"/>
      <w:sz w:val="18"/>
      <w:szCs w:val="24"/>
      <w:lang w:val="ro-RO"/>
    </w:rPr>
  </w:style>
  <w:style w:type="paragraph" w:customStyle="1" w:styleId="EYtableheaderwhile">
    <w:name w:val="EY_table_header_while"/>
    <w:basedOn w:val="Normal"/>
    <w:link w:val="EYtableheaderwhileChar"/>
    <w:qFormat/>
    <w:rsid w:val="00B35641"/>
    <w:pPr>
      <w:spacing w:before="60" w:after="60" w:line="240" w:lineRule="auto"/>
    </w:pPr>
    <w:rPr>
      <w:rFonts w:ascii="Arial" w:eastAsia="Times New Roman" w:hAnsi="Arial" w:cs="Arial"/>
      <w:b/>
      <w:bCs/>
      <w:color w:val="FFFFFF" w:themeColor="background1"/>
      <w:sz w:val="18"/>
      <w:szCs w:val="24"/>
    </w:rPr>
  </w:style>
  <w:style w:type="character" w:customStyle="1" w:styleId="EYtableheaderwhileChar">
    <w:name w:val="EY_table_header_while Char"/>
    <w:basedOn w:val="DefaultParagraphFont"/>
    <w:link w:val="EYtableheaderwhile"/>
    <w:rsid w:val="00B35641"/>
    <w:rPr>
      <w:rFonts w:ascii="Arial" w:eastAsia="Times New Roman" w:hAnsi="Arial" w:cs="Arial"/>
      <w:b/>
      <w:bCs/>
      <w:color w:val="FFFFFF" w:themeColor="background1"/>
      <w:sz w:val="18"/>
      <w:szCs w:val="24"/>
      <w:lang w:val="ro-RO"/>
    </w:rPr>
  </w:style>
  <w:style w:type="table" w:customStyle="1" w:styleId="PROPStyle">
    <w:name w:val="PROP Style"/>
    <w:basedOn w:val="TableNormal"/>
    <w:uiPriority w:val="99"/>
    <w:rsid w:val="00B35641"/>
    <w:pPr>
      <w:spacing w:after="0" w:line="240" w:lineRule="auto"/>
    </w:pPr>
    <w:rPr>
      <w:rFonts w:ascii="EYInterstate Light" w:eastAsia="Times New Roman" w:hAnsi="EYInterstate Light" w:cs="Times New Roman"/>
      <w:sz w:val="16"/>
      <w:szCs w:val="20"/>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F2F2F2" w:themeFill="background1" w:themeFillShade="F2"/>
    </w:tcPr>
    <w:tblStylePr w:type="firstRow">
      <w:rPr>
        <w:rFonts w:ascii="Calibri Light" w:hAnsi="Calibri Light"/>
        <w:b/>
        <w:sz w:val="16"/>
      </w:rPr>
      <w:tblPr/>
      <w:tcPr>
        <w:shd w:val="clear" w:color="auto" w:fill="FFC000"/>
      </w:tcPr>
    </w:tblStylePr>
  </w:style>
  <w:style w:type="paragraph" w:customStyle="1" w:styleId="EYtabelbullet">
    <w:name w:val="EY_tabel_bullet"/>
    <w:basedOn w:val="EYtablebody"/>
    <w:link w:val="EYtabelbulletChar"/>
    <w:qFormat/>
    <w:rsid w:val="00B35641"/>
    <w:pPr>
      <w:numPr>
        <w:numId w:val="3"/>
      </w:numPr>
      <w:spacing w:before="50" w:after="50"/>
    </w:pPr>
    <w:rPr>
      <w:rFonts w:eastAsia="Arial"/>
    </w:rPr>
  </w:style>
  <w:style w:type="character" w:customStyle="1" w:styleId="EYtabelbulletChar">
    <w:name w:val="EY_tabel_bullet Char"/>
    <w:basedOn w:val="EYtablebodyChar"/>
    <w:link w:val="EYtabelbullet"/>
    <w:rsid w:val="00B35641"/>
    <w:rPr>
      <w:rFonts w:ascii="Arial" w:eastAsia="Arial" w:hAnsi="Arial" w:cs="Arial"/>
      <w:color w:val="000000" w:themeColor="text1"/>
      <w:sz w:val="18"/>
      <w:szCs w:val="24"/>
      <w:lang w:val="ro-RO"/>
    </w:rPr>
  </w:style>
  <w:style w:type="paragraph" w:customStyle="1" w:styleId="EYheading2">
    <w:name w:val="EY_heading_2"/>
    <w:basedOn w:val="Normal"/>
    <w:uiPriority w:val="99"/>
    <w:qFormat/>
    <w:rsid w:val="00B35641"/>
    <w:pPr>
      <w:keepNext/>
      <w:numPr>
        <w:ilvl w:val="1"/>
        <w:numId w:val="3"/>
      </w:numPr>
      <w:tabs>
        <w:tab w:val="left" w:pos="0"/>
      </w:tabs>
      <w:spacing w:before="120" w:after="120" w:line="240" w:lineRule="auto"/>
      <w:ind w:left="1440"/>
      <w:outlineLvl w:val="1"/>
    </w:pPr>
    <w:rPr>
      <w:rFonts w:ascii="Arial" w:eastAsia="Times New Roman" w:hAnsi="Arial" w:cs="Arial"/>
      <w:color w:val="747480"/>
      <w:kern w:val="12"/>
      <w:sz w:val="28"/>
      <w:szCs w:val="24"/>
    </w:rPr>
  </w:style>
  <w:style w:type="paragraph" w:customStyle="1" w:styleId="EYheading3">
    <w:name w:val="EY_heading 3"/>
    <w:basedOn w:val="Normal"/>
    <w:uiPriority w:val="99"/>
    <w:qFormat/>
    <w:rsid w:val="00B35641"/>
    <w:pPr>
      <w:numPr>
        <w:ilvl w:val="2"/>
        <w:numId w:val="3"/>
      </w:numPr>
      <w:tabs>
        <w:tab w:val="left" w:pos="709"/>
        <w:tab w:val="left" w:pos="993"/>
      </w:tabs>
      <w:spacing w:before="120" w:after="120" w:line="240" w:lineRule="auto"/>
      <w:ind w:left="2160"/>
      <w:outlineLvl w:val="2"/>
    </w:pPr>
    <w:rPr>
      <w:rFonts w:ascii="Arial" w:eastAsia="Times New Roman" w:hAnsi="Arial" w:cs="Arial"/>
      <w:color w:val="747480"/>
      <w:kern w:val="12"/>
      <w:sz w:val="26"/>
      <w:szCs w:val="24"/>
    </w:rPr>
  </w:style>
  <w:style w:type="paragraph" w:customStyle="1" w:styleId="EYheading4">
    <w:name w:val="EY_heading 4"/>
    <w:basedOn w:val="Normal"/>
    <w:uiPriority w:val="99"/>
    <w:qFormat/>
    <w:rsid w:val="00B35641"/>
    <w:pPr>
      <w:keepNext/>
      <w:numPr>
        <w:ilvl w:val="3"/>
        <w:numId w:val="3"/>
      </w:numPr>
      <w:tabs>
        <w:tab w:val="left" w:pos="426"/>
        <w:tab w:val="num" w:pos="851"/>
      </w:tabs>
      <w:spacing w:before="120" w:after="120" w:line="240" w:lineRule="auto"/>
      <w:ind w:left="2880"/>
      <w:outlineLvl w:val="3"/>
    </w:pPr>
    <w:rPr>
      <w:rFonts w:ascii="Arial" w:eastAsia="Times New Roman" w:hAnsi="Arial" w:cs="Arial"/>
      <w:color w:val="747480"/>
      <w:kern w:val="12"/>
      <w:sz w:val="26"/>
      <w:szCs w:val="24"/>
    </w:rPr>
  </w:style>
  <w:style w:type="character" w:customStyle="1" w:styleId="leaf">
    <w:name w:val="leaf"/>
    <w:basedOn w:val="DefaultParagraphFont"/>
    <w:rsid w:val="00876352"/>
  </w:style>
  <w:style w:type="table" w:styleId="PlainTable2">
    <w:name w:val="Plain Table 2"/>
    <w:basedOn w:val="TableNormal"/>
    <w:uiPriority w:val="42"/>
    <w:rsid w:val="00B812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ommentTextChar1">
    <w:name w:val="Comment Text Char1"/>
    <w:basedOn w:val="DefaultParagraphFont"/>
    <w:uiPriority w:val="99"/>
    <w:semiHidden/>
    <w:rsid w:val="00FE511D"/>
    <w:rPr>
      <w:lang w:val="en-GB" w:bidi="he-IL"/>
    </w:rPr>
  </w:style>
  <w:style w:type="character" w:styleId="PageNumber">
    <w:name w:val="page number"/>
    <w:basedOn w:val="DefaultParagraphFont"/>
    <w:uiPriority w:val="99"/>
    <w:semiHidden/>
    <w:unhideWhenUsed/>
    <w:rsid w:val="00DC4F34"/>
  </w:style>
  <w:style w:type="paragraph" w:styleId="TOC4">
    <w:name w:val="toc 4"/>
    <w:basedOn w:val="Normal"/>
    <w:next w:val="Normal"/>
    <w:autoRedefine/>
    <w:uiPriority w:val="39"/>
    <w:semiHidden/>
    <w:unhideWhenUsed/>
    <w:rsid w:val="00692104"/>
    <w:pPr>
      <w:spacing w:after="0"/>
      <w:ind w:left="660"/>
      <w:jc w:val="left"/>
    </w:pPr>
    <w:rPr>
      <w:rFonts w:cstheme="minorHAnsi"/>
      <w:szCs w:val="20"/>
    </w:rPr>
  </w:style>
  <w:style w:type="paragraph" w:styleId="TOC5">
    <w:name w:val="toc 5"/>
    <w:basedOn w:val="Normal"/>
    <w:next w:val="Normal"/>
    <w:autoRedefine/>
    <w:uiPriority w:val="39"/>
    <w:semiHidden/>
    <w:unhideWhenUsed/>
    <w:rsid w:val="00692104"/>
    <w:pPr>
      <w:spacing w:after="0"/>
      <w:ind w:left="880"/>
      <w:jc w:val="left"/>
    </w:pPr>
    <w:rPr>
      <w:rFonts w:cstheme="minorHAnsi"/>
      <w:szCs w:val="20"/>
    </w:rPr>
  </w:style>
  <w:style w:type="paragraph" w:styleId="TOC6">
    <w:name w:val="toc 6"/>
    <w:basedOn w:val="Normal"/>
    <w:next w:val="Normal"/>
    <w:autoRedefine/>
    <w:uiPriority w:val="39"/>
    <w:semiHidden/>
    <w:unhideWhenUsed/>
    <w:rsid w:val="00692104"/>
    <w:pPr>
      <w:spacing w:after="0"/>
      <w:ind w:left="1100"/>
      <w:jc w:val="left"/>
    </w:pPr>
    <w:rPr>
      <w:rFonts w:cstheme="minorHAnsi"/>
      <w:szCs w:val="20"/>
    </w:rPr>
  </w:style>
  <w:style w:type="paragraph" w:styleId="TOC7">
    <w:name w:val="toc 7"/>
    <w:basedOn w:val="Normal"/>
    <w:next w:val="Normal"/>
    <w:autoRedefine/>
    <w:uiPriority w:val="39"/>
    <w:semiHidden/>
    <w:unhideWhenUsed/>
    <w:rsid w:val="00692104"/>
    <w:pPr>
      <w:spacing w:after="0"/>
      <w:ind w:left="1320"/>
      <w:jc w:val="left"/>
    </w:pPr>
    <w:rPr>
      <w:rFonts w:cstheme="minorHAnsi"/>
      <w:szCs w:val="20"/>
    </w:rPr>
  </w:style>
  <w:style w:type="paragraph" w:styleId="TOC8">
    <w:name w:val="toc 8"/>
    <w:basedOn w:val="Normal"/>
    <w:next w:val="Normal"/>
    <w:autoRedefine/>
    <w:uiPriority w:val="39"/>
    <w:semiHidden/>
    <w:unhideWhenUsed/>
    <w:rsid w:val="00692104"/>
    <w:pPr>
      <w:spacing w:after="0"/>
      <w:ind w:left="1540"/>
      <w:jc w:val="left"/>
    </w:pPr>
    <w:rPr>
      <w:rFonts w:cstheme="minorHAnsi"/>
      <w:szCs w:val="20"/>
    </w:rPr>
  </w:style>
  <w:style w:type="paragraph" w:styleId="TOC9">
    <w:name w:val="toc 9"/>
    <w:basedOn w:val="Normal"/>
    <w:next w:val="Normal"/>
    <w:autoRedefine/>
    <w:uiPriority w:val="39"/>
    <w:semiHidden/>
    <w:unhideWhenUsed/>
    <w:rsid w:val="00692104"/>
    <w:pPr>
      <w:spacing w:after="0"/>
      <w:ind w:left="1760"/>
      <w:jc w:val="left"/>
    </w:pPr>
    <w:rPr>
      <w:rFonts w:cstheme="minorHAnsi"/>
      <w:szCs w:val="20"/>
    </w:rPr>
  </w:style>
  <w:style w:type="table" w:styleId="GridTable4-Accent1">
    <w:name w:val="Grid Table 4 Accent 1"/>
    <w:basedOn w:val="TableNormal"/>
    <w:uiPriority w:val="49"/>
    <w:rsid w:val="00760C00"/>
    <w:pPr>
      <w:spacing w:after="0" w:line="240" w:lineRule="auto"/>
    </w:pPr>
    <w:tblPr>
      <w:tblStyleRowBandSize w:val="1"/>
      <w:tblStyleColBandSize w:val="1"/>
      <w:tbl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insideH w:val="single" w:sz="4" w:space="0" w:color="37B4D1" w:themeColor="accent1" w:themeTint="99"/>
        <w:insideV w:val="single" w:sz="4" w:space="0" w:color="37B4D1" w:themeColor="accent1" w:themeTint="99"/>
      </w:tblBorders>
    </w:tblPr>
    <w:tblStylePr w:type="firstRow">
      <w:rPr>
        <w:b/>
        <w:bCs/>
        <w:color w:val="FFFFFF" w:themeColor="background1"/>
      </w:rPr>
      <w:tblPr/>
      <w:tcPr>
        <w:tcBorders>
          <w:top w:val="single" w:sz="4" w:space="0" w:color="134753" w:themeColor="accent1"/>
          <w:left w:val="single" w:sz="4" w:space="0" w:color="134753" w:themeColor="accent1"/>
          <w:bottom w:val="single" w:sz="4" w:space="0" w:color="134753" w:themeColor="accent1"/>
          <w:right w:val="single" w:sz="4" w:space="0" w:color="134753" w:themeColor="accent1"/>
          <w:insideH w:val="nil"/>
          <w:insideV w:val="nil"/>
        </w:tcBorders>
        <w:shd w:val="clear" w:color="auto" w:fill="134753" w:themeFill="accent1"/>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character" w:styleId="UnresolvedMention">
    <w:name w:val="Unresolved Mention"/>
    <w:basedOn w:val="DefaultParagraphFont"/>
    <w:uiPriority w:val="99"/>
    <w:semiHidden/>
    <w:unhideWhenUsed/>
    <w:rsid w:val="00760C00"/>
    <w:rPr>
      <w:color w:val="605E5C"/>
      <w:shd w:val="clear" w:color="auto" w:fill="E1DFDD"/>
    </w:rPr>
  </w:style>
  <w:style w:type="paragraph" w:styleId="TableofFigures">
    <w:name w:val="table of figures"/>
    <w:basedOn w:val="Normal"/>
    <w:next w:val="Normal"/>
    <w:uiPriority w:val="99"/>
    <w:unhideWhenUsed/>
    <w:rsid w:val="002830EB"/>
    <w:pPr>
      <w:spacing w:after="0"/>
    </w:pPr>
  </w:style>
  <w:style w:type="table" w:customStyle="1" w:styleId="Civittatable">
    <w:name w:val="Civitta table"/>
    <w:basedOn w:val="TableNormal"/>
    <w:uiPriority w:val="99"/>
    <w:rsid w:val="00934806"/>
    <w:pPr>
      <w:spacing w:before="60" w:after="60" w:line="240" w:lineRule="auto"/>
    </w:pPr>
    <w:rPr>
      <w:rFonts w:ascii="Calibri" w:eastAsia="SimSun" w:hAnsi="Calibri" w:cs="Arial"/>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cPr>
        <w:shd w:val="clear" w:color="auto" w:fill="134753" w:themeFill="accent1"/>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table" w:styleId="ListTable3-Accent5">
    <w:name w:val="List Table 3 Accent 5"/>
    <w:basedOn w:val="TableNormal"/>
    <w:uiPriority w:val="48"/>
    <w:rsid w:val="00934806"/>
    <w:pPr>
      <w:spacing w:after="0" w:line="240" w:lineRule="auto"/>
    </w:pPr>
    <w:rPr>
      <w:lang w:val="ro-RO"/>
    </w:rPr>
    <w:tblPr>
      <w:tblStyleRowBandSize w:val="1"/>
      <w:tblStyleColBandSize w:val="1"/>
      <w:tblBorders>
        <w:top w:val="single" w:sz="4" w:space="0" w:color="BFBFBF" w:themeColor="accent5"/>
        <w:left w:val="single" w:sz="4" w:space="0" w:color="BFBFBF" w:themeColor="accent5"/>
        <w:bottom w:val="single" w:sz="4" w:space="0" w:color="BFBFBF" w:themeColor="accent5"/>
        <w:right w:val="single" w:sz="4" w:space="0" w:color="BFBFBF" w:themeColor="accent5"/>
      </w:tblBorders>
    </w:tblPr>
    <w:tblStylePr w:type="firstRow">
      <w:rPr>
        <w:b/>
        <w:bCs/>
        <w:color w:val="FFFFFF" w:themeColor="background1"/>
      </w:rPr>
      <w:tblPr/>
      <w:tcPr>
        <w:shd w:val="clear" w:color="auto" w:fill="BFBFBF" w:themeFill="accent5"/>
      </w:tcPr>
    </w:tblStylePr>
    <w:tblStylePr w:type="lastRow">
      <w:rPr>
        <w:b/>
        <w:bCs/>
      </w:rPr>
      <w:tblPr/>
      <w:tcPr>
        <w:tcBorders>
          <w:top w:val="double" w:sz="4" w:space="0" w:color="BFBFB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BFBF" w:themeColor="accent5"/>
          <w:right w:val="single" w:sz="4" w:space="0" w:color="BFBFBF" w:themeColor="accent5"/>
        </w:tcBorders>
      </w:tcPr>
    </w:tblStylePr>
    <w:tblStylePr w:type="band1Horz">
      <w:tblPr/>
      <w:tcPr>
        <w:tcBorders>
          <w:top w:val="single" w:sz="4" w:space="0" w:color="BFBFBF" w:themeColor="accent5"/>
          <w:bottom w:val="single" w:sz="4" w:space="0" w:color="BFBFB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themeColor="accent5"/>
          <w:left w:val="nil"/>
        </w:tcBorders>
      </w:tcPr>
    </w:tblStylePr>
    <w:tblStylePr w:type="swCell">
      <w:tblPr/>
      <w:tcPr>
        <w:tcBorders>
          <w:top w:val="double" w:sz="4" w:space="0" w:color="BFBFBF" w:themeColor="accent5"/>
          <w:right w:val="nil"/>
        </w:tcBorders>
      </w:tcPr>
    </w:tblStylePr>
  </w:style>
  <w:style w:type="paragraph" w:customStyle="1" w:styleId="Heading22">
    <w:name w:val="Heading 2.2"/>
    <w:basedOn w:val="Heading2"/>
    <w:link w:val="Heading22Char"/>
    <w:qFormat/>
    <w:rsid w:val="00934806"/>
    <w:pPr>
      <w:keepLines w:val="0"/>
      <w:numPr>
        <w:ilvl w:val="0"/>
        <w:numId w:val="19"/>
      </w:numPr>
      <w:pBdr>
        <w:bottom w:val="dotted" w:sz="4" w:space="1" w:color="7F7F7F"/>
      </w:pBdr>
      <w:suppressAutoHyphens/>
      <w:spacing w:before="0" w:line="250" w:lineRule="exact"/>
    </w:pPr>
    <w:rPr>
      <w:rFonts w:eastAsia="Times New Roman" w:cs="Times New Roman"/>
      <w:b/>
      <w:i w:val="0"/>
      <w:iCs w:val="0"/>
      <w:color w:val="134753" w:themeColor="accent1"/>
      <w:kern w:val="1"/>
      <w:sz w:val="28"/>
      <w:szCs w:val="32"/>
      <w:lang w:eastAsia="ar-SA"/>
    </w:rPr>
  </w:style>
  <w:style w:type="character" w:customStyle="1" w:styleId="Heading22Char">
    <w:name w:val="Heading 2.2 Char"/>
    <w:basedOn w:val="DefaultParagraphFont"/>
    <w:link w:val="Heading22"/>
    <w:rsid w:val="00934806"/>
    <w:rPr>
      <w:rFonts w:ascii="Calibri" w:eastAsia="Times New Roman" w:hAnsi="Calibri" w:cs="Times New Roman"/>
      <w:b/>
      <w:bCs/>
      <w:color w:val="134753" w:themeColor="accent1"/>
      <w:kern w:val="1"/>
      <w:sz w:val="28"/>
      <w:szCs w:val="32"/>
      <w:lang w:val="ro-RO" w:eastAsia="ar-SA"/>
    </w:rPr>
  </w:style>
  <w:style w:type="character" w:customStyle="1" w:styleId="FootnoteTextChar1">
    <w:name w:val="Footnote Text Char1"/>
    <w:basedOn w:val="DefaultParagraphFont"/>
    <w:uiPriority w:val="99"/>
    <w:semiHidden/>
    <w:rsid w:val="00934806"/>
    <w:rPr>
      <w:sz w:val="20"/>
      <w:szCs w:val="20"/>
    </w:rPr>
  </w:style>
  <w:style w:type="paragraph" w:customStyle="1" w:styleId="Char2">
    <w:name w:val="Char2"/>
    <w:basedOn w:val="Normal"/>
    <w:uiPriority w:val="99"/>
    <w:rsid w:val="00934806"/>
    <w:pPr>
      <w:spacing w:after="160" w:line="240" w:lineRule="exact"/>
    </w:pPr>
    <w:rPr>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5074">
      <w:bodyDiv w:val="1"/>
      <w:marLeft w:val="0"/>
      <w:marRight w:val="0"/>
      <w:marTop w:val="0"/>
      <w:marBottom w:val="0"/>
      <w:divBdr>
        <w:top w:val="none" w:sz="0" w:space="0" w:color="auto"/>
        <w:left w:val="none" w:sz="0" w:space="0" w:color="auto"/>
        <w:bottom w:val="none" w:sz="0" w:space="0" w:color="auto"/>
        <w:right w:val="none" w:sz="0" w:space="0" w:color="auto"/>
      </w:divBdr>
    </w:div>
    <w:div w:id="92480120">
      <w:bodyDiv w:val="1"/>
      <w:marLeft w:val="0"/>
      <w:marRight w:val="0"/>
      <w:marTop w:val="0"/>
      <w:marBottom w:val="0"/>
      <w:divBdr>
        <w:top w:val="none" w:sz="0" w:space="0" w:color="auto"/>
        <w:left w:val="none" w:sz="0" w:space="0" w:color="auto"/>
        <w:bottom w:val="none" w:sz="0" w:space="0" w:color="auto"/>
        <w:right w:val="none" w:sz="0" w:space="0" w:color="auto"/>
      </w:divBdr>
    </w:div>
    <w:div w:id="109933742">
      <w:bodyDiv w:val="1"/>
      <w:marLeft w:val="0"/>
      <w:marRight w:val="0"/>
      <w:marTop w:val="0"/>
      <w:marBottom w:val="0"/>
      <w:divBdr>
        <w:top w:val="none" w:sz="0" w:space="0" w:color="auto"/>
        <w:left w:val="none" w:sz="0" w:space="0" w:color="auto"/>
        <w:bottom w:val="none" w:sz="0" w:space="0" w:color="auto"/>
        <w:right w:val="none" w:sz="0" w:space="0" w:color="auto"/>
      </w:divBdr>
    </w:div>
    <w:div w:id="118886669">
      <w:bodyDiv w:val="1"/>
      <w:marLeft w:val="0"/>
      <w:marRight w:val="0"/>
      <w:marTop w:val="0"/>
      <w:marBottom w:val="0"/>
      <w:divBdr>
        <w:top w:val="none" w:sz="0" w:space="0" w:color="auto"/>
        <w:left w:val="none" w:sz="0" w:space="0" w:color="auto"/>
        <w:bottom w:val="none" w:sz="0" w:space="0" w:color="auto"/>
        <w:right w:val="none" w:sz="0" w:space="0" w:color="auto"/>
      </w:divBdr>
    </w:div>
    <w:div w:id="180049220">
      <w:bodyDiv w:val="1"/>
      <w:marLeft w:val="0"/>
      <w:marRight w:val="0"/>
      <w:marTop w:val="0"/>
      <w:marBottom w:val="0"/>
      <w:divBdr>
        <w:top w:val="none" w:sz="0" w:space="0" w:color="auto"/>
        <w:left w:val="none" w:sz="0" w:space="0" w:color="auto"/>
        <w:bottom w:val="none" w:sz="0" w:space="0" w:color="auto"/>
        <w:right w:val="none" w:sz="0" w:space="0" w:color="auto"/>
      </w:divBdr>
    </w:div>
    <w:div w:id="187958168">
      <w:bodyDiv w:val="1"/>
      <w:marLeft w:val="0"/>
      <w:marRight w:val="0"/>
      <w:marTop w:val="0"/>
      <w:marBottom w:val="0"/>
      <w:divBdr>
        <w:top w:val="none" w:sz="0" w:space="0" w:color="auto"/>
        <w:left w:val="none" w:sz="0" w:space="0" w:color="auto"/>
        <w:bottom w:val="none" w:sz="0" w:space="0" w:color="auto"/>
        <w:right w:val="none" w:sz="0" w:space="0" w:color="auto"/>
      </w:divBdr>
    </w:div>
    <w:div w:id="189497068">
      <w:bodyDiv w:val="1"/>
      <w:marLeft w:val="0"/>
      <w:marRight w:val="0"/>
      <w:marTop w:val="0"/>
      <w:marBottom w:val="0"/>
      <w:divBdr>
        <w:top w:val="none" w:sz="0" w:space="0" w:color="auto"/>
        <w:left w:val="none" w:sz="0" w:space="0" w:color="auto"/>
        <w:bottom w:val="none" w:sz="0" w:space="0" w:color="auto"/>
        <w:right w:val="none" w:sz="0" w:space="0" w:color="auto"/>
      </w:divBdr>
    </w:div>
    <w:div w:id="356273799">
      <w:bodyDiv w:val="1"/>
      <w:marLeft w:val="0"/>
      <w:marRight w:val="0"/>
      <w:marTop w:val="0"/>
      <w:marBottom w:val="0"/>
      <w:divBdr>
        <w:top w:val="none" w:sz="0" w:space="0" w:color="auto"/>
        <w:left w:val="none" w:sz="0" w:space="0" w:color="auto"/>
        <w:bottom w:val="none" w:sz="0" w:space="0" w:color="auto"/>
        <w:right w:val="none" w:sz="0" w:space="0" w:color="auto"/>
      </w:divBdr>
    </w:div>
    <w:div w:id="379062457">
      <w:bodyDiv w:val="1"/>
      <w:marLeft w:val="0"/>
      <w:marRight w:val="0"/>
      <w:marTop w:val="0"/>
      <w:marBottom w:val="0"/>
      <w:divBdr>
        <w:top w:val="none" w:sz="0" w:space="0" w:color="auto"/>
        <w:left w:val="none" w:sz="0" w:space="0" w:color="auto"/>
        <w:bottom w:val="none" w:sz="0" w:space="0" w:color="auto"/>
        <w:right w:val="none" w:sz="0" w:space="0" w:color="auto"/>
      </w:divBdr>
    </w:div>
    <w:div w:id="389351552">
      <w:bodyDiv w:val="1"/>
      <w:marLeft w:val="0"/>
      <w:marRight w:val="0"/>
      <w:marTop w:val="0"/>
      <w:marBottom w:val="0"/>
      <w:divBdr>
        <w:top w:val="none" w:sz="0" w:space="0" w:color="auto"/>
        <w:left w:val="none" w:sz="0" w:space="0" w:color="auto"/>
        <w:bottom w:val="none" w:sz="0" w:space="0" w:color="auto"/>
        <w:right w:val="none" w:sz="0" w:space="0" w:color="auto"/>
      </w:divBdr>
      <w:divsChild>
        <w:div w:id="249896526">
          <w:marLeft w:val="547"/>
          <w:marRight w:val="0"/>
          <w:marTop w:val="0"/>
          <w:marBottom w:val="0"/>
          <w:divBdr>
            <w:top w:val="none" w:sz="0" w:space="0" w:color="auto"/>
            <w:left w:val="none" w:sz="0" w:space="0" w:color="auto"/>
            <w:bottom w:val="none" w:sz="0" w:space="0" w:color="auto"/>
            <w:right w:val="none" w:sz="0" w:space="0" w:color="auto"/>
          </w:divBdr>
        </w:div>
      </w:divsChild>
    </w:div>
    <w:div w:id="391079409">
      <w:bodyDiv w:val="1"/>
      <w:marLeft w:val="0"/>
      <w:marRight w:val="0"/>
      <w:marTop w:val="0"/>
      <w:marBottom w:val="0"/>
      <w:divBdr>
        <w:top w:val="none" w:sz="0" w:space="0" w:color="auto"/>
        <w:left w:val="none" w:sz="0" w:space="0" w:color="auto"/>
        <w:bottom w:val="none" w:sz="0" w:space="0" w:color="auto"/>
        <w:right w:val="none" w:sz="0" w:space="0" w:color="auto"/>
      </w:divBdr>
    </w:div>
    <w:div w:id="452870226">
      <w:bodyDiv w:val="1"/>
      <w:marLeft w:val="0"/>
      <w:marRight w:val="0"/>
      <w:marTop w:val="0"/>
      <w:marBottom w:val="0"/>
      <w:divBdr>
        <w:top w:val="none" w:sz="0" w:space="0" w:color="auto"/>
        <w:left w:val="none" w:sz="0" w:space="0" w:color="auto"/>
        <w:bottom w:val="none" w:sz="0" w:space="0" w:color="auto"/>
        <w:right w:val="none" w:sz="0" w:space="0" w:color="auto"/>
      </w:divBdr>
    </w:div>
    <w:div w:id="500967918">
      <w:bodyDiv w:val="1"/>
      <w:marLeft w:val="0"/>
      <w:marRight w:val="0"/>
      <w:marTop w:val="0"/>
      <w:marBottom w:val="0"/>
      <w:divBdr>
        <w:top w:val="none" w:sz="0" w:space="0" w:color="auto"/>
        <w:left w:val="none" w:sz="0" w:space="0" w:color="auto"/>
        <w:bottom w:val="none" w:sz="0" w:space="0" w:color="auto"/>
        <w:right w:val="none" w:sz="0" w:space="0" w:color="auto"/>
      </w:divBdr>
    </w:div>
    <w:div w:id="536310844">
      <w:bodyDiv w:val="1"/>
      <w:marLeft w:val="0"/>
      <w:marRight w:val="0"/>
      <w:marTop w:val="0"/>
      <w:marBottom w:val="0"/>
      <w:divBdr>
        <w:top w:val="none" w:sz="0" w:space="0" w:color="auto"/>
        <w:left w:val="none" w:sz="0" w:space="0" w:color="auto"/>
        <w:bottom w:val="none" w:sz="0" w:space="0" w:color="auto"/>
        <w:right w:val="none" w:sz="0" w:space="0" w:color="auto"/>
      </w:divBdr>
    </w:div>
    <w:div w:id="543643659">
      <w:bodyDiv w:val="1"/>
      <w:marLeft w:val="0"/>
      <w:marRight w:val="0"/>
      <w:marTop w:val="0"/>
      <w:marBottom w:val="0"/>
      <w:divBdr>
        <w:top w:val="none" w:sz="0" w:space="0" w:color="auto"/>
        <w:left w:val="none" w:sz="0" w:space="0" w:color="auto"/>
        <w:bottom w:val="none" w:sz="0" w:space="0" w:color="auto"/>
        <w:right w:val="none" w:sz="0" w:space="0" w:color="auto"/>
      </w:divBdr>
    </w:div>
    <w:div w:id="595676571">
      <w:bodyDiv w:val="1"/>
      <w:marLeft w:val="0"/>
      <w:marRight w:val="0"/>
      <w:marTop w:val="0"/>
      <w:marBottom w:val="0"/>
      <w:divBdr>
        <w:top w:val="none" w:sz="0" w:space="0" w:color="auto"/>
        <w:left w:val="none" w:sz="0" w:space="0" w:color="auto"/>
        <w:bottom w:val="none" w:sz="0" w:space="0" w:color="auto"/>
        <w:right w:val="none" w:sz="0" w:space="0" w:color="auto"/>
      </w:divBdr>
    </w:div>
    <w:div w:id="617226205">
      <w:bodyDiv w:val="1"/>
      <w:marLeft w:val="0"/>
      <w:marRight w:val="0"/>
      <w:marTop w:val="0"/>
      <w:marBottom w:val="0"/>
      <w:divBdr>
        <w:top w:val="none" w:sz="0" w:space="0" w:color="auto"/>
        <w:left w:val="none" w:sz="0" w:space="0" w:color="auto"/>
        <w:bottom w:val="none" w:sz="0" w:space="0" w:color="auto"/>
        <w:right w:val="none" w:sz="0" w:space="0" w:color="auto"/>
      </w:divBdr>
    </w:div>
    <w:div w:id="704211235">
      <w:bodyDiv w:val="1"/>
      <w:marLeft w:val="0"/>
      <w:marRight w:val="0"/>
      <w:marTop w:val="0"/>
      <w:marBottom w:val="0"/>
      <w:divBdr>
        <w:top w:val="none" w:sz="0" w:space="0" w:color="auto"/>
        <w:left w:val="none" w:sz="0" w:space="0" w:color="auto"/>
        <w:bottom w:val="none" w:sz="0" w:space="0" w:color="auto"/>
        <w:right w:val="none" w:sz="0" w:space="0" w:color="auto"/>
      </w:divBdr>
    </w:div>
    <w:div w:id="743337983">
      <w:bodyDiv w:val="1"/>
      <w:marLeft w:val="0"/>
      <w:marRight w:val="0"/>
      <w:marTop w:val="0"/>
      <w:marBottom w:val="0"/>
      <w:divBdr>
        <w:top w:val="none" w:sz="0" w:space="0" w:color="auto"/>
        <w:left w:val="none" w:sz="0" w:space="0" w:color="auto"/>
        <w:bottom w:val="none" w:sz="0" w:space="0" w:color="auto"/>
        <w:right w:val="none" w:sz="0" w:space="0" w:color="auto"/>
      </w:divBdr>
    </w:div>
    <w:div w:id="889726548">
      <w:bodyDiv w:val="1"/>
      <w:marLeft w:val="0"/>
      <w:marRight w:val="0"/>
      <w:marTop w:val="0"/>
      <w:marBottom w:val="0"/>
      <w:divBdr>
        <w:top w:val="none" w:sz="0" w:space="0" w:color="auto"/>
        <w:left w:val="none" w:sz="0" w:space="0" w:color="auto"/>
        <w:bottom w:val="none" w:sz="0" w:space="0" w:color="auto"/>
        <w:right w:val="none" w:sz="0" w:space="0" w:color="auto"/>
      </w:divBdr>
    </w:div>
    <w:div w:id="1100838663">
      <w:bodyDiv w:val="1"/>
      <w:marLeft w:val="0"/>
      <w:marRight w:val="0"/>
      <w:marTop w:val="0"/>
      <w:marBottom w:val="0"/>
      <w:divBdr>
        <w:top w:val="none" w:sz="0" w:space="0" w:color="auto"/>
        <w:left w:val="none" w:sz="0" w:space="0" w:color="auto"/>
        <w:bottom w:val="none" w:sz="0" w:space="0" w:color="auto"/>
        <w:right w:val="none" w:sz="0" w:space="0" w:color="auto"/>
      </w:divBdr>
    </w:div>
    <w:div w:id="1113212889">
      <w:bodyDiv w:val="1"/>
      <w:marLeft w:val="0"/>
      <w:marRight w:val="0"/>
      <w:marTop w:val="0"/>
      <w:marBottom w:val="0"/>
      <w:divBdr>
        <w:top w:val="none" w:sz="0" w:space="0" w:color="auto"/>
        <w:left w:val="none" w:sz="0" w:space="0" w:color="auto"/>
        <w:bottom w:val="none" w:sz="0" w:space="0" w:color="auto"/>
        <w:right w:val="none" w:sz="0" w:space="0" w:color="auto"/>
      </w:divBdr>
    </w:div>
    <w:div w:id="1128209704">
      <w:bodyDiv w:val="1"/>
      <w:marLeft w:val="0"/>
      <w:marRight w:val="0"/>
      <w:marTop w:val="0"/>
      <w:marBottom w:val="0"/>
      <w:divBdr>
        <w:top w:val="none" w:sz="0" w:space="0" w:color="auto"/>
        <w:left w:val="none" w:sz="0" w:space="0" w:color="auto"/>
        <w:bottom w:val="none" w:sz="0" w:space="0" w:color="auto"/>
        <w:right w:val="none" w:sz="0" w:space="0" w:color="auto"/>
      </w:divBdr>
    </w:div>
    <w:div w:id="1145318586">
      <w:bodyDiv w:val="1"/>
      <w:marLeft w:val="0"/>
      <w:marRight w:val="0"/>
      <w:marTop w:val="0"/>
      <w:marBottom w:val="0"/>
      <w:divBdr>
        <w:top w:val="none" w:sz="0" w:space="0" w:color="auto"/>
        <w:left w:val="none" w:sz="0" w:space="0" w:color="auto"/>
        <w:bottom w:val="none" w:sz="0" w:space="0" w:color="auto"/>
        <w:right w:val="none" w:sz="0" w:space="0" w:color="auto"/>
      </w:divBdr>
      <w:divsChild>
        <w:div w:id="502547456">
          <w:marLeft w:val="0"/>
          <w:marRight w:val="0"/>
          <w:marTop w:val="0"/>
          <w:marBottom w:val="0"/>
          <w:divBdr>
            <w:top w:val="none" w:sz="0" w:space="0" w:color="auto"/>
            <w:left w:val="none" w:sz="0" w:space="0" w:color="auto"/>
            <w:bottom w:val="none" w:sz="0" w:space="0" w:color="auto"/>
            <w:right w:val="none" w:sz="0" w:space="0" w:color="auto"/>
          </w:divBdr>
          <w:divsChild>
            <w:div w:id="16209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0848">
      <w:bodyDiv w:val="1"/>
      <w:marLeft w:val="0"/>
      <w:marRight w:val="0"/>
      <w:marTop w:val="0"/>
      <w:marBottom w:val="0"/>
      <w:divBdr>
        <w:top w:val="none" w:sz="0" w:space="0" w:color="auto"/>
        <w:left w:val="none" w:sz="0" w:space="0" w:color="auto"/>
        <w:bottom w:val="none" w:sz="0" w:space="0" w:color="auto"/>
        <w:right w:val="none" w:sz="0" w:space="0" w:color="auto"/>
      </w:divBdr>
    </w:div>
    <w:div w:id="1200631201">
      <w:bodyDiv w:val="1"/>
      <w:marLeft w:val="0"/>
      <w:marRight w:val="0"/>
      <w:marTop w:val="0"/>
      <w:marBottom w:val="0"/>
      <w:divBdr>
        <w:top w:val="none" w:sz="0" w:space="0" w:color="auto"/>
        <w:left w:val="none" w:sz="0" w:space="0" w:color="auto"/>
        <w:bottom w:val="none" w:sz="0" w:space="0" w:color="auto"/>
        <w:right w:val="none" w:sz="0" w:space="0" w:color="auto"/>
      </w:divBdr>
      <w:divsChild>
        <w:div w:id="1373992301">
          <w:marLeft w:val="0"/>
          <w:marRight w:val="0"/>
          <w:marTop w:val="0"/>
          <w:marBottom w:val="0"/>
          <w:divBdr>
            <w:top w:val="none" w:sz="0" w:space="0" w:color="auto"/>
            <w:left w:val="none" w:sz="0" w:space="0" w:color="auto"/>
            <w:bottom w:val="none" w:sz="0" w:space="0" w:color="auto"/>
            <w:right w:val="none" w:sz="0" w:space="0" w:color="auto"/>
          </w:divBdr>
          <w:divsChild>
            <w:div w:id="450635691">
              <w:marLeft w:val="0"/>
              <w:marRight w:val="0"/>
              <w:marTop w:val="0"/>
              <w:marBottom w:val="0"/>
              <w:divBdr>
                <w:top w:val="none" w:sz="0" w:space="0" w:color="auto"/>
                <w:left w:val="none" w:sz="0" w:space="0" w:color="auto"/>
                <w:bottom w:val="none" w:sz="0" w:space="0" w:color="auto"/>
                <w:right w:val="none" w:sz="0" w:space="0" w:color="auto"/>
              </w:divBdr>
            </w:div>
            <w:div w:id="1094202092">
              <w:marLeft w:val="0"/>
              <w:marRight w:val="0"/>
              <w:marTop w:val="0"/>
              <w:marBottom w:val="0"/>
              <w:divBdr>
                <w:top w:val="none" w:sz="0" w:space="0" w:color="auto"/>
                <w:left w:val="none" w:sz="0" w:space="0" w:color="auto"/>
                <w:bottom w:val="none" w:sz="0" w:space="0" w:color="auto"/>
                <w:right w:val="none" w:sz="0" w:space="0" w:color="auto"/>
              </w:divBdr>
            </w:div>
          </w:divsChild>
        </w:div>
        <w:div w:id="1978415030">
          <w:marLeft w:val="0"/>
          <w:marRight w:val="0"/>
          <w:marTop w:val="0"/>
          <w:marBottom w:val="0"/>
          <w:divBdr>
            <w:top w:val="none" w:sz="0" w:space="0" w:color="auto"/>
            <w:left w:val="none" w:sz="0" w:space="0" w:color="auto"/>
            <w:bottom w:val="none" w:sz="0" w:space="0" w:color="auto"/>
            <w:right w:val="none" w:sz="0" w:space="0" w:color="auto"/>
          </w:divBdr>
        </w:div>
      </w:divsChild>
    </w:div>
    <w:div w:id="1229001490">
      <w:bodyDiv w:val="1"/>
      <w:marLeft w:val="0"/>
      <w:marRight w:val="0"/>
      <w:marTop w:val="0"/>
      <w:marBottom w:val="0"/>
      <w:divBdr>
        <w:top w:val="none" w:sz="0" w:space="0" w:color="auto"/>
        <w:left w:val="none" w:sz="0" w:space="0" w:color="auto"/>
        <w:bottom w:val="none" w:sz="0" w:space="0" w:color="auto"/>
        <w:right w:val="none" w:sz="0" w:space="0" w:color="auto"/>
      </w:divBdr>
    </w:div>
    <w:div w:id="1250382336">
      <w:bodyDiv w:val="1"/>
      <w:marLeft w:val="0"/>
      <w:marRight w:val="0"/>
      <w:marTop w:val="0"/>
      <w:marBottom w:val="0"/>
      <w:divBdr>
        <w:top w:val="none" w:sz="0" w:space="0" w:color="auto"/>
        <w:left w:val="none" w:sz="0" w:space="0" w:color="auto"/>
        <w:bottom w:val="none" w:sz="0" w:space="0" w:color="auto"/>
        <w:right w:val="none" w:sz="0" w:space="0" w:color="auto"/>
      </w:divBdr>
    </w:div>
    <w:div w:id="1253398726">
      <w:bodyDiv w:val="1"/>
      <w:marLeft w:val="0"/>
      <w:marRight w:val="0"/>
      <w:marTop w:val="0"/>
      <w:marBottom w:val="0"/>
      <w:divBdr>
        <w:top w:val="none" w:sz="0" w:space="0" w:color="auto"/>
        <w:left w:val="none" w:sz="0" w:space="0" w:color="auto"/>
        <w:bottom w:val="none" w:sz="0" w:space="0" w:color="auto"/>
        <w:right w:val="none" w:sz="0" w:space="0" w:color="auto"/>
      </w:divBdr>
    </w:div>
    <w:div w:id="1294020192">
      <w:bodyDiv w:val="1"/>
      <w:marLeft w:val="0"/>
      <w:marRight w:val="0"/>
      <w:marTop w:val="0"/>
      <w:marBottom w:val="0"/>
      <w:divBdr>
        <w:top w:val="none" w:sz="0" w:space="0" w:color="auto"/>
        <w:left w:val="none" w:sz="0" w:space="0" w:color="auto"/>
        <w:bottom w:val="none" w:sz="0" w:space="0" w:color="auto"/>
        <w:right w:val="none" w:sz="0" w:space="0" w:color="auto"/>
      </w:divBdr>
      <w:divsChild>
        <w:div w:id="1704747143">
          <w:marLeft w:val="0"/>
          <w:marRight w:val="0"/>
          <w:marTop w:val="0"/>
          <w:marBottom w:val="0"/>
          <w:divBdr>
            <w:top w:val="none" w:sz="0" w:space="0" w:color="auto"/>
            <w:left w:val="none" w:sz="0" w:space="0" w:color="auto"/>
            <w:bottom w:val="none" w:sz="0" w:space="0" w:color="auto"/>
            <w:right w:val="none" w:sz="0" w:space="0" w:color="auto"/>
          </w:divBdr>
          <w:divsChild>
            <w:div w:id="5181786">
              <w:marLeft w:val="0"/>
              <w:marRight w:val="0"/>
              <w:marTop w:val="0"/>
              <w:marBottom w:val="0"/>
              <w:divBdr>
                <w:top w:val="none" w:sz="0" w:space="0" w:color="auto"/>
                <w:left w:val="none" w:sz="0" w:space="0" w:color="auto"/>
                <w:bottom w:val="none" w:sz="0" w:space="0" w:color="auto"/>
                <w:right w:val="none" w:sz="0" w:space="0" w:color="auto"/>
              </w:divBdr>
            </w:div>
            <w:div w:id="2136749306">
              <w:marLeft w:val="0"/>
              <w:marRight w:val="0"/>
              <w:marTop w:val="0"/>
              <w:marBottom w:val="0"/>
              <w:divBdr>
                <w:top w:val="none" w:sz="0" w:space="0" w:color="auto"/>
                <w:left w:val="none" w:sz="0" w:space="0" w:color="auto"/>
                <w:bottom w:val="none" w:sz="0" w:space="0" w:color="auto"/>
                <w:right w:val="none" w:sz="0" w:space="0" w:color="auto"/>
              </w:divBdr>
              <w:divsChild>
                <w:div w:id="184171204">
                  <w:marLeft w:val="0"/>
                  <w:marRight w:val="0"/>
                  <w:marTop w:val="0"/>
                  <w:marBottom w:val="0"/>
                  <w:divBdr>
                    <w:top w:val="none" w:sz="0" w:space="0" w:color="auto"/>
                    <w:left w:val="none" w:sz="0" w:space="0" w:color="auto"/>
                    <w:bottom w:val="none" w:sz="0" w:space="0" w:color="auto"/>
                    <w:right w:val="none" w:sz="0" w:space="0" w:color="auto"/>
                  </w:divBdr>
                </w:div>
                <w:div w:id="12041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9447">
          <w:marLeft w:val="0"/>
          <w:marRight w:val="0"/>
          <w:marTop w:val="0"/>
          <w:marBottom w:val="0"/>
          <w:divBdr>
            <w:top w:val="none" w:sz="0" w:space="0" w:color="auto"/>
            <w:left w:val="none" w:sz="0" w:space="0" w:color="auto"/>
            <w:bottom w:val="none" w:sz="0" w:space="0" w:color="auto"/>
            <w:right w:val="none" w:sz="0" w:space="0" w:color="auto"/>
          </w:divBdr>
          <w:divsChild>
            <w:div w:id="1269236902">
              <w:marLeft w:val="0"/>
              <w:marRight w:val="0"/>
              <w:marTop w:val="0"/>
              <w:marBottom w:val="0"/>
              <w:divBdr>
                <w:top w:val="none" w:sz="0" w:space="0" w:color="auto"/>
                <w:left w:val="none" w:sz="0" w:space="0" w:color="auto"/>
                <w:bottom w:val="none" w:sz="0" w:space="0" w:color="auto"/>
                <w:right w:val="none" w:sz="0" w:space="0" w:color="auto"/>
              </w:divBdr>
              <w:divsChild>
                <w:div w:id="3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06816">
      <w:bodyDiv w:val="1"/>
      <w:marLeft w:val="0"/>
      <w:marRight w:val="0"/>
      <w:marTop w:val="0"/>
      <w:marBottom w:val="0"/>
      <w:divBdr>
        <w:top w:val="none" w:sz="0" w:space="0" w:color="auto"/>
        <w:left w:val="none" w:sz="0" w:space="0" w:color="auto"/>
        <w:bottom w:val="none" w:sz="0" w:space="0" w:color="auto"/>
        <w:right w:val="none" w:sz="0" w:space="0" w:color="auto"/>
      </w:divBdr>
    </w:div>
    <w:div w:id="1340887162">
      <w:bodyDiv w:val="1"/>
      <w:marLeft w:val="0"/>
      <w:marRight w:val="0"/>
      <w:marTop w:val="0"/>
      <w:marBottom w:val="0"/>
      <w:divBdr>
        <w:top w:val="none" w:sz="0" w:space="0" w:color="auto"/>
        <w:left w:val="none" w:sz="0" w:space="0" w:color="auto"/>
        <w:bottom w:val="none" w:sz="0" w:space="0" w:color="auto"/>
        <w:right w:val="none" w:sz="0" w:space="0" w:color="auto"/>
      </w:divBdr>
      <w:divsChild>
        <w:div w:id="388921735">
          <w:marLeft w:val="0"/>
          <w:marRight w:val="0"/>
          <w:marTop w:val="0"/>
          <w:marBottom w:val="0"/>
          <w:divBdr>
            <w:top w:val="none" w:sz="0" w:space="0" w:color="auto"/>
            <w:left w:val="none" w:sz="0" w:space="0" w:color="auto"/>
            <w:bottom w:val="none" w:sz="0" w:space="0" w:color="auto"/>
            <w:right w:val="none" w:sz="0" w:space="0" w:color="auto"/>
          </w:divBdr>
        </w:div>
        <w:div w:id="1600286895">
          <w:marLeft w:val="0"/>
          <w:marRight w:val="0"/>
          <w:marTop w:val="0"/>
          <w:marBottom w:val="0"/>
          <w:divBdr>
            <w:top w:val="none" w:sz="0" w:space="0" w:color="auto"/>
            <w:left w:val="none" w:sz="0" w:space="0" w:color="auto"/>
            <w:bottom w:val="none" w:sz="0" w:space="0" w:color="auto"/>
            <w:right w:val="none" w:sz="0" w:space="0" w:color="auto"/>
          </w:divBdr>
        </w:div>
      </w:divsChild>
    </w:div>
    <w:div w:id="1345011981">
      <w:bodyDiv w:val="1"/>
      <w:marLeft w:val="0"/>
      <w:marRight w:val="0"/>
      <w:marTop w:val="0"/>
      <w:marBottom w:val="0"/>
      <w:divBdr>
        <w:top w:val="none" w:sz="0" w:space="0" w:color="auto"/>
        <w:left w:val="none" w:sz="0" w:space="0" w:color="auto"/>
        <w:bottom w:val="none" w:sz="0" w:space="0" w:color="auto"/>
        <w:right w:val="none" w:sz="0" w:space="0" w:color="auto"/>
      </w:divBdr>
    </w:div>
    <w:div w:id="1360200281">
      <w:bodyDiv w:val="1"/>
      <w:marLeft w:val="0"/>
      <w:marRight w:val="0"/>
      <w:marTop w:val="0"/>
      <w:marBottom w:val="0"/>
      <w:divBdr>
        <w:top w:val="none" w:sz="0" w:space="0" w:color="auto"/>
        <w:left w:val="none" w:sz="0" w:space="0" w:color="auto"/>
        <w:bottom w:val="none" w:sz="0" w:space="0" w:color="auto"/>
        <w:right w:val="none" w:sz="0" w:space="0" w:color="auto"/>
      </w:divBdr>
    </w:div>
    <w:div w:id="1383560117">
      <w:bodyDiv w:val="1"/>
      <w:marLeft w:val="0"/>
      <w:marRight w:val="0"/>
      <w:marTop w:val="0"/>
      <w:marBottom w:val="0"/>
      <w:divBdr>
        <w:top w:val="none" w:sz="0" w:space="0" w:color="auto"/>
        <w:left w:val="none" w:sz="0" w:space="0" w:color="auto"/>
        <w:bottom w:val="none" w:sz="0" w:space="0" w:color="auto"/>
        <w:right w:val="none" w:sz="0" w:space="0" w:color="auto"/>
      </w:divBdr>
      <w:divsChild>
        <w:div w:id="1058480142">
          <w:marLeft w:val="0"/>
          <w:marRight w:val="0"/>
          <w:marTop w:val="0"/>
          <w:marBottom w:val="0"/>
          <w:divBdr>
            <w:top w:val="none" w:sz="0" w:space="0" w:color="auto"/>
            <w:left w:val="none" w:sz="0" w:space="0" w:color="auto"/>
            <w:bottom w:val="none" w:sz="0" w:space="0" w:color="auto"/>
            <w:right w:val="none" w:sz="0" w:space="0" w:color="auto"/>
          </w:divBdr>
          <w:divsChild>
            <w:div w:id="13100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51698">
      <w:bodyDiv w:val="1"/>
      <w:marLeft w:val="0"/>
      <w:marRight w:val="0"/>
      <w:marTop w:val="0"/>
      <w:marBottom w:val="0"/>
      <w:divBdr>
        <w:top w:val="none" w:sz="0" w:space="0" w:color="auto"/>
        <w:left w:val="none" w:sz="0" w:space="0" w:color="auto"/>
        <w:bottom w:val="none" w:sz="0" w:space="0" w:color="auto"/>
        <w:right w:val="none" w:sz="0" w:space="0" w:color="auto"/>
      </w:divBdr>
    </w:div>
    <w:div w:id="1565945723">
      <w:bodyDiv w:val="1"/>
      <w:marLeft w:val="0"/>
      <w:marRight w:val="0"/>
      <w:marTop w:val="0"/>
      <w:marBottom w:val="0"/>
      <w:divBdr>
        <w:top w:val="none" w:sz="0" w:space="0" w:color="auto"/>
        <w:left w:val="none" w:sz="0" w:space="0" w:color="auto"/>
        <w:bottom w:val="none" w:sz="0" w:space="0" w:color="auto"/>
        <w:right w:val="none" w:sz="0" w:space="0" w:color="auto"/>
      </w:divBdr>
    </w:div>
    <w:div w:id="1582912711">
      <w:bodyDiv w:val="1"/>
      <w:marLeft w:val="0"/>
      <w:marRight w:val="0"/>
      <w:marTop w:val="0"/>
      <w:marBottom w:val="0"/>
      <w:divBdr>
        <w:top w:val="none" w:sz="0" w:space="0" w:color="auto"/>
        <w:left w:val="none" w:sz="0" w:space="0" w:color="auto"/>
        <w:bottom w:val="none" w:sz="0" w:space="0" w:color="auto"/>
        <w:right w:val="none" w:sz="0" w:space="0" w:color="auto"/>
      </w:divBdr>
    </w:div>
    <w:div w:id="1586111896">
      <w:bodyDiv w:val="1"/>
      <w:marLeft w:val="0"/>
      <w:marRight w:val="0"/>
      <w:marTop w:val="0"/>
      <w:marBottom w:val="0"/>
      <w:divBdr>
        <w:top w:val="none" w:sz="0" w:space="0" w:color="auto"/>
        <w:left w:val="none" w:sz="0" w:space="0" w:color="auto"/>
        <w:bottom w:val="none" w:sz="0" w:space="0" w:color="auto"/>
        <w:right w:val="none" w:sz="0" w:space="0" w:color="auto"/>
      </w:divBdr>
    </w:div>
    <w:div w:id="1627737863">
      <w:bodyDiv w:val="1"/>
      <w:marLeft w:val="0"/>
      <w:marRight w:val="0"/>
      <w:marTop w:val="0"/>
      <w:marBottom w:val="0"/>
      <w:divBdr>
        <w:top w:val="none" w:sz="0" w:space="0" w:color="auto"/>
        <w:left w:val="none" w:sz="0" w:space="0" w:color="auto"/>
        <w:bottom w:val="none" w:sz="0" w:space="0" w:color="auto"/>
        <w:right w:val="none" w:sz="0" w:space="0" w:color="auto"/>
      </w:divBdr>
    </w:div>
    <w:div w:id="1714040073">
      <w:bodyDiv w:val="1"/>
      <w:marLeft w:val="0"/>
      <w:marRight w:val="0"/>
      <w:marTop w:val="0"/>
      <w:marBottom w:val="0"/>
      <w:divBdr>
        <w:top w:val="none" w:sz="0" w:space="0" w:color="auto"/>
        <w:left w:val="none" w:sz="0" w:space="0" w:color="auto"/>
        <w:bottom w:val="none" w:sz="0" w:space="0" w:color="auto"/>
        <w:right w:val="none" w:sz="0" w:space="0" w:color="auto"/>
      </w:divBdr>
    </w:div>
    <w:div w:id="1797942679">
      <w:bodyDiv w:val="1"/>
      <w:marLeft w:val="0"/>
      <w:marRight w:val="0"/>
      <w:marTop w:val="0"/>
      <w:marBottom w:val="0"/>
      <w:divBdr>
        <w:top w:val="none" w:sz="0" w:space="0" w:color="auto"/>
        <w:left w:val="none" w:sz="0" w:space="0" w:color="auto"/>
        <w:bottom w:val="none" w:sz="0" w:space="0" w:color="auto"/>
        <w:right w:val="none" w:sz="0" w:space="0" w:color="auto"/>
      </w:divBdr>
    </w:div>
    <w:div w:id="1807504164">
      <w:bodyDiv w:val="1"/>
      <w:marLeft w:val="0"/>
      <w:marRight w:val="0"/>
      <w:marTop w:val="0"/>
      <w:marBottom w:val="0"/>
      <w:divBdr>
        <w:top w:val="none" w:sz="0" w:space="0" w:color="auto"/>
        <w:left w:val="none" w:sz="0" w:space="0" w:color="auto"/>
        <w:bottom w:val="none" w:sz="0" w:space="0" w:color="auto"/>
        <w:right w:val="none" w:sz="0" w:space="0" w:color="auto"/>
      </w:divBdr>
    </w:div>
    <w:div w:id="1835097636">
      <w:bodyDiv w:val="1"/>
      <w:marLeft w:val="0"/>
      <w:marRight w:val="0"/>
      <w:marTop w:val="0"/>
      <w:marBottom w:val="0"/>
      <w:divBdr>
        <w:top w:val="none" w:sz="0" w:space="0" w:color="auto"/>
        <w:left w:val="none" w:sz="0" w:space="0" w:color="auto"/>
        <w:bottom w:val="none" w:sz="0" w:space="0" w:color="auto"/>
        <w:right w:val="none" w:sz="0" w:space="0" w:color="auto"/>
      </w:divBdr>
    </w:div>
    <w:div w:id="1866864453">
      <w:bodyDiv w:val="1"/>
      <w:marLeft w:val="0"/>
      <w:marRight w:val="0"/>
      <w:marTop w:val="0"/>
      <w:marBottom w:val="0"/>
      <w:divBdr>
        <w:top w:val="none" w:sz="0" w:space="0" w:color="auto"/>
        <w:left w:val="none" w:sz="0" w:space="0" w:color="auto"/>
        <w:bottom w:val="none" w:sz="0" w:space="0" w:color="auto"/>
        <w:right w:val="none" w:sz="0" w:space="0" w:color="auto"/>
      </w:divBdr>
    </w:div>
    <w:div w:id="1894609577">
      <w:bodyDiv w:val="1"/>
      <w:marLeft w:val="0"/>
      <w:marRight w:val="0"/>
      <w:marTop w:val="0"/>
      <w:marBottom w:val="0"/>
      <w:divBdr>
        <w:top w:val="none" w:sz="0" w:space="0" w:color="auto"/>
        <w:left w:val="none" w:sz="0" w:space="0" w:color="auto"/>
        <w:bottom w:val="none" w:sz="0" w:space="0" w:color="auto"/>
        <w:right w:val="none" w:sz="0" w:space="0" w:color="auto"/>
      </w:divBdr>
    </w:div>
    <w:div w:id="1933120556">
      <w:bodyDiv w:val="1"/>
      <w:marLeft w:val="0"/>
      <w:marRight w:val="0"/>
      <w:marTop w:val="0"/>
      <w:marBottom w:val="0"/>
      <w:divBdr>
        <w:top w:val="none" w:sz="0" w:space="0" w:color="auto"/>
        <w:left w:val="none" w:sz="0" w:space="0" w:color="auto"/>
        <w:bottom w:val="none" w:sz="0" w:space="0" w:color="auto"/>
        <w:right w:val="none" w:sz="0" w:space="0" w:color="auto"/>
      </w:divBdr>
    </w:div>
    <w:div w:id="1937060524">
      <w:bodyDiv w:val="1"/>
      <w:marLeft w:val="0"/>
      <w:marRight w:val="0"/>
      <w:marTop w:val="0"/>
      <w:marBottom w:val="0"/>
      <w:divBdr>
        <w:top w:val="none" w:sz="0" w:space="0" w:color="auto"/>
        <w:left w:val="none" w:sz="0" w:space="0" w:color="auto"/>
        <w:bottom w:val="none" w:sz="0" w:space="0" w:color="auto"/>
        <w:right w:val="none" w:sz="0" w:space="0" w:color="auto"/>
      </w:divBdr>
    </w:div>
    <w:div w:id="1992564110">
      <w:bodyDiv w:val="1"/>
      <w:marLeft w:val="0"/>
      <w:marRight w:val="0"/>
      <w:marTop w:val="0"/>
      <w:marBottom w:val="0"/>
      <w:divBdr>
        <w:top w:val="none" w:sz="0" w:space="0" w:color="auto"/>
        <w:left w:val="none" w:sz="0" w:space="0" w:color="auto"/>
        <w:bottom w:val="none" w:sz="0" w:space="0" w:color="auto"/>
        <w:right w:val="none" w:sz="0" w:space="0" w:color="auto"/>
      </w:divBdr>
    </w:div>
    <w:div w:id="2025210559">
      <w:bodyDiv w:val="1"/>
      <w:marLeft w:val="0"/>
      <w:marRight w:val="0"/>
      <w:marTop w:val="0"/>
      <w:marBottom w:val="0"/>
      <w:divBdr>
        <w:top w:val="none" w:sz="0" w:space="0" w:color="auto"/>
        <w:left w:val="none" w:sz="0" w:space="0" w:color="auto"/>
        <w:bottom w:val="none" w:sz="0" w:space="0" w:color="auto"/>
        <w:right w:val="none" w:sz="0" w:space="0" w:color="auto"/>
      </w:divBdr>
    </w:div>
    <w:div w:id="2028864266">
      <w:bodyDiv w:val="1"/>
      <w:marLeft w:val="0"/>
      <w:marRight w:val="0"/>
      <w:marTop w:val="0"/>
      <w:marBottom w:val="0"/>
      <w:divBdr>
        <w:top w:val="none" w:sz="0" w:space="0" w:color="auto"/>
        <w:left w:val="none" w:sz="0" w:space="0" w:color="auto"/>
        <w:bottom w:val="none" w:sz="0" w:space="0" w:color="auto"/>
        <w:right w:val="none" w:sz="0" w:space="0" w:color="auto"/>
      </w:divBdr>
    </w:div>
    <w:div w:id="2055617696">
      <w:bodyDiv w:val="1"/>
      <w:marLeft w:val="0"/>
      <w:marRight w:val="0"/>
      <w:marTop w:val="0"/>
      <w:marBottom w:val="0"/>
      <w:divBdr>
        <w:top w:val="none" w:sz="0" w:space="0" w:color="auto"/>
        <w:left w:val="none" w:sz="0" w:space="0" w:color="auto"/>
        <w:bottom w:val="none" w:sz="0" w:space="0" w:color="auto"/>
        <w:right w:val="none" w:sz="0" w:space="0" w:color="auto"/>
      </w:divBdr>
    </w:div>
    <w:div w:id="20980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yperlink" Target="https://violentaimpotrivafemeilor.r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Claudia%20Documents\LIDEEA\Tema%204%20-%20Date\Analiza%20dat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Claudia%20Documents\LIDEEA\Tema%204%20-%20Date\Analiza%20da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Claudia%20Documents\LIDEEA\Tema%204%20-%20Date\Analiza%20dat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Claudia%20Documents\LIDEEA\Tema%204%20-%20Date\Analiza%20dat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Claudia%20Documents\LIDEEA\Tema%204%20-%20Date\Analiza%20dat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Claudia%20Documents\LIDEEA\Tema%204%20-%20Date\Analiza%20dat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Claudia%20Documents\LIDEEA\Tema%204%20-%20Date\Analiza%20dat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Claudia%20Documents\LIDEEA\Tema%204%20-%20Date\Analiza%20date.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AROPE!$B$6</c:f>
              <c:strCache>
                <c:ptCount val="1"/>
                <c:pt idx="0">
                  <c:v>Total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AROPE!$C$5:$M$5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AROPE!$C$6:$M$6</c:f>
              <c:numCache>
                <c:formatCode>#,##0.0</c:formatCode>
                <c:ptCount val="11"/>
                <c:pt idx="0">
                  <c:v>41.5</c:v>
                </c:pt>
                <c:pt idx="1">
                  <c:v>40.9</c:v>
                </c:pt>
                <c:pt idx="2">
                  <c:v>43.2</c:v>
                </c:pt>
                <c:pt idx="3">
                  <c:v>41.9</c:v>
                </c:pt>
                <c:pt idx="4">
                  <c:v>40.299999999999997</c:v>
                </c:pt>
                <c:pt idx="5">
                  <c:v>37.4</c:v>
                </c:pt>
                <c:pt idx="6">
                  <c:v>38.799999999999997</c:v>
                </c:pt>
                <c:pt idx="7">
                  <c:v>35.700000000000003</c:v>
                </c:pt>
                <c:pt idx="8">
                  <c:v>32.5</c:v>
                </c:pt>
                <c:pt idx="9">
                  <c:v>31.2</c:v>
                </c:pt>
                <c:pt idx="10">
                  <c:v>30.4</c:v>
                </c:pt>
              </c:numCache>
            </c:numRef>
          </c:val>
          <c:smooth val="0"/>
          <c:extLst>
            <c:ext xmlns:c16="http://schemas.microsoft.com/office/drawing/2014/chart" uri="{C3380CC4-5D6E-409C-BE32-E72D297353CC}">
              <c16:uniqueId val="{00000000-6B6F-432D-9D7D-FD72155063F2}"/>
            </c:ext>
          </c:extLst>
        </c:ser>
        <c:ser>
          <c:idx val="1"/>
          <c:order val="1"/>
          <c:tx>
            <c:strRef>
              <c:f>AROPE!$B$7</c:f>
              <c:strCache>
                <c:ptCount val="1"/>
                <c:pt idx="0">
                  <c:v>0-17 ani</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AROPE!$C$5:$M$5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AROPE!$C$7:$M$7</c:f>
              <c:numCache>
                <c:formatCode>#,##0.0</c:formatCode>
                <c:ptCount val="11"/>
                <c:pt idx="0">
                  <c:v>48.1</c:v>
                </c:pt>
                <c:pt idx="1">
                  <c:v>49.2</c:v>
                </c:pt>
                <c:pt idx="2">
                  <c:v>52.5</c:v>
                </c:pt>
                <c:pt idx="3">
                  <c:v>51.4</c:v>
                </c:pt>
                <c:pt idx="4">
                  <c:v>50.7</c:v>
                </c:pt>
                <c:pt idx="5">
                  <c:v>46.8</c:v>
                </c:pt>
                <c:pt idx="6">
                  <c:v>49.2</c:v>
                </c:pt>
                <c:pt idx="7">
                  <c:v>41.7</c:v>
                </c:pt>
                <c:pt idx="8">
                  <c:v>38.1</c:v>
                </c:pt>
                <c:pt idx="9">
                  <c:v>35.799999999999997</c:v>
                </c:pt>
                <c:pt idx="10">
                  <c:v>36.299999999999997</c:v>
                </c:pt>
              </c:numCache>
            </c:numRef>
          </c:val>
          <c:smooth val="0"/>
          <c:extLst>
            <c:ext xmlns:c16="http://schemas.microsoft.com/office/drawing/2014/chart" uri="{C3380CC4-5D6E-409C-BE32-E72D297353CC}">
              <c16:uniqueId val="{00000001-6B6F-432D-9D7D-FD72155063F2}"/>
            </c:ext>
          </c:extLst>
        </c:ser>
        <c:ser>
          <c:idx val="2"/>
          <c:order val="2"/>
          <c:tx>
            <c:strRef>
              <c:f>AROPE!$B$8</c:f>
              <c:strCache>
                <c:ptCount val="1"/>
                <c:pt idx="0">
                  <c:v>18-64 ani</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AROPE!$C$5:$M$5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AROPE!$C$8:$M$8</c:f>
              <c:numCache>
                <c:formatCode>#,##0.0</c:formatCode>
                <c:ptCount val="11"/>
                <c:pt idx="0">
                  <c:v>39.9</c:v>
                </c:pt>
                <c:pt idx="1">
                  <c:v>39.700000000000003</c:v>
                </c:pt>
                <c:pt idx="2">
                  <c:v>42.3</c:v>
                </c:pt>
                <c:pt idx="3">
                  <c:v>40.700000000000003</c:v>
                </c:pt>
                <c:pt idx="4">
                  <c:v>38.700000000000003</c:v>
                </c:pt>
                <c:pt idx="5">
                  <c:v>35.700000000000003</c:v>
                </c:pt>
                <c:pt idx="6">
                  <c:v>37</c:v>
                </c:pt>
                <c:pt idx="7">
                  <c:v>34.6</c:v>
                </c:pt>
                <c:pt idx="8">
                  <c:v>30.7</c:v>
                </c:pt>
                <c:pt idx="9">
                  <c:v>29</c:v>
                </c:pt>
                <c:pt idx="10">
                  <c:v>28.2</c:v>
                </c:pt>
              </c:numCache>
            </c:numRef>
          </c:val>
          <c:smooth val="0"/>
          <c:extLst>
            <c:ext xmlns:c16="http://schemas.microsoft.com/office/drawing/2014/chart" uri="{C3380CC4-5D6E-409C-BE32-E72D297353CC}">
              <c16:uniqueId val="{00000002-6B6F-432D-9D7D-FD72155063F2}"/>
            </c:ext>
          </c:extLst>
        </c:ser>
        <c:ser>
          <c:idx val="3"/>
          <c:order val="3"/>
          <c:tx>
            <c:strRef>
              <c:f>AROPE!$B$9</c:f>
              <c:strCache>
                <c:ptCount val="1"/>
                <c:pt idx="0">
                  <c:v>65+ ani</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AROPE!$C$5:$M$5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AROPE!$C$9:$M$9</c:f>
              <c:numCache>
                <c:formatCode>#,##0.0</c:formatCode>
                <c:ptCount val="11"/>
                <c:pt idx="0">
                  <c:v>40.1</c:v>
                </c:pt>
                <c:pt idx="1">
                  <c:v>36.200000000000003</c:v>
                </c:pt>
                <c:pt idx="2">
                  <c:v>35.4</c:v>
                </c:pt>
                <c:pt idx="3">
                  <c:v>35.799999999999997</c:v>
                </c:pt>
                <c:pt idx="4">
                  <c:v>35</c:v>
                </c:pt>
                <c:pt idx="5">
                  <c:v>33.299999999999997</c:v>
                </c:pt>
                <c:pt idx="6">
                  <c:v>34</c:v>
                </c:pt>
                <c:pt idx="7">
                  <c:v>33.200000000000003</c:v>
                </c:pt>
                <c:pt idx="8">
                  <c:v>32.799999999999997</c:v>
                </c:pt>
                <c:pt idx="9">
                  <c:v>33.9</c:v>
                </c:pt>
                <c:pt idx="10">
                  <c:v>31.5</c:v>
                </c:pt>
              </c:numCache>
            </c:numRef>
          </c:val>
          <c:smooth val="0"/>
          <c:extLst>
            <c:ext xmlns:c16="http://schemas.microsoft.com/office/drawing/2014/chart" uri="{C3380CC4-5D6E-409C-BE32-E72D297353CC}">
              <c16:uniqueId val="{00000003-6B6F-432D-9D7D-FD72155063F2}"/>
            </c:ext>
          </c:extLst>
        </c:ser>
        <c:dLbls>
          <c:showLegendKey val="0"/>
          <c:showVal val="0"/>
          <c:showCatName val="0"/>
          <c:showSerName val="0"/>
          <c:showPercent val="0"/>
          <c:showBubbleSize val="0"/>
        </c:dLbls>
        <c:marker val="1"/>
        <c:smooth val="0"/>
        <c:axId val="576163584"/>
        <c:axId val="576166536"/>
        <c:extLst>
          <c:ext xmlns:c15="http://schemas.microsoft.com/office/drawing/2012/chart" uri="{02D57815-91ED-43cb-92C2-25804820EDAC}">
            <c15:filteredLineSeries>
              <c15:ser>
                <c:idx val="4"/>
                <c:order val="4"/>
                <c:tx>
                  <c:strRef>
                    <c:extLst>
                      <c:ext uri="{02D57815-91ED-43cb-92C2-25804820EDAC}">
                        <c15:formulaRef>
                          <c15:sqref>AROPE!$B$10</c15:sqref>
                        </c15:formulaRef>
                      </c:ext>
                    </c:extLst>
                    <c:strCache>
                      <c:ptCount val="1"/>
                      <c:pt idx="0">
                        <c:v>75+ ani</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c:ext uri="{02D57815-91ED-43cb-92C2-25804820EDAC}">
                        <c15:formulaRef>
                          <c15:sqref>AROPE!$C$5:$M$5</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c:ext uri="{02D57815-91ED-43cb-92C2-25804820EDAC}">
                        <c15:formulaRef>
                          <c15:sqref>AROPE!$C$10:$M$10</c15:sqref>
                        </c15:formulaRef>
                      </c:ext>
                    </c:extLst>
                    <c:numCache>
                      <c:formatCode>#,##0.0</c:formatCode>
                      <c:ptCount val="11"/>
                      <c:pt idx="0">
                        <c:v>45.6</c:v>
                      </c:pt>
                      <c:pt idx="1">
                        <c:v>42.4</c:v>
                      </c:pt>
                      <c:pt idx="2">
                        <c:v>39.9</c:v>
                      </c:pt>
                      <c:pt idx="3">
                        <c:v>40.799999999999997</c:v>
                      </c:pt>
                      <c:pt idx="4">
                        <c:v>41.2</c:v>
                      </c:pt>
                      <c:pt idx="5">
                        <c:v>39.1</c:v>
                      </c:pt>
                      <c:pt idx="6">
                        <c:v>39.9</c:v>
                      </c:pt>
                      <c:pt idx="7">
                        <c:v>39.799999999999997</c:v>
                      </c:pt>
                      <c:pt idx="8">
                        <c:v>39.700000000000003</c:v>
                      </c:pt>
                      <c:pt idx="9">
                        <c:v>41.4</c:v>
                      </c:pt>
                      <c:pt idx="10">
                        <c:v>37.799999999999997</c:v>
                      </c:pt>
                    </c:numCache>
                  </c:numRef>
                </c:val>
                <c:smooth val="0"/>
                <c:extLst>
                  <c:ext xmlns:c16="http://schemas.microsoft.com/office/drawing/2014/chart" uri="{C3380CC4-5D6E-409C-BE32-E72D297353CC}">
                    <c16:uniqueId val="{00000004-6B6F-432D-9D7D-FD72155063F2}"/>
                  </c:ext>
                </c:extLst>
              </c15:ser>
            </c15:filteredLineSeries>
          </c:ext>
        </c:extLst>
      </c:lineChart>
      <c:catAx>
        <c:axId val="57616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6166536"/>
        <c:crosses val="autoZero"/>
        <c:auto val="1"/>
        <c:lblAlgn val="ctr"/>
        <c:lblOffset val="100"/>
        <c:noMultiLvlLbl val="0"/>
      </c:catAx>
      <c:valAx>
        <c:axId val="576166536"/>
        <c:scaling>
          <c:orientation val="minMax"/>
          <c:min val="2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6163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AROPE!$Q$6</c:f>
              <c:strCache>
                <c:ptCount val="1"/>
                <c:pt idx="0">
                  <c:v>RO Total</c:v>
                </c:pt>
              </c:strCache>
            </c:strRef>
          </c:tx>
          <c:spPr>
            <a:solidFill>
              <a:schemeClr val="accent1"/>
            </a:solidFill>
            <a:ln>
              <a:noFill/>
            </a:ln>
            <a:effectLst/>
          </c:spPr>
          <c:invertIfNegative val="0"/>
          <c:cat>
            <c:numRef>
              <c:f>AROPE!$R$5:$AB$5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AROPE!$R$6:$AB$6</c:f>
              <c:numCache>
                <c:formatCode>#,##0.0</c:formatCode>
                <c:ptCount val="11"/>
                <c:pt idx="0">
                  <c:v>41.5</c:v>
                </c:pt>
                <c:pt idx="1">
                  <c:v>40.9</c:v>
                </c:pt>
                <c:pt idx="2">
                  <c:v>43.2</c:v>
                </c:pt>
                <c:pt idx="3">
                  <c:v>41.9</c:v>
                </c:pt>
                <c:pt idx="4">
                  <c:v>40.299999999999997</c:v>
                </c:pt>
                <c:pt idx="5">
                  <c:v>37.4</c:v>
                </c:pt>
                <c:pt idx="6">
                  <c:v>38.799999999999997</c:v>
                </c:pt>
                <c:pt idx="7">
                  <c:v>35.700000000000003</c:v>
                </c:pt>
                <c:pt idx="8">
                  <c:v>32.5</c:v>
                </c:pt>
                <c:pt idx="9">
                  <c:v>31.2</c:v>
                </c:pt>
                <c:pt idx="10">
                  <c:v>30.4</c:v>
                </c:pt>
              </c:numCache>
            </c:numRef>
          </c:val>
          <c:extLst>
            <c:ext xmlns:c16="http://schemas.microsoft.com/office/drawing/2014/chart" uri="{C3380CC4-5D6E-409C-BE32-E72D297353CC}">
              <c16:uniqueId val="{00000000-7EB2-4A53-995C-F3A1B52EEE28}"/>
            </c:ext>
          </c:extLst>
        </c:ser>
        <c:ser>
          <c:idx val="1"/>
          <c:order val="1"/>
          <c:tx>
            <c:strRef>
              <c:f>AROPE!$Q$7</c:f>
              <c:strCache>
                <c:ptCount val="1"/>
                <c:pt idx="0">
                  <c:v>RO 0-17 ani</c:v>
                </c:pt>
              </c:strCache>
            </c:strRef>
          </c:tx>
          <c:spPr>
            <a:solidFill>
              <a:schemeClr val="accent2"/>
            </a:solidFill>
            <a:ln>
              <a:noFill/>
            </a:ln>
            <a:effectLst/>
          </c:spPr>
          <c:invertIfNegative val="0"/>
          <c:cat>
            <c:numRef>
              <c:f>AROPE!$R$5:$AB$5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AROPE!$R$7:$AB$7</c:f>
              <c:numCache>
                <c:formatCode>#,##0.0</c:formatCode>
                <c:ptCount val="11"/>
                <c:pt idx="0">
                  <c:v>48.1</c:v>
                </c:pt>
                <c:pt idx="1">
                  <c:v>49.2</c:v>
                </c:pt>
                <c:pt idx="2">
                  <c:v>52.5</c:v>
                </c:pt>
                <c:pt idx="3">
                  <c:v>51.4</c:v>
                </c:pt>
                <c:pt idx="4">
                  <c:v>50.7</c:v>
                </c:pt>
                <c:pt idx="5">
                  <c:v>46.8</c:v>
                </c:pt>
                <c:pt idx="6">
                  <c:v>49.2</c:v>
                </c:pt>
                <c:pt idx="7">
                  <c:v>41.7</c:v>
                </c:pt>
                <c:pt idx="8">
                  <c:v>38.1</c:v>
                </c:pt>
                <c:pt idx="9">
                  <c:v>35.799999999999997</c:v>
                </c:pt>
                <c:pt idx="10">
                  <c:v>36.299999999999997</c:v>
                </c:pt>
              </c:numCache>
            </c:numRef>
          </c:val>
          <c:extLst>
            <c:ext xmlns:c16="http://schemas.microsoft.com/office/drawing/2014/chart" uri="{C3380CC4-5D6E-409C-BE32-E72D297353CC}">
              <c16:uniqueId val="{00000001-7EB2-4A53-995C-F3A1B52EEE28}"/>
            </c:ext>
          </c:extLst>
        </c:ser>
        <c:ser>
          <c:idx val="2"/>
          <c:order val="2"/>
          <c:tx>
            <c:strRef>
              <c:f>AROPE!$Q$8</c:f>
              <c:strCache>
                <c:ptCount val="1"/>
                <c:pt idx="0">
                  <c:v>RO 18-64 ani</c:v>
                </c:pt>
              </c:strCache>
            </c:strRef>
          </c:tx>
          <c:spPr>
            <a:solidFill>
              <a:schemeClr val="accent3"/>
            </a:solidFill>
            <a:ln>
              <a:noFill/>
            </a:ln>
            <a:effectLst/>
          </c:spPr>
          <c:invertIfNegative val="0"/>
          <c:cat>
            <c:numRef>
              <c:f>AROPE!$R$5:$AB$5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AROPE!$R$8:$AB$8</c:f>
              <c:numCache>
                <c:formatCode>#,##0.0</c:formatCode>
                <c:ptCount val="11"/>
                <c:pt idx="0">
                  <c:v>39.9</c:v>
                </c:pt>
                <c:pt idx="1">
                  <c:v>39.700000000000003</c:v>
                </c:pt>
                <c:pt idx="2">
                  <c:v>42.3</c:v>
                </c:pt>
                <c:pt idx="3">
                  <c:v>40.700000000000003</c:v>
                </c:pt>
                <c:pt idx="4">
                  <c:v>38.700000000000003</c:v>
                </c:pt>
                <c:pt idx="5">
                  <c:v>35.700000000000003</c:v>
                </c:pt>
                <c:pt idx="6">
                  <c:v>37</c:v>
                </c:pt>
                <c:pt idx="7">
                  <c:v>34.6</c:v>
                </c:pt>
                <c:pt idx="8">
                  <c:v>30.7</c:v>
                </c:pt>
                <c:pt idx="9">
                  <c:v>29</c:v>
                </c:pt>
                <c:pt idx="10">
                  <c:v>28.2</c:v>
                </c:pt>
              </c:numCache>
            </c:numRef>
          </c:val>
          <c:extLst>
            <c:ext xmlns:c16="http://schemas.microsoft.com/office/drawing/2014/chart" uri="{C3380CC4-5D6E-409C-BE32-E72D297353CC}">
              <c16:uniqueId val="{00000002-7EB2-4A53-995C-F3A1B52EEE28}"/>
            </c:ext>
          </c:extLst>
        </c:ser>
        <c:ser>
          <c:idx val="3"/>
          <c:order val="3"/>
          <c:tx>
            <c:strRef>
              <c:f>AROPE!$Q$9</c:f>
              <c:strCache>
                <c:ptCount val="1"/>
                <c:pt idx="0">
                  <c:v>RO 65+ ani</c:v>
                </c:pt>
              </c:strCache>
            </c:strRef>
          </c:tx>
          <c:spPr>
            <a:solidFill>
              <a:schemeClr val="accent4"/>
            </a:solidFill>
            <a:ln>
              <a:noFill/>
            </a:ln>
            <a:effectLst/>
          </c:spPr>
          <c:invertIfNegative val="0"/>
          <c:cat>
            <c:numRef>
              <c:f>AROPE!$R$5:$AB$5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AROPE!$R$9:$AB$9</c:f>
              <c:numCache>
                <c:formatCode>#,##0.0</c:formatCode>
                <c:ptCount val="11"/>
                <c:pt idx="0">
                  <c:v>40.1</c:v>
                </c:pt>
                <c:pt idx="1">
                  <c:v>36.200000000000003</c:v>
                </c:pt>
                <c:pt idx="2">
                  <c:v>35.4</c:v>
                </c:pt>
                <c:pt idx="3">
                  <c:v>35.799999999999997</c:v>
                </c:pt>
                <c:pt idx="4">
                  <c:v>35</c:v>
                </c:pt>
                <c:pt idx="5">
                  <c:v>33.299999999999997</c:v>
                </c:pt>
                <c:pt idx="6">
                  <c:v>34</c:v>
                </c:pt>
                <c:pt idx="7">
                  <c:v>33.200000000000003</c:v>
                </c:pt>
                <c:pt idx="8">
                  <c:v>32.799999999999997</c:v>
                </c:pt>
                <c:pt idx="9">
                  <c:v>33.9</c:v>
                </c:pt>
                <c:pt idx="10">
                  <c:v>31.5</c:v>
                </c:pt>
              </c:numCache>
            </c:numRef>
          </c:val>
          <c:extLst>
            <c:ext xmlns:c16="http://schemas.microsoft.com/office/drawing/2014/chart" uri="{C3380CC4-5D6E-409C-BE32-E72D297353CC}">
              <c16:uniqueId val="{00000003-7EB2-4A53-995C-F3A1B52EEE28}"/>
            </c:ext>
          </c:extLst>
        </c:ser>
        <c:ser>
          <c:idx val="4"/>
          <c:order val="4"/>
          <c:tx>
            <c:strRef>
              <c:f>AROPE!$Q$10</c:f>
              <c:strCache>
                <c:ptCount val="1"/>
                <c:pt idx="0">
                  <c:v>RO 75+ ani</c:v>
                </c:pt>
              </c:strCache>
            </c:strRef>
          </c:tx>
          <c:spPr>
            <a:solidFill>
              <a:schemeClr val="accent5"/>
            </a:solidFill>
            <a:ln>
              <a:noFill/>
            </a:ln>
            <a:effectLst/>
          </c:spPr>
          <c:invertIfNegative val="0"/>
          <c:cat>
            <c:numRef>
              <c:f>AROPE!$R$5:$AB$5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AROPE!$R$10:$AB$10</c:f>
              <c:numCache>
                <c:formatCode>#,##0.0</c:formatCode>
                <c:ptCount val="11"/>
                <c:pt idx="0">
                  <c:v>45.6</c:v>
                </c:pt>
                <c:pt idx="1">
                  <c:v>42.4</c:v>
                </c:pt>
                <c:pt idx="2">
                  <c:v>39.9</c:v>
                </c:pt>
                <c:pt idx="3">
                  <c:v>40.799999999999997</c:v>
                </c:pt>
                <c:pt idx="4">
                  <c:v>41.2</c:v>
                </c:pt>
                <c:pt idx="5">
                  <c:v>39.1</c:v>
                </c:pt>
                <c:pt idx="6">
                  <c:v>39.9</c:v>
                </c:pt>
                <c:pt idx="7">
                  <c:v>39.799999999999997</c:v>
                </c:pt>
                <c:pt idx="8">
                  <c:v>39.700000000000003</c:v>
                </c:pt>
                <c:pt idx="9">
                  <c:v>41.4</c:v>
                </c:pt>
                <c:pt idx="10">
                  <c:v>37.799999999999997</c:v>
                </c:pt>
              </c:numCache>
            </c:numRef>
          </c:val>
          <c:extLst>
            <c:ext xmlns:c16="http://schemas.microsoft.com/office/drawing/2014/chart" uri="{C3380CC4-5D6E-409C-BE32-E72D297353CC}">
              <c16:uniqueId val="{00000004-7EB2-4A53-995C-F3A1B52EEE28}"/>
            </c:ext>
          </c:extLst>
        </c:ser>
        <c:dLbls>
          <c:showLegendKey val="0"/>
          <c:showVal val="0"/>
          <c:showCatName val="0"/>
          <c:showSerName val="0"/>
          <c:showPercent val="0"/>
          <c:showBubbleSize val="0"/>
        </c:dLbls>
        <c:gapWidth val="219"/>
        <c:axId val="523518928"/>
        <c:axId val="523519912"/>
      </c:barChart>
      <c:lineChart>
        <c:grouping val="standard"/>
        <c:varyColors val="0"/>
        <c:ser>
          <c:idx val="5"/>
          <c:order val="5"/>
          <c:tx>
            <c:strRef>
              <c:f>AROPE!$Q$11</c:f>
              <c:strCache>
                <c:ptCount val="1"/>
                <c:pt idx="0">
                  <c:v>UE Total</c:v>
                </c:pt>
              </c:strCache>
            </c:strRef>
          </c:tx>
          <c:spPr>
            <a:ln w="28575" cap="rnd">
              <a:solidFill>
                <a:schemeClr val="accent6"/>
              </a:solidFill>
              <a:round/>
            </a:ln>
            <a:effectLst/>
          </c:spPr>
          <c:marker>
            <c:symbol val="none"/>
          </c:marker>
          <c:cat>
            <c:numRef>
              <c:f>AROPE!$R$5:$AB$5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AROPE!$R$11:$AB$11</c:f>
              <c:numCache>
                <c:formatCode>#,##0.0</c:formatCode>
                <c:ptCount val="11"/>
                <c:pt idx="0">
                  <c:v>23.9</c:v>
                </c:pt>
                <c:pt idx="1">
                  <c:v>24.5</c:v>
                </c:pt>
                <c:pt idx="2">
                  <c:v>24.9</c:v>
                </c:pt>
                <c:pt idx="3">
                  <c:v>24.6</c:v>
                </c:pt>
                <c:pt idx="4">
                  <c:v>24.5</c:v>
                </c:pt>
                <c:pt idx="5">
                  <c:v>23.8</c:v>
                </c:pt>
                <c:pt idx="6">
                  <c:v>23.7</c:v>
                </c:pt>
                <c:pt idx="7">
                  <c:v>22.5</c:v>
                </c:pt>
                <c:pt idx="8">
                  <c:v>21.6</c:v>
                </c:pt>
                <c:pt idx="9">
                  <c:v>20.9</c:v>
                </c:pt>
                <c:pt idx="10">
                  <c:v>22</c:v>
                </c:pt>
              </c:numCache>
            </c:numRef>
          </c:val>
          <c:smooth val="0"/>
          <c:extLst>
            <c:ext xmlns:c16="http://schemas.microsoft.com/office/drawing/2014/chart" uri="{C3380CC4-5D6E-409C-BE32-E72D297353CC}">
              <c16:uniqueId val="{00000005-7EB2-4A53-995C-F3A1B52EEE28}"/>
            </c:ext>
          </c:extLst>
        </c:ser>
        <c:ser>
          <c:idx val="6"/>
          <c:order val="6"/>
          <c:tx>
            <c:strRef>
              <c:f>AROPE!$Q$12</c:f>
              <c:strCache>
                <c:ptCount val="1"/>
                <c:pt idx="0">
                  <c:v>UE 0-17 ani</c:v>
                </c:pt>
              </c:strCache>
            </c:strRef>
          </c:tx>
          <c:spPr>
            <a:ln w="28575" cap="rnd">
              <a:solidFill>
                <a:schemeClr val="accent1">
                  <a:lumMod val="60000"/>
                </a:schemeClr>
              </a:solidFill>
              <a:round/>
            </a:ln>
            <a:effectLst/>
          </c:spPr>
          <c:marker>
            <c:symbol val="none"/>
          </c:marker>
          <c:cat>
            <c:numRef>
              <c:f>AROPE!$R$5:$AB$5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AROPE!$R$12:$AB$12</c:f>
              <c:numCache>
                <c:formatCode>#,##0.0</c:formatCode>
                <c:ptCount val="11"/>
                <c:pt idx="0">
                  <c:v>27.3</c:v>
                </c:pt>
                <c:pt idx="1">
                  <c:v>27.4</c:v>
                </c:pt>
                <c:pt idx="2">
                  <c:v>27.6</c:v>
                </c:pt>
                <c:pt idx="3">
                  <c:v>27.1</c:v>
                </c:pt>
                <c:pt idx="4">
                  <c:v>27.3</c:v>
                </c:pt>
                <c:pt idx="5">
                  <c:v>26.5</c:v>
                </c:pt>
                <c:pt idx="6">
                  <c:v>26.3</c:v>
                </c:pt>
                <c:pt idx="7">
                  <c:v>24.5</c:v>
                </c:pt>
                <c:pt idx="8">
                  <c:v>23.4</c:v>
                </c:pt>
                <c:pt idx="9">
                  <c:v>22.2</c:v>
                </c:pt>
                <c:pt idx="10">
                  <c:v>23.7</c:v>
                </c:pt>
              </c:numCache>
            </c:numRef>
          </c:val>
          <c:smooth val="0"/>
          <c:extLst>
            <c:ext xmlns:c16="http://schemas.microsoft.com/office/drawing/2014/chart" uri="{C3380CC4-5D6E-409C-BE32-E72D297353CC}">
              <c16:uniqueId val="{00000006-7EB2-4A53-995C-F3A1B52EEE28}"/>
            </c:ext>
          </c:extLst>
        </c:ser>
        <c:ser>
          <c:idx val="7"/>
          <c:order val="7"/>
          <c:tx>
            <c:strRef>
              <c:f>AROPE!$Q$13</c:f>
              <c:strCache>
                <c:ptCount val="1"/>
                <c:pt idx="0">
                  <c:v>UE 18-64 ani</c:v>
                </c:pt>
              </c:strCache>
            </c:strRef>
          </c:tx>
          <c:spPr>
            <a:ln w="28575" cap="rnd">
              <a:solidFill>
                <a:schemeClr val="accent2">
                  <a:lumMod val="60000"/>
                </a:schemeClr>
              </a:solidFill>
              <a:round/>
            </a:ln>
            <a:effectLst/>
          </c:spPr>
          <c:marker>
            <c:symbol val="none"/>
          </c:marker>
          <c:cat>
            <c:numRef>
              <c:f>AROPE!$R$5:$AB$5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AROPE!$R$13:$AB$13</c:f>
              <c:numCache>
                <c:formatCode>#,##0.0</c:formatCode>
                <c:ptCount val="11"/>
                <c:pt idx="0">
                  <c:v>24</c:v>
                </c:pt>
                <c:pt idx="1">
                  <c:v>24.9</c:v>
                </c:pt>
                <c:pt idx="2">
                  <c:v>25.6</c:v>
                </c:pt>
                <c:pt idx="3">
                  <c:v>25.7</c:v>
                </c:pt>
                <c:pt idx="4">
                  <c:v>25.7</c:v>
                </c:pt>
                <c:pt idx="5">
                  <c:v>25</c:v>
                </c:pt>
                <c:pt idx="6">
                  <c:v>24.6</c:v>
                </c:pt>
                <c:pt idx="7">
                  <c:v>23.3</c:v>
                </c:pt>
                <c:pt idx="8">
                  <c:v>22.1</c:v>
                </c:pt>
                <c:pt idx="9">
                  <c:v>21.3</c:v>
                </c:pt>
                <c:pt idx="10">
                  <c:v>22.2</c:v>
                </c:pt>
              </c:numCache>
            </c:numRef>
          </c:val>
          <c:smooth val="0"/>
          <c:extLst>
            <c:ext xmlns:c16="http://schemas.microsoft.com/office/drawing/2014/chart" uri="{C3380CC4-5D6E-409C-BE32-E72D297353CC}">
              <c16:uniqueId val="{00000007-7EB2-4A53-995C-F3A1B52EEE28}"/>
            </c:ext>
          </c:extLst>
        </c:ser>
        <c:ser>
          <c:idx val="8"/>
          <c:order val="8"/>
          <c:tx>
            <c:strRef>
              <c:f>AROPE!$Q$14</c:f>
              <c:strCache>
                <c:ptCount val="1"/>
                <c:pt idx="0">
                  <c:v>UE 65+ ani</c:v>
                </c:pt>
              </c:strCache>
            </c:strRef>
          </c:tx>
          <c:spPr>
            <a:ln w="28575" cap="rnd">
              <a:solidFill>
                <a:schemeClr val="accent3">
                  <a:lumMod val="60000"/>
                </a:schemeClr>
              </a:solidFill>
              <a:round/>
            </a:ln>
            <a:effectLst/>
          </c:spPr>
          <c:marker>
            <c:symbol val="none"/>
          </c:marker>
          <c:cat>
            <c:numRef>
              <c:f>AROPE!$R$5:$AB$5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AROPE!$R$14:$AB$14</c:f>
              <c:numCache>
                <c:formatCode>#,##0.0</c:formatCode>
                <c:ptCount val="11"/>
                <c:pt idx="0">
                  <c:v>19.8</c:v>
                </c:pt>
                <c:pt idx="1">
                  <c:v>20.100000000000001</c:v>
                </c:pt>
                <c:pt idx="2">
                  <c:v>19.399999999999999</c:v>
                </c:pt>
                <c:pt idx="3">
                  <c:v>18.2</c:v>
                </c:pt>
                <c:pt idx="4">
                  <c:v>17.600000000000001</c:v>
                </c:pt>
                <c:pt idx="5">
                  <c:v>17.3</c:v>
                </c:pt>
                <c:pt idx="6">
                  <c:v>18.2</c:v>
                </c:pt>
                <c:pt idx="7">
                  <c:v>18.2</c:v>
                </c:pt>
                <c:pt idx="8">
                  <c:v>18.399999999999999</c:v>
                </c:pt>
                <c:pt idx="9">
                  <c:v>18.5</c:v>
                </c:pt>
                <c:pt idx="10">
                  <c:v>19.8</c:v>
                </c:pt>
              </c:numCache>
            </c:numRef>
          </c:val>
          <c:smooth val="0"/>
          <c:extLst>
            <c:ext xmlns:c16="http://schemas.microsoft.com/office/drawing/2014/chart" uri="{C3380CC4-5D6E-409C-BE32-E72D297353CC}">
              <c16:uniqueId val="{00000008-7EB2-4A53-995C-F3A1B52EEE28}"/>
            </c:ext>
          </c:extLst>
        </c:ser>
        <c:ser>
          <c:idx val="9"/>
          <c:order val="9"/>
          <c:tx>
            <c:strRef>
              <c:f>AROPE!$Q$15</c:f>
              <c:strCache>
                <c:ptCount val="1"/>
                <c:pt idx="0">
                  <c:v>UE 75+ ani</c:v>
                </c:pt>
              </c:strCache>
            </c:strRef>
          </c:tx>
          <c:spPr>
            <a:ln w="28575" cap="rnd">
              <a:solidFill>
                <a:schemeClr val="accent4">
                  <a:lumMod val="60000"/>
                </a:schemeClr>
              </a:solidFill>
              <a:round/>
            </a:ln>
            <a:effectLst/>
          </c:spPr>
          <c:marker>
            <c:symbol val="none"/>
          </c:marker>
          <c:cat>
            <c:numRef>
              <c:f>AROPE!$R$5:$AB$5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AROPE!$R$15:$AB$15</c:f>
              <c:numCache>
                <c:formatCode>#,##0.0</c:formatCode>
                <c:ptCount val="11"/>
                <c:pt idx="0">
                  <c:v>21.8</c:v>
                </c:pt>
                <c:pt idx="1">
                  <c:v>21.9</c:v>
                </c:pt>
                <c:pt idx="2">
                  <c:v>20.7</c:v>
                </c:pt>
                <c:pt idx="3">
                  <c:v>19.100000000000001</c:v>
                </c:pt>
                <c:pt idx="4">
                  <c:v>18.600000000000001</c:v>
                </c:pt>
                <c:pt idx="5">
                  <c:v>18.399999999999999</c:v>
                </c:pt>
                <c:pt idx="6">
                  <c:v>19.5</c:v>
                </c:pt>
                <c:pt idx="7">
                  <c:v>19.7</c:v>
                </c:pt>
                <c:pt idx="8">
                  <c:v>19.5</c:v>
                </c:pt>
                <c:pt idx="9">
                  <c:v>19.5</c:v>
                </c:pt>
                <c:pt idx="10">
                  <c:v>21.5</c:v>
                </c:pt>
              </c:numCache>
            </c:numRef>
          </c:val>
          <c:smooth val="0"/>
          <c:extLst>
            <c:ext xmlns:c16="http://schemas.microsoft.com/office/drawing/2014/chart" uri="{C3380CC4-5D6E-409C-BE32-E72D297353CC}">
              <c16:uniqueId val="{00000009-7EB2-4A53-995C-F3A1B52EEE28}"/>
            </c:ext>
          </c:extLst>
        </c:ser>
        <c:dLbls>
          <c:showLegendKey val="0"/>
          <c:showVal val="0"/>
          <c:showCatName val="0"/>
          <c:showSerName val="0"/>
          <c:showPercent val="0"/>
          <c:showBubbleSize val="0"/>
        </c:dLbls>
        <c:marker val="1"/>
        <c:smooth val="0"/>
        <c:axId val="523518928"/>
        <c:axId val="523519912"/>
      </c:lineChart>
      <c:catAx>
        <c:axId val="52351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3519912"/>
        <c:crosses val="autoZero"/>
        <c:auto val="1"/>
        <c:lblAlgn val="ctr"/>
        <c:lblOffset val="100"/>
        <c:noMultiLvlLbl val="0"/>
      </c:catAx>
      <c:valAx>
        <c:axId val="523519912"/>
        <c:scaling>
          <c:orientation val="minMax"/>
          <c:min val="1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3518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AROPE!$A$37:$B$37</c:f>
              <c:strCache>
                <c:ptCount val="2"/>
                <c:pt idx="0">
                  <c:v>Municipii</c:v>
                </c:pt>
                <c:pt idx="1">
                  <c:v>EU-27</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AROPE!$C$36:$H$36</c:f>
              <c:strCache>
                <c:ptCount val="6"/>
                <c:pt idx="0">
                  <c:v>2015</c:v>
                </c:pt>
                <c:pt idx="1">
                  <c:v>2016</c:v>
                </c:pt>
                <c:pt idx="2">
                  <c:v>2017</c:v>
                </c:pt>
                <c:pt idx="3">
                  <c:v>2018</c:v>
                </c:pt>
                <c:pt idx="4">
                  <c:v>2019</c:v>
                </c:pt>
                <c:pt idx="5">
                  <c:v>2020</c:v>
                </c:pt>
              </c:strCache>
            </c:strRef>
          </c:cat>
          <c:val>
            <c:numRef>
              <c:f>AROPE!$C$37:$H$37</c:f>
              <c:numCache>
                <c:formatCode>#,##0.0</c:formatCode>
                <c:ptCount val="6"/>
                <c:pt idx="0">
                  <c:v>23.3</c:v>
                </c:pt>
                <c:pt idx="1">
                  <c:v>23.2</c:v>
                </c:pt>
                <c:pt idx="2">
                  <c:v>21.9</c:v>
                </c:pt>
                <c:pt idx="3">
                  <c:v>21.4</c:v>
                </c:pt>
                <c:pt idx="4">
                  <c:v>21.4</c:v>
                </c:pt>
                <c:pt idx="5">
                  <c:v>22.3</c:v>
                </c:pt>
              </c:numCache>
            </c:numRef>
          </c:val>
          <c:smooth val="0"/>
          <c:extLst>
            <c:ext xmlns:c16="http://schemas.microsoft.com/office/drawing/2014/chart" uri="{C3380CC4-5D6E-409C-BE32-E72D297353CC}">
              <c16:uniqueId val="{00000000-87C3-4FF7-95E9-D2FED8B36BE5}"/>
            </c:ext>
          </c:extLst>
        </c:ser>
        <c:ser>
          <c:idx val="1"/>
          <c:order val="1"/>
          <c:tx>
            <c:strRef>
              <c:f>AROPE!$A$38:$B$38</c:f>
              <c:strCache>
                <c:ptCount val="2"/>
                <c:pt idx="0">
                  <c:v>Municipii</c:v>
                </c:pt>
                <c:pt idx="1">
                  <c:v>Romania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5"/>
              <c:layout>
                <c:manualLayout>
                  <c:x val="-8.9792606301771598E-3"/>
                  <c:y val="8.891774166527055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7C3-4FF7-95E9-D2FED8B36BE5}"/>
                </c:ext>
              </c:extLst>
            </c:dLbl>
            <c:spPr>
              <a:solidFill>
                <a:schemeClr val="accent2">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AROPE!$C$36:$H$36</c:f>
              <c:strCache>
                <c:ptCount val="6"/>
                <c:pt idx="0">
                  <c:v>2015</c:v>
                </c:pt>
                <c:pt idx="1">
                  <c:v>2016</c:v>
                </c:pt>
                <c:pt idx="2">
                  <c:v>2017</c:v>
                </c:pt>
                <c:pt idx="3">
                  <c:v>2018</c:v>
                </c:pt>
                <c:pt idx="4">
                  <c:v>2019</c:v>
                </c:pt>
                <c:pt idx="5">
                  <c:v>2020</c:v>
                </c:pt>
              </c:strCache>
            </c:strRef>
          </c:cat>
          <c:val>
            <c:numRef>
              <c:f>AROPE!$C$38:$H$38</c:f>
              <c:numCache>
                <c:formatCode>#,##0.0</c:formatCode>
                <c:ptCount val="6"/>
                <c:pt idx="0">
                  <c:v>31.5</c:v>
                </c:pt>
                <c:pt idx="1">
                  <c:v>30.8</c:v>
                </c:pt>
                <c:pt idx="2">
                  <c:v>26.7</c:v>
                </c:pt>
                <c:pt idx="3">
                  <c:v>24.5</c:v>
                </c:pt>
                <c:pt idx="4">
                  <c:v>21.3</c:v>
                </c:pt>
                <c:pt idx="5">
                  <c:v>19.899999999999999</c:v>
                </c:pt>
              </c:numCache>
            </c:numRef>
          </c:val>
          <c:smooth val="0"/>
          <c:extLst>
            <c:ext xmlns:c16="http://schemas.microsoft.com/office/drawing/2014/chart" uri="{C3380CC4-5D6E-409C-BE32-E72D297353CC}">
              <c16:uniqueId val="{00000002-87C3-4FF7-95E9-D2FED8B36BE5}"/>
            </c:ext>
          </c:extLst>
        </c:ser>
        <c:ser>
          <c:idx val="2"/>
          <c:order val="2"/>
          <c:tx>
            <c:strRef>
              <c:f>AROPE!$A$39:$B$39</c:f>
              <c:strCache>
                <c:ptCount val="2"/>
                <c:pt idx="0">
                  <c:v>Orașe</c:v>
                </c:pt>
                <c:pt idx="1">
                  <c:v>EU-27</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AROPE!$C$36:$H$36</c:f>
              <c:strCache>
                <c:ptCount val="6"/>
                <c:pt idx="0">
                  <c:v>2015</c:v>
                </c:pt>
                <c:pt idx="1">
                  <c:v>2016</c:v>
                </c:pt>
                <c:pt idx="2">
                  <c:v>2017</c:v>
                </c:pt>
                <c:pt idx="3">
                  <c:v>2018</c:v>
                </c:pt>
                <c:pt idx="4">
                  <c:v>2019</c:v>
                </c:pt>
                <c:pt idx="5">
                  <c:v>2020</c:v>
                </c:pt>
              </c:strCache>
            </c:strRef>
          </c:cat>
          <c:val>
            <c:numRef>
              <c:f>AROPE!$C$39:$H$39</c:f>
              <c:numCache>
                <c:formatCode>#,##0.0</c:formatCode>
                <c:ptCount val="6"/>
                <c:pt idx="0">
                  <c:v>22.8</c:v>
                </c:pt>
                <c:pt idx="1">
                  <c:v>21.8</c:v>
                </c:pt>
                <c:pt idx="2">
                  <c:v>20.8</c:v>
                </c:pt>
                <c:pt idx="3">
                  <c:v>19.899999999999999</c:v>
                </c:pt>
                <c:pt idx="4">
                  <c:v>19.2</c:v>
                </c:pt>
                <c:pt idx="5">
                  <c:v>20.399999999999999</c:v>
                </c:pt>
              </c:numCache>
            </c:numRef>
          </c:val>
          <c:smooth val="0"/>
          <c:extLst>
            <c:ext xmlns:c16="http://schemas.microsoft.com/office/drawing/2014/chart" uri="{C3380CC4-5D6E-409C-BE32-E72D297353CC}">
              <c16:uniqueId val="{00000003-87C3-4FF7-95E9-D2FED8B36BE5}"/>
            </c:ext>
          </c:extLst>
        </c:ser>
        <c:ser>
          <c:idx val="3"/>
          <c:order val="3"/>
          <c:tx>
            <c:strRef>
              <c:f>AROPE!$A$40:$B$40</c:f>
              <c:strCache>
                <c:ptCount val="2"/>
                <c:pt idx="0">
                  <c:v>Orașe</c:v>
                </c:pt>
                <c:pt idx="1">
                  <c:v>Romania</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solidFill>
                <a:schemeClr val="accent4">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AROPE!$C$36:$H$36</c:f>
              <c:strCache>
                <c:ptCount val="6"/>
                <c:pt idx="0">
                  <c:v>2015</c:v>
                </c:pt>
                <c:pt idx="1">
                  <c:v>2016</c:v>
                </c:pt>
                <c:pt idx="2">
                  <c:v>2017</c:v>
                </c:pt>
                <c:pt idx="3">
                  <c:v>2018</c:v>
                </c:pt>
                <c:pt idx="4">
                  <c:v>2019</c:v>
                </c:pt>
                <c:pt idx="5">
                  <c:v>2020</c:v>
                </c:pt>
              </c:strCache>
            </c:strRef>
          </c:cat>
          <c:val>
            <c:numRef>
              <c:f>AROPE!$C$40:$H$40</c:f>
              <c:numCache>
                <c:formatCode>#,##0.0</c:formatCode>
                <c:ptCount val="6"/>
                <c:pt idx="0">
                  <c:v>37.700000000000003</c:v>
                </c:pt>
                <c:pt idx="1">
                  <c:v>41.7</c:v>
                </c:pt>
                <c:pt idx="2">
                  <c:v>36.299999999999997</c:v>
                </c:pt>
                <c:pt idx="3">
                  <c:v>31.6</c:v>
                </c:pt>
                <c:pt idx="4">
                  <c:v>31.4</c:v>
                </c:pt>
                <c:pt idx="5">
                  <c:v>30</c:v>
                </c:pt>
              </c:numCache>
            </c:numRef>
          </c:val>
          <c:smooth val="0"/>
          <c:extLst>
            <c:ext xmlns:c16="http://schemas.microsoft.com/office/drawing/2014/chart" uri="{C3380CC4-5D6E-409C-BE32-E72D297353CC}">
              <c16:uniqueId val="{00000004-87C3-4FF7-95E9-D2FED8B36BE5}"/>
            </c:ext>
          </c:extLst>
        </c:ser>
        <c:ser>
          <c:idx val="4"/>
          <c:order val="4"/>
          <c:tx>
            <c:strRef>
              <c:f>AROPE!$A$41:$B$41</c:f>
              <c:strCache>
                <c:ptCount val="2"/>
                <c:pt idx="0">
                  <c:v>Comune</c:v>
                </c:pt>
                <c:pt idx="1">
                  <c:v>EU-27</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AROPE!$C$36:$H$36</c:f>
              <c:strCache>
                <c:ptCount val="6"/>
                <c:pt idx="0">
                  <c:v>2015</c:v>
                </c:pt>
                <c:pt idx="1">
                  <c:v>2016</c:v>
                </c:pt>
                <c:pt idx="2">
                  <c:v>2017</c:v>
                </c:pt>
                <c:pt idx="3">
                  <c:v>2018</c:v>
                </c:pt>
                <c:pt idx="4">
                  <c:v>2019</c:v>
                </c:pt>
                <c:pt idx="5">
                  <c:v>2020</c:v>
                </c:pt>
              </c:strCache>
            </c:strRef>
          </c:cat>
          <c:val>
            <c:numRef>
              <c:f>AROPE!$C$41:$H$41</c:f>
              <c:numCache>
                <c:formatCode>#,##0.0</c:formatCode>
                <c:ptCount val="6"/>
                <c:pt idx="0">
                  <c:v>26.4</c:v>
                </c:pt>
                <c:pt idx="1">
                  <c:v>26.3</c:v>
                </c:pt>
                <c:pt idx="2">
                  <c:v>24.8</c:v>
                </c:pt>
                <c:pt idx="3">
                  <c:v>24.2</c:v>
                </c:pt>
                <c:pt idx="4">
                  <c:v>22.9</c:v>
                </c:pt>
                <c:pt idx="5">
                  <c:v>23.2</c:v>
                </c:pt>
              </c:numCache>
            </c:numRef>
          </c:val>
          <c:smooth val="0"/>
          <c:extLst>
            <c:ext xmlns:c16="http://schemas.microsoft.com/office/drawing/2014/chart" uri="{C3380CC4-5D6E-409C-BE32-E72D297353CC}">
              <c16:uniqueId val="{00000005-87C3-4FF7-95E9-D2FED8B36BE5}"/>
            </c:ext>
          </c:extLst>
        </c:ser>
        <c:ser>
          <c:idx val="5"/>
          <c:order val="5"/>
          <c:tx>
            <c:strRef>
              <c:f>AROPE!$A$42:$B$42</c:f>
              <c:strCache>
                <c:ptCount val="2"/>
                <c:pt idx="0">
                  <c:v>Comune</c:v>
                </c:pt>
                <c:pt idx="1">
                  <c:v>Romania</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solidFill>
                <a:schemeClr val="accent6">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AROPE!$C$36:$H$36</c:f>
              <c:strCache>
                <c:ptCount val="6"/>
                <c:pt idx="0">
                  <c:v>2015</c:v>
                </c:pt>
                <c:pt idx="1">
                  <c:v>2016</c:v>
                </c:pt>
                <c:pt idx="2">
                  <c:v>2017</c:v>
                </c:pt>
                <c:pt idx="3">
                  <c:v>2018</c:v>
                </c:pt>
                <c:pt idx="4">
                  <c:v>2019</c:v>
                </c:pt>
                <c:pt idx="5">
                  <c:v>2020</c:v>
                </c:pt>
              </c:strCache>
            </c:strRef>
          </c:cat>
          <c:val>
            <c:numRef>
              <c:f>AROPE!$C$42:$H$42</c:f>
              <c:numCache>
                <c:formatCode>#,##0.0</c:formatCode>
                <c:ptCount val="6"/>
                <c:pt idx="0">
                  <c:v>57.8</c:v>
                </c:pt>
                <c:pt idx="1">
                  <c:v>59.1</c:v>
                </c:pt>
                <c:pt idx="2">
                  <c:v>55.8</c:v>
                </c:pt>
                <c:pt idx="3">
                  <c:v>52</c:v>
                </c:pt>
                <c:pt idx="4">
                  <c:v>49.2</c:v>
                </c:pt>
                <c:pt idx="5">
                  <c:v>50.5</c:v>
                </c:pt>
              </c:numCache>
            </c:numRef>
          </c:val>
          <c:smooth val="0"/>
          <c:extLst>
            <c:ext xmlns:c16="http://schemas.microsoft.com/office/drawing/2014/chart" uri="{C3380CC4-5D6E-409C-BE32-E72D297353CC}">
              <c16:uniqueId val="{00000006-87C3-4FF7-95E9-D2FED8B36BE5}"/>
            </c:ext>
          </c:extLst>
        </c:ser>
        <c:dLbls>
          <c:showLegendKey val="0"/>
          <c:showVal val="0"/>
          <c:showCatName val="0"/>
          <c:showSerName val="0"/>
          <c:showPercent val="0"/>
          <c:showBubbleSize val="0"/>
        </c:dLbls>
        <c:marker val="1"/>
        <c:smooth val="0"/>
        <c:axId val="402146584"/>
        <c:axId val="398125744"/>
      </c:lineChart>
      <c:catAx>
        <c:axId val="402146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125744"/>
        <c:crosses val="autoZero"/>
        <c:auto val="1"/>
        <c:lblAlgn val="ctr"/>
        <c:lblOffset val="100"/>
        <c:noMultiLvlLbl val="0"/>
      </c:catAx>
      <c:valAx>
        <c:axId val="398125744"/>
        <c:scaling>
          <c:orientation val="minMax"/>
          <c:max val="60"/>
          <c:min val="1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2146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3"/>
          <c:order val="3"/>
          <c:tx>
            <c:strRef>
              <c:f>AROPE!$B$9</c:f>
              <c:strCache>
                <c:ptCount val="1"/>
                <c:pt idx="0">
                  <c:v>65+ ani</c:v>
                </c:pt>
              </c:strCache>
            </c:strRef>
          </c:tx>
          <c:spPr>
            <a:solidFill>
              <a:schemeClr val="accent4"/>
            </a:solidFill>
            <a:ln>
              <a:noFill/>
            </a:ln>
            <a:effectLst/>
          </c:spPr>
          <c:invertIfNegative val="0"/>
          <c:dLbls>
            <c:spPr>
              <a:solidFill>
                <a:schemeClr val="accent4">
                  <a:lumMod val="40000"/>
                  <a:lumOff val="6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AROPE!$C$5:$M$5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AROPE!$C$9:$M$9</c:f>
              <c:numCache>
                <c:formatCode>#,##0.0</c:formatCode>
                <c:ptCount val="11"/>
                <c:pt idx="0">
                  <c:v>40.1</c:v>
                </c:pt>
                <c:pt idx="1">
                  <c:v>36.200000000000003</c:v>
                </c:pt>
                <c:pt idx="2">
                  <c:v>35.4</c:v>
                </c:pt>
                <c:pt idx="3">
                  <c:v>35.799999999999997</c:v>
                </c:pt>
                <c:pt idx="4">
                  <c:v>35</c:v>
                </c:pt>
                <c:pt idx="5">
                  <c:v>33.299999999999997</c:v>
                </c:pt>
                <c:pt idx="6">
                  <c:v>34</c:v>
                </c:pt>
                <c:pt idx="7">
                  <c:v>33.200000000000003</c:v>
                </c:pt>
                <c:pt idx="8">
                  <c:v>32.799999999999997</c:v>
                </c:pt>
                <c:pt idx="9">
                  <c:v>33.9</c:v>
                </c:pt>
                <c:pt idx="10">
                  <c:v>31.5</c:v>
                </c:pt>
              </c:numCache>
            </c:numRef>
          </c:val>
          <c:extLst>
            <c:ext xmlns:c16="http://schemas.microsoft.com/office/drawing/2014/chart" uri="{C3380CC4-5D6E-409C-BE32-E72D297353CC}">
              <c16:uniqueId val="{00000000-AFC2-4809-B49C-C9A920407C78}"/>
            </c:ext>
          </c:extLst>
        </c:ser>
        <c:ser>
          <c:idx val="4"/>
          <c:order val="4"/>
          <c:tx>
            <c:strRef>
              <c:f>AROPE!$B$10</c:f>
              <c:strCache>
                <c:ptCount val="1"/>
                <c:pt idx="0">
                  <c:v>75+ ani</c:v>
                </c:pt>
              </c:strCache>
            </c:strRef>
          </c:tx>
          <c:spPr>
            <a:solidFill>
              <a:schemeClr val="accent5"/>
            </a:solidFill>
            <a:ln>
              <a:noFill/>
            </a:ln>
            <a:effectLst/>
          </c:spPr>
          <c:invertIfNegative val="0"/>
          <c:dLbls>
            <c:dLbl>
              <c:idx val="0"/>
              <c:layout>
                <c:manualLayout>
                  <c:x val="8.8632838466651889E-3"/>
                  <c:y val="0.3542077510581447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C2-4809-B49C-C9A920407C78}"/>
                </c:ext>
              </c:extLst>
            </c:dLbl>
            <c:dLbl>
              <c:idx val="2"/>
              <c:layout>
                <c:manualLayout>
                  <c:x val="6.6474628849988917E-3"/>
                  <c:y val="0.2937573551746779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FC2-4809-B49C-C9A920407C78}"/>
                </c:ext>
              </c:extLst>
            </c:dLbl>
            <c:dLbl>
              <c:idx val="3"/>
              <c:layout>
                <c:manualLayout>
                  <c:x val="6.6474628849988518E-3"/>
                  <c:y val="0.3234843565552226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C2-4809-B49C-C9A920407C78}"/>
                </c:ext>
              </c:extLst>
            </c:dLbl>
            <c:dLbl>
              <c:idx val="4"/>
              <c:layout>
                <c:manualLayout>
                  <c:x val="4.4316419233325945E-3"/>
                  <c:y val="0.321809513935498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FC2-4809-B49C-C9A920407C78}"/>
                </c:ext>
              </c:extLst>
            </c:dLbl>
            <c:dLbl>
              <c:idx val="5"/>
              <c:layout>
                <c:manualLayout>
                  <c:x val="8.8632838466651889E-3"/>
                  <c:y val="0.3063466858742448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FC2-4809-B49C-C9A920407C78}"/>
                </c:ext>
              </c:extLst>
            </c:dLbl>
            <c:dLbl>
              <c:idx val="6"/>
              <c:layout>
                <c:manualLayout>
                  <c:x val="1.3294925769997704E-2"/>
                  <c:y val="0.3260973875147103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FC2-4809-B49C-C9A920407C78}"/>
                </c:ext>
              </c:extLst>
            </c:dLbl>
            <c:dLbl>
              <c:idx val="10"/>
              <c:layout>
                <c:manualLayout>
                  <c:x val="0"/>
                  <c:y val="0.2967745455934432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FC2-4809-B49C-C9A920407C78}"/>
                </c:ext>
              </c:extLst>
            </c:dLbl>
            <c:spPr>
              <a:solidFill>
                <a:schemeClr val="accent1">
                  <a:lumMod val="40000"/>
                  <a:lumOff val="6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AROPE!$C$5:$M$5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AROPE!$C$10:$M$10</c:f>
              <c:numCache>
                <c:formatCode>#,##0.0</c:formatCode>
                <c:ptCount val="11"/>
                <c:pt idx="0">
                  <c:v>45.6</c:v>
                </c:pt>
                <c:pt idx="1">
                  <c:v>42.4</c:v>
                </c:pt>
                <c:pt idx="2">
                  <c:v>39.9</c:v>
                </c:pt>
                <c:pt idx="3">
                  <c:v>40.799999999999997</c:v>
                </c:pt>
                <c:pt idx="4">
                  <c:v>41.2</c:v>
                </c:pt>
                <c:pt idx="5">
                  <c:v>39.1</c:v>
                </c:pt>
                <c:pt idx="6">
                  <c:v>39.9</c:v>
                </c:pt>
                <c:pt idx="7">
                  <c:v>39.799999999999997</c:v>
                </c:pt>
                <c:pt idx="8">
                  <c:v>39.700000000000003</c:v>
                </c:pt>
                <c:pt idx="9">
                  <c:v>41.4</c:v>
                </c:pt>
                <c:pt idx="10">
                  <c:v>37.799999999999997</c:v>
                </c:pt>
              </c:numCache>
            </c:numRef>
          </c:val>
          <c:extLst>
            <c:ext xmlns:c16="http://schemas.microsoft.com/office/drawing/2014/chart" uri="{C3380CC4-5D6E-409C-BE32-E72D297353CC}">
              <c16:uniqueId val="{00000008-AFC2-4809-B49C-C9A920407C78}"/>
            </c:ext>
          </c:extLst>
        </c:ser>
        <c:dLbls>
          <c:showLegendKey val="0"/>
          <c:showVal val="0"/>
          <c:showCatName val="0"/>
          <c:showSerName val="0"/>
          <c:showPercent val="0"/>
          <c:showBubbleSize val="0"/>
        </c:dLbls>
        <c:gapWidth val="219"/>
        <c:axId val="513270080"/>
        <c:axId val="513275328"/>
        <c:extLst>
          <c:ext xmlns:c15="http://schemas.microsoft.com/office/drawing/2012/chart" uri="{02D57815-91ED-43cb-92C2-25804820EDAC}">
            <c15:filteredBarSeries>
              <c15:ser>
                <c:idx val="1"/>
                <c:order val="1"/>
                <c:tx>
                  <c:strRef>
                    <c:extLst>
                      <c:ext uri="{02D57815-91ED-43cb-92C2-25804820EDAC}">
                        <c15:formulaRef>
                          <c15:sqref>AROPE!$B$7</c15:sqref>
                        </c15:formulaRef>
                      </c:ext>
                    </c:extLst>
                    <c:strCache>
                      <c:ptCount val="1"/>
                      <c:pt idx="0">
                        <c:v>0-17 ani</c:v>
                      </c:pt>
                    </c:strCache>
                  </c:strRef>
                </c:tx>
                <c:spPr>
                  <a:solidFill>
                    <a:schemeClr val="accent2"/>
                  </a:solidFill>
                  <a:ln>
                    <a:noFill/>
                  </a:ln>
                  <a:effectLst/>
                </c:spPr>
                <c:invertIfNegative val="0"/>
                <c:cat>
                  <c:numRef>
                    <c:extLst>
                      <c:ext uri="{02D57815-91ED-43cb-92C2-25804820EDAC}">
                        <c15:formulaRef>
                          <c15:sqref>AROPE!$C$5:$M$5</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c:ext uri="{02D57815-91ED-43cb-92C2-25804820EDAC}">
                        <c15:formulaRef>
                          <c15:sqref>AROPE!$C$7:$M$7</c15:sqref>
                        </c15:formulaRef>
                      </c:ext>
                    </c:extLst>
                    <c:numCache>
                      <c:formatCode>#,##0.0</c:formatCode>
                      <c:ptCount val="11"/>
                      <c:pt idx="0">
                        <c:v>48.1</c:v>
                      </c:pt>
                      <c:pt idx="1">
                        <c:v>49.2</c:v>
                      </c:pt>
                      <c:pt idx="2">
                        <c:v>52.5</c:v>
                      </c:pt>
                      <c:pt idx="3">
                        <c:v>51.4</c:v>
                      </c:pt>
                      <c:pt idx="4">
                        <c:v>50.7</c:v>
                      </c:pt>
                      <c:pt idx="5">
                        <c:v>46.8</c:v>
                      </c:pt>
                      <c:pt idx="6">
                        <c:v>49.2</c:v>
                      </c:pt>
                      <c:pt idx="7">
                        <c:v>41.7</c:v>
                      </c:pt>
                      <c:pt idx="8">
                        <c:v>38.1</c:v>
                      </c:pt>
                      <c:pt idx="9">
                        <c:v>35.799999999999997</c:v>
                      </c:pt>
                      <c:pt idx="10">
                        <c:v>36.299999999999997</c:v>
                      </c:pt>
                    </c:numCache>
                  </c:numRef>
                </c:val>
                <c:extLst>
                  <c:ext xmlns:c16="http://schemas.microsoft.com/office/drawing/2014/chart" uri="{C3380CC4-5D6E-409C-BE32-E72D297353CC}">
                    <c16:uniqueId val="{0000000A-AFC2-4809-B49C-C9A920407C78}"/>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AROPE!$B$8</c15:sqref>
                        </c15:formulaRef>
                      </c:ext>
                    </c:extLst>
                    <c:strCache>
                      <c:ptCount val="1"/>
                      <c:pt idx="0">
                        <c:v>18-64 ani</c:v>
                      </c:pt>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AROPE!$C$5:$M$5</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AROPE!$C$8:$M$8</c15:sqref>
                        </c15:formulaRef>
                      </c:ext>
                    </c:extLst>
                    <c:numCache>
                      <c:formatCode>#,##0.0</c:formatCode>
                      <c:ptCount val="11"/>
                      <c:pt idx="0">
                        <c:v>39.9</c:v>
                      </c:pt>
                      <c:pt idx="1">
                        <c:v>39.700000000000003</c:v>
                      </c:pt>
                      <c:pt idx="2">
                        <c:v>42.3</c:v>
                      </c:pt>
                      <c:pt idx="3">
                        <c:v>40.700000000000003</c:v>
                      </c:pt>
                      <c:pt idx="4">
                        <c:v>38.700000000000003</c:v>
                      </c:pt>
                      <c:pt idx="5">
                        <c:v>35.700000000000003</c:v>
                      </c:pt>
                      <c:pt idx="6">
                        <c:v>37</c:v>
                      </c:pt>
                      <c:pt idx="7">
                        <c:v>34.6</c:v>
                      </c:pt>
                      <c:pt idx="8">
                        <c:v>30.7</c:v>
                      </c:pt>
                      <c:pt idx="9">
                        <c:v>29</c:v>
                      </c:pt>
                      <c:pt idx="10">
                        <c:v>28.2</c:v>
                      </c:pt>
                    </c:numCache>
                  </c:numRef>
                </c:val>
                <c:extLst xmlns:c15="http://schemas.microsoft.com/office/drawing/2012/chart">
                  <c:ext xmlns:c16="http://schemas.microsoft.com/office/drawing/2014/chart" uri="{C3380CC4-5D6E-409C-BE32-E72D297353CC}">
                    <c16:uniqueId val="{0000000B-AFC2-4809-B49C-C9A920407C78}"/>
                  </c:ext>
                </c:extLst>
              </c15:ser>
            </c15:filteredBarSeries>
          </c:ext>
        </c:extLst>
      </c:barChart>
      <c:lineChart>
        <c:grouping val="standard"/>
        <c:varyColors val="0"/>
        <c:ser>
          <c:idx val="0"/>
          <c:order val="0"/>
          <c:tx>
            <c:strRef>
              <c:f>AROPE!$B$6</c:f>
              <c:strCache>
                <c:ptCount val="1"/>
                <c:pt idx="0">
                  <c:v>Total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solidFill>
                <a:schemeClr val="accent2">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AROPE!$C$5:$M$5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AROPE!$C$6:$M$6</c:f>
              <c:numCache>
                <c:formatCode>#,##0.0</c:formatCode>
                <c:ptCount val="11"/>
                <c:pt idx="0">
                  <c:v>41.5</c:v>
                </c:pt>
                <c:pt idx="1">
                  <c:v>40.9</c:v>
                </c:pt>
                <c:pt idx="2">
                  <c:v>43.2</c:v>
                </c:pt>
                <c:pt idx="3">
                  <c:v>41.9</c:v>
                </c:pt>
                <c:pt idx="4">
                  <c:v>40.299999999999997</c:v>
                </c:pt>
                <c:pt idx="5">
                  <c:v>37.4</c:v>
                </c:pt>
                <c:pt idx="6">
                  <c:v>38.799999999999997</c:v>
                </c:pt>
                <c:pt idx="7">
                  <c:v>35.700000000000003</c:v>
                </c:pt>
                <c:pt idx="8">
                  <c:v>32.5</c:v>
                </c:pt>
                <c:pt idx="9">
                  <c:v>31.2</c:v>
                </c:pt>
                <c:pt idx="10">
                  <c:v>30.4</c:v>
                </c:pt>
              </c:numCache>
            </c:numRef>
          </c:val>
          <c:smooth val="0"/>
          <c:extLst>
            <c:ext xmlns:c16="http://schemas.microsoft.com/office/drawing/2014/chart" uri="{C3380CC4-5D6E-409C-BE32-E72D297353CC}">
              <c16:uniqueId val="{00000009-AFC2-4809-B49C-C9A920407C78}"/>
            </c:ext>
          </c:extLst>
        </c:ser>
        <c:dLbls>
          <c:showLegendKey val="0"/>
          <c:showVal val="0"/>
          <c:showCatName val="0"/>
          <c:showSerName val="0"/>
          <c:showPercent val="0"/>
          <c:showBubbleSize val="0"/>
        </c:dLbls>
        <c:marker val="1"/>
        <c:smooth val="0"/>
        <c:axId val="513270080"/>
        <c:axId val="513275328"/>
      </c:lineChart>
      <c:catAx>
        <c:axId val="51327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3275328"/>
        <c:crosses val="autoZero"/>
        <c:auto val="1"/>
        <c:lblAlgn val="ctr"/>
        <c:lblOffset val="100"/>
        <c:noMultiLvlLbl val="0"/>
      </c:catAx>
      <c:valAx>
        <c:axId val="5132753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3270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Sheet1!$B$4:$C$4</c:f>
              <c:strCache>
                <c:ptCount val="2"/>
                <c:pt idx="0">
                  <c:v>RO</c:v>
                </c:pt>
                <c:pt idx="1">
                  <c:v>Total</c:v>
                </c:pt>
              </c:strCache>
            </c:strRef>
          </c:tx>
          <c:spPr>
            <a:solidFill>
              <a:schemeClr val="accent2"/>
            </a:solidFill>
            <a:ln>
              <a:noFill/>
            </a:ln>
            <a:effectLst/>
          </c:spPr>
          <c:invertIfNegative val="0"/>
          <c:cat>
            <c:strRef>
              <c:f>Sheet1!$D$2:$I$2</c:f>
              <c:strCache>
                <c:ptCount val="6"/>
                <c:pt idx="0">
                  <c:v>2015</c:v>
                </c:pt>
                <c:pt idx="1">
                  <c:v>2016</c:v>
                </c:pt>
                <c:pt idx="2">
                  <c:v>2017</c:v>
                </c:pt>
                <c:pt idx="3">
                  <c:v>2018</c:v>
                </c:pt>
                <c:pt idx="4">
                  <c:v>2019</c:v>
                </c:pt>
                <c:pt idx="5">
                  <c:v>2020</c:v>
                </c:pt>
              </c:strCache>
            </c:strRef>
          </c:cat>
          <c:val>
            <c:numRef>
              <c:f>Sheet1!$D$4:$I$4</c:f>
              <c:numCache>
                <c:formatCode>#,##0.0</c:formatCode>
                <c:ptCount val="6"/>
                <c:pt idx="0">
                  <c:v>34.200000000000003</c:v>
                </c:pt>
                <c:pt idx="1">
                  <c:v>36.1</c:v>
                </c:pt>
                <c:pt idx="2">
                  <c:v>32.700000000000003</c:v>
                </c:pt>
                <c:pt idx="3">
                  <c:v>28.7</c:v>
                </c:pt>
                <c:pt idx="4">
                  <c:v>24.8</c:v>
                </c:pt>
                <c:pt idx="5">
                  <c:v>25.6</c:v>
                </c:pt>
              </c:numCache>
            </c:numRef>
          </c:val>
          <c:extLst>
            <c:ext xmlns:c16="http://schemas.microsoft.com/office/drawing/2014/chart" uri="{C3380CC4-5D6E-409C-BE32-E72D297353CC}">
              <c16:uniqueId val="{00000000-E6A6-40A4-8213-133202694F91}"/>
            </c:ext>
          </c:extLst>
        </c:ser>
        <c:ser>
          <c:idx val="3"/>
          <c:order val="3"/>
          <c:tx>
            <c:strRef>
              <c:f>Sheet1!$B$6:$C$6</c:f>
              <c:strCache>
                <c:ptCount val="2"/>
                <c:pt idx="0">
                  <c:v>RO</c:v>
                </c:pt>
                <c:pt idx="1">
                  <c:v>0-17 ani</c:v>
                </c:pt>
              </c:strCache>
            </c:strRef>
          </c:tx>
          <c:spPr>
            <a:solidFill>
              <a:schemeClr val="accent4"/>
            </a:solidFill>
            <a:ln>
              <a:noFill/>
            </a:ln>
            <a:effectLst/>
          </c:spPr>
          <c:invertIfNegative val="0"/>
          <c:cat>
            <c:strRef>
              <c:f>Sheet1!$D$2:$I$2</c:f>
              <c:strCache>
                <c:ptCount val="6"/>
                <c:pt idx="0">
                  <c:v>2015</c:v>
                </c:pt>
                <c:pt idx="1">
                  <c:v>2016</c:v>
                </c:pt>
                <c:pt idx="2">
                  <c:v>2017</c:v>
                </c:pt>
                <c:pt idx="3">
                  <c:v>2018</c:v>
                </c:pt>
                <c:pt idx="4">
                  <c:v>2019</c:v>
                </c:pt>
                <c:pt idx="5">
                  <c:v>2020</c:v>
                </c:pt>
              </c:strCache>
            </c:strRef>
          </c:cat>
          <c:val>
            <c:numRef>
              <c:f>Sheet1!$D$6:$I$6</c:f>
              <c:numCache>
                <c:formatCode>#,##0.0</c:formatCode>
                <c:ptCount val="6"/>
                <c:pt idx="0">
                  <c:v>41</c:v>
                </c:pt>
                <c:pt idx="1">
                  <c:v>44.5</c:v>
                </c:pt>
                <c:pt idx="2">
                  <c:v>38.200000000000003</c:v>
                </c:pt>
                <c:pt idx="3">
                  <c:v>33.299999999999997</c:v>
                </c:pt>
                <c:pt idx="4">
                  <c:v>27.1</c:v>
                </c:pt>
                <c:pt idx="5">
                  <c:v>31</c:v>
                </c:pt>
              </c:numCache>
            </c:numRef>
          </c:val>
          <c:extLst>
            <c:ext xmlns:c16="http://schemas.microsoft.com/office/drawing/2014/chart" uri="{C3380CC4-5D6E-409C-BE32-E72D297353CC}">
              <c16:uniqueId val="{00000001-E6A6-40A4-8213-133202694F91}"/>
            </c:ext>
          </c:extLst>
        </c:ser>
        <c:ser>
          <c:idx val="5"/>
          <c:order val="5"/>
          <c:tx>
            <c:strRef>
              <c:f>Sheet1!$B$8:$C$8</c:f>
              <c:strCache>
                <c:ptCount val="2"/>
                <c:pt idx="0">
                  <c:v>RO</c:v>
                </c:pt>
                <c:pt idx="1">
                  <c:v>18-64 ani</c:v>
                </c:pt>
              </c:strCache>
            </c:strRef>
          </c:tx>
          <c:spPr>
            <a:solidFill>
              <a:schemeClr val="accent6"/>
            </a:solidFill>
            <a:ln>
              <a:noFill/>
            </a:ln>
            <a:effectLst/>
          </c:spPr>
          <c:invertIfNegative val="0"/>
          <c:cat>
            <c:strRef>
              <c:f>Sheet1!$D$2:$I$2</c:f>
              <c:strCache>
                <c:ptCount val="6"/>
                <c:pt idx="0">
                  <c:v>2015</c:v>
                </c:pt>
                <c:pt idx="1">
                  <c:v>2016</c:v>
                </c:pt>
                <c:pt idx="2">
                  <c:v>2017</c:v>
                </c:pt>
                <c:pt idx="3">
                  <c:v>2018</c:v>
                </c:pt>
                <c:pt idx="4">
                  <c:v>2019</c:v>
                </c:pt>
                <c:pt idx="5">
                  <c:v>2020</c:v>
                </c:pt>
              </c:strCache>
            </c:strRef>
          </c:cat>
          <c:val>
            <c:numRef>
              <c:f>Sheet1!$D$8:$I$8</c:f>
              <c:numCache>
                <c:formatCode>#,##0.0</c:formatCode>
                <c:ptCount val="6"/>
                <c:pt idx="0">
                  <c:v>31.5</c:v>
                </c:pt>
                <c:pt idx="1">
                  <c:v>32.799999999999997</c:v>
                </c:pt>
                <c:pt idx="2">
                  <c:v>29.9</c:v>
                </c:pt>
                <c:pt idx="3">
                  <c:v>25.9</c:v>
                </c:pt>
                <c:pt idx="4">
                  <c:v>21.8</c:v>
                </c:pt>
                <c:pt idx="5">
                  <c:v>22.2</c:v>
                </c:pt>
              </c:numCache>
            </c:numRef>
          </c:val>
          <c:extLst>
            <c:ext xmlns:c16="http://schemas.microsoft.com/office/drawing/2014/chart" uri="{C3380CC4-5D6E-409C-BE32-E72D297353CC}">
              <c16:uniqueId val="{00000002-E6A6-40A4-8213-133202694F91}"/>
            </c:ext>
          </c:extLst>
        </c:ser>
        <c:ser>
          <c:idx val="7"/>
          <c:order val="7"/>
          <c:tx>
            <c:strRef>
              <c:f>Sheet1!$B$10:$C$10</c:f>
              <c:strCache>
                <c:ptCount val="2"/>
                <c:pt idx="0">
                  <c:v>RO</c:v>
                </c:pt>
                <c:pt idx="1">
                  <c:v>65+ ani</c:v>
                </c:pt>
              </c:strCache>
            </c:strRef>
          </c:tx>
          <c:spPr>
            <a:solidFill>
              <a:schemeClr val="accent2">
                <a:lumMod val="60000"/>
              </a:schemeClr>
            </a:solidFill>
            <a:ln>
              <a:noFill/>
            </a:ln>
            <a:effectLst/>
          </c:spPr>
          <c:invertIfNegative val="0"/>
          <c:cat>
            <c:strRef>
              <c:f>Sheet1!$D$2:$I$2</c:f>
              <c:strCache>
                <c:ptCount val="6"/>
                <c:pt idx="0">
                  <c:v>2015</c:v>
                </c:pt>
                <c:pt idx="1">
                  <c:v>2016</c:v>
                </c:pt>
                <c:pt idx="2">
                  <c:v>2017</c:v>
                </c:pt>
                <c:pt idx="3">
                  <c:v>2018</c:v>
                </c:pt>
                <c:pt idx="4">
                  <c:v>2019</c:v>
                </c:pt>
                <c:pt idx="5">
                  <c:v>2020</c:v>
                </c:pt>
              </c:strCache>
            </c:strRef>
          </c:cat>
          <c:val>
            <c:numRef>
              <c:f>Sheet1!$D$10:$I$10</c:f>
              <c:numCache>
                <c:formatCode>#,##0.0</c:formatCode>
                <c:ptCount val="6"/>
                <c:pt idx="0">
                  <c:v>36.700000000000003</c:v>
                </c:pt>
                <c:pt idx="1">
                  <c:v>39.1</c:v>
                </c:pt>
                <c:pt idx="2">
                  <c:v>36.6</c:v>
                </c:pt>
                <c:pt idx="3">
                  <c:v>33.700000000000003</c:v>
                </c:pt>
                <c:pt idx="4">
                  <c:v>32.4</c:v>
                </c:pt>
                <c:pt idx="5">
                  <c:v>31.3</c:v>
                </c:pt>
              </c:numCache>
            </c:numRef>
          </c:val>
          <c:extLst>
            <c:ext xmlns:c16="http://schemas.microsoft.com/office/drawing/2014/chart" uri="{C3380CC4-5D6E-409C-BE32-E72D297353CC}">
              <c16:uniqueId val="{00000003-E6A6-40A4-8213-133202694F91}"/>
            </c:ext>
          </c:extLst>
        </c:ser>
        <c:dLbls>
          <c:showLegendKey val="0"/>
          <c:showVal val="0"/>
          <c:showCatName val="0"/>
          <c:showSerName val="0"/>
          <c:showPercent val="0"/>
          <c:showBubbleSize val="0"/>
        </c:dLbls>
        <c:gapWidth val="219"/>
        <c:axId val="576826648"/>
        <c:axId val="576824024"/>
        <c:extLst>
          <c:ext xmlns:c15="http://schemas.microsoft.com/office/drawing/2012/chart" uri="{02D57815-91ED-43cb-92C2-25804820EDAC}">
            <c15:filteredBarSeries>
              <c15:ser>
                <c:idx val="9"/>
                <c:order val="9"/>
                <c:tx>
                  <c:strRef>
                    <c:extLst>
                      <c:ext uri="{02D57815-91ED-43cb-92C2-25804820EDAC}">
                        <c15:formulaRef>
                          <c15:sqref>Sheet1!$B$12:$C$12</c15:sqref>
                        </c15:formulaRef>
                      </c:ext>
                    </c:extLst>
                    <c:strCache>
                      <c:ptCount val="2"/>
                      <c:pt idx="0">
                        <c:v>RO</c:v>
                      </c:pt>
                      <c:pt idx="1">
                        <c:v>75+ ani</c:v>
                      </c:pt>
                    </c:strCache>
                  </c:strRef>
                </c:tx>
                <c:spPr>
                  <a:solidFill>
                    <a:schemeClr val="accent4">
                      <a:lumMod val="60000"/>
                    </a:schemeClr>
                  </a:solidFill>
                  <a:ln>
                    <a:noFill/>
                  </a:ln>
                  <a:effectLst/>
                </c:spPr>
                <c:invertIfNegative val="0"/>
                <c:cat>
                  <c:strRef>
                    <c:extLst>
                      <c:ext uri="{02D57815-91ED-43cb-92C2-25804820EDAC}">
                        <c15:formulaRef>
                          <c15:sqref>Sheet1!$D$2:$I$2</c15:sqref>
                        </c15:formulaRef>
                      </c:ext>
                    </c:extLst>
                    <c:strCache>
                      <c:ptCount val="6"/>
                      <c:pt idx="0">
                        <c:v>2015</c:v>
                      </c:pt>
                      <c:pt idx="1">
                        <c:v>2016</c:v>
                      </c:pt>
                      <c:pt idx="2">
                        <c:v>2017</c:v>
                      </c:pt>
                      <c:pt idx="3">
                        <c:v>2018</c:v>
                      </c:pt>
                      <c:pt idx="4">
                        <c:v>2019</c:v>
                      </c:pt>
                      <c:pt idx="5">
                        <c:v>2020</c:v>
                      </c:pt>
                    </c:strCache>
                  </c:strRef>
                </c:cat>
                <c:val>
                  <c:numRef>
                    <c:extLst>
                      <c:ext uri="{02D57815-91ED-43cb-92C2-25804820EDAC}">
                        <c15:formulaRef>
                          <c15:sqref>Sheet1!$D$12:$I$12</c15:sqref>
                        </c15:formulaRef>
                      </c:ext>
                    </c:extLst>
                    <c:numCache>
                      <c:formatCode>#,##0.0</c:formatCode>
                      <c:ptCount val="6"/>
                      <c:pt idx="0">
                        <c:v>38.1</c:v>
                      </c:pt>
                      <c:pt idx="1">
                        <c:v>43.1</c:v>
                      </c:pt>
                      <c:pt idx="2">
                        <c:v>40.6</c:v>
                      </c:pt>
                      <c:pt idx="3">
                        <c:v>37.1</c:v>
                      </c:pt>
                      <c:pt idx="4">
                        <c:v>36.200000000000003</c:v>
                      </c:pt>
                      <c:pt idx="5">
                        <c:v>35</c:v>
                      </c:pt>
                    </c:numCache>
                  </c:numRef>
                </c:val>
                <c:extLst>
                  <c:ext xmlns:c16="http://schemas.microsoft.com/office/drawing/2014/chart" uri="{C3380CC4-5D6E-409C-BE32-E72D297353CC}">
                    <c16:uniqueId val="{00000009-E6A6-40A4-8213-133202694F91}"/>
                  </c:ext>
                </c:extLst>
              </c15:ser>
            </c15:filteredBarSeries>
            <c15:filteredBarSeries>
              <c15:ser>
                <c:idx val="11"/>
                <c:order val="11"/>
                <c:tx>
                  <c:strRef>
                    <c:extLst xmlns:c15="http://schemas.microsoft.com/office/drawing/2012/chart">
                      <c:ext xmlns:c15="http://schemas.microsoft.com/office/drawing/2012/chart" uri="{02D57815-91ED-43cb-92C2-25804820EDAC}">
                        <c15:formulaRef>
                          <c15:sqref>Sheet1!$B$14:$C$14</c15:sqref>
                        </c15:formulaRef>
                      </c:ext>
                    </c:extLst>
                    <c:strCache>
                      <c:ptCount val="2"/>
                      <c:pt idx="0">
                        <c:v>RO</c:v>
                      </c:pt>
                      <c:pt idx="1">
                        <c:v>85+ ani</c:v>
                      </c:pt>
                    </c:strCache>
                  </c:strRef>
                </c:tx>
                <c:spPr>
                  <a:solidFill>
                    <a:schemeClr val="accent6">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Sheet1!$D$2:$I$2</c15:sqref>
                        </c15:formulaRef>
                      </c:ext>
                    </c:extLst>
                    <c:strCache>
                      <c:ptCount val="6"/>
                      <c:pt idx="0">
                        <c:v>2015</c:v>
                      </c:pt>
                      <c:pt idx="1">
                        <c:v>2016</c:v>
                      </c:pt>
                      <c:pt idx="2">
                        <c:v>2017</c:v>
                      </c:pt>
                      <c:pt idx="3">
                        <c:v>2018</c:v>
                      </c:pt>
                      <c:pt idx="4">
                        <c:v>2019</c:v>
                      </c:pt>
                      <c:pt idx="5">
                        <c:v>2020</c:v>
                      </c:pt>
                    </c:strCache>
                  </c:strRef>
                </c:cat>
                <c:val>
                  <c:numRef>
                    <c:extLst xmlns:c15="http://schemas.microsoft.com/office/drawing/2012/chart">
                      <c:ext xmlns:c15="http://schemas.microsoft.com/office/drawing/2012/chart" uri="{02D57815-91ED-43cb-92C2-25804820EDAC}">
                        <c15:formulaRef>
                          <c15:sqref>Sheet1!$D$14:$I$14</c15:sqref>
                        </c15:formulaRef>
                      </c:ext>
                    </c:extLst>
                    <c:numCache>
                      <c:formatCode>#,##0.0</c:formatCode>
                      <c:ptCount val="6"/>
                      <c:pt idx="0">
                        <c:v>38.9</c:v>
                      </c:pt>
                      <c:pt idx="1">
                        <c:v>43.6</c:v>
                      </c:pt>
                      <c:pt idx="2">
                        <c:v>38.299999999999997</c:v>
                      </c:pt>
                      <c:pt idx="3">
                        <c:v>38.5</c:v>
                      </c:pt>
                      <c:pt idx="4">
                        <c:v>37.799999999999997</c:v>
                      </c:pt>
                      <c:pt idx="5">
                        <c:v>39.9</c:v>
                      </c:pt>
                    </c:numCache>
                  </c:numRef>
                </c:val>
                <c:extLst xmlns:c15="http://schemas.microsoft.com/office/drawing/2012/chart">
                  <c:ext xmlns:c16="http://schemas.microsoft.com/office/drawing/2014/chart" uri="{C3380CC4-5D6E-409C-BE32-E72D297353CC}">
                    <c16:uniqueId val="{0000000B-E6A6-40A4-8213-133202694F91}"/>
                  </c:ext>
                </c:extLst>
              </c15:ser>
            </c15:filteredBarSeries>
          </c:ext>
        </c:extLst>
      </c:barChart>
      <c:lineChart>
        <c:grouping val="standard"/>
        <c:varyColors val="0"/>
        <c:ser>
          <c:idx val="0"/>
          <c:order val="0"/>
          <c:tx>
            <c:strRef>
              <c:f>Sheet1!$B$3:$C$3</c:f>
              <c:strCache>
                <c:ptCount val="2"/>
                <c:pt idx="0">
                  <c:v>EU-27</c:v>
                </c:pt>
                <c:pt idx="1">
                  <c:v>Total</c:v>
                </c:pt>
              </c:strCache>
            </c:strRef>
          </c:tx>
          <c:spPr>
            <a:ln w="28575" cap="rnd">
              <a:solidFill>
                <a:schemeClr val="accent1"/>
              </a:solidFill>
              <a:round/>
            </a:ln>
            <a:effectLst/>
          </c:spPr>
          <c:marker>
            <c:symbol val="none"/>
          </c:marker>
          <c:cat>
            <c:strRef>
              <c:f>Sheet1!$D$2:$I$2</c:f>
              <c:strCache>
                <c:ptCount val="6"/>
                <c:pt idx="0">
                  <c:v>2015</c:v>
                </c:pt>
                <c:pt idx="1">
                  <c:v>2016</c:v>
                </c:pt>
                <c:pt idx="2">
                  <c:v>2017</c:v>
                </c:pt>
                <c:pt idx="3">
                  <c:v>2018</c:v>
                </c:pt>
                <c:pt idx="4">
                  <c:v>2019</c:v>
                </c:pt>
                <c:pt idx="5">
                  <c:v>2020</c:v>
                </c:pt>
              </c:strCache>
            </c:strRef>
          </c:cat>
          <c:val>
            <c:numRef>
              <c:f>Sheet1!$D$3:$I$3</c:f>
              <c:numCache>
                <c:formatCode>#,##0.0</c:formatCode>
                <c:ptCount val="6"/>
                <c:pt idx="0">
                  <c:v>9.6999999999999993</c:v>
                </c:pt>
                <c:pt idx="1">
                  <c:v>9</c:v>
                </c:pt>
                <c:pt idx="2">
                  <c:v>7.9</c:v>
                </c:pt>
                <c:pt idx="3">
                  <c:v>7.1</c:v>
                </c:pt>
                <c:pt idx="4">
                  <c:v>6.6</c:v>
                </c:pt>
                <c:pt idx="5">
                  <c:v>6.8</c:v>
                </c:pt>
              </c:numCache>
            </c:numRef>
          </c:val>
          <c:smooth val="0"/>
          <c:extLst>
            <c:ext xmlns:c16="http://schemas.microsoft.com/office/drawing/2014/chart" uri="{C3380CC4-5D6E-409C-BE32-E72D297353CC}">
              <c16:uniqueId val="{00000004-E6A6-40A4-8213-133202694F91}"/>
            </c:ext>
          </c:extLst>
        </c:ser>
        <c:ser>
          <c:idx val="2"/>
          <c:order val="2"/>
          <c:tx>
            <c:strRef>
              <c:f>Sheet1!$B$5:$C$5</c:f>
              <c:strCache>
                <c:ptCount val="2"/>
                <c:pt idx="0">
                  <c:v>EU-27</c:v>
                </c:pt>
                <c:pt idx="1">
                  <c:v>0-17 ani</c:v>
                </c:pt>
              </c:strCache>
            </c:strRef>
          </c:tx>
          <c:spPr>
            <a:ln w="28575" cap="rnd">
              <a:solidFill>
                <a:schemeClr val="accent3"/>
              </a:solidFill>
              <a:round/>
            </a:ln>
            <a:effectLst/>
          </c:spPr>
          <c:marker>
            <c:symbol val="none"/>
          </c:marker>
          <c:cat>
            <c:strRef>
              <c:f>Sheet1!$D$2:$I$2</c:f>
              <c:strCache>
                <c:ptCount val="6"/>
                <c:pt idx="0">
                  <c:v>2015</c:v>
                </c:pt>
                <c:pt idx="1">
                  <c:v>2016</c:v>
                </c:pt>
                <c:pt idx="2">
                  <c:v>2017</c:v>
                </c:pt>
                <c:pt idx="3">
                  <c:v>2018</c:v>
                </c:pt>
                <c:pt idx="4">
                  <c:v>2019</c:v>
                </c:pt>
                <c:pt idx="5">
                  <c:v>2020</c:v>
                </c:pt>
              </c:strCache>
            </c:strRef>
          </c:cat>
          <c:val>
            <c:numRef>
              <c:f>Sheet1!$D$5:$I$5</c:f>
              <c:numCache>
                <c:formatCode>#,##0.0</c:formatCode>
                <c:ptCount val="6"/>
                <c:pt idx="0">
                  <c:v>12</c:v>
                </c:pt>
                <c:pt idx="1">
                  <c:v>11.3</c:v>
                </c:pt>
                <c:pt idx="2">
                  <c:v>9.5</c:v>
                </c:pt>
                <c:pt idx="3">
                  <c:v>8.3000000000000007</c:v>
                </c:pt>
                <c:pt idx="4">
                  <c:v>7.7</c:v>
                </c:pt>
                <c:pt idx="5">
                  <c:v>8.3000000000000007</c:v>
                </c:pt>
              </c:numCache>
            </c:numRef>
          </c:val>
          <c:smooth val="0"/>
          <c:extLst>
            <c:ext xmlns:c16="http://schemas.microsoft.com/office/drawing/2014/chart" uri="{C3380CC4-5D6E-409C-BE32-E72D297353CC}">
              <c16:uniqueId val="{00000005-E6A6-40A4-8213-133202694F91}"/>
            </c:ext>
          </c:extLst>
        </c:ser>
        <c:ser>
          <c:idx val="4"/>
          <c:order val="4"/>
          <c:tx>
            <c:strRef>
              <c:f>Sheet1!$B$7:$C$7</c:f>
              <c:strCache>
                <c:ptCount val="2"/>
                <c:pt idx="0">
                  <c:v>EU-27</c:v>
                </c:pt>
                <c:pt idx="1">
                  <c:v>18-64 ani</c:v>
                </c:pt>
              </c:strCache>
            </c:strRef>
          </c:tx>
          <c:spPr>
            <a:ln w="28575" cap="rnd">
              <a:solidFill>
                <a:schemeClr val="accent5"/>
              </a:solidFill>
              <a:round/>
            </a:ln>
            <a:effectLst/>
          </c:spPr>
          <c:marker>
            <c:symbol val="none"/>
          </c:marker>
          <c:cat>
            <c:strRef>
              <c:f>Sheet1!$D$2:$I$2</c:f>
              <c:strCache>
                <c:ptCount val="6"/>
                <c:pt idx="0">
                  <c:v>2015</c:v>
                </c:pt>
                <c:pt idx="1">
                  <c:v>2016</c:v>
                </c:pt>
                <c:pt idx="2">
                  <c:v>2017</c:v>
                </c:pt>
                <c:pt idx="3">
                  <c:v>2018</c:v>
                </c:pt>
                <c:pt idx="4">
                  <c:v>2019</c:v>
                </c:pt>
                <c:pt idx="5">
                  <c:v>2020</c:v>
                </c:pt>
              </c:strCache>
            </c:strRef>
          </c:cat>
          <c:val>
            <c:numRef>
              <c:f>Sheet1!$D$7:$I$7</c:f>
              <c:numCache>
                <c:formatCode>#,##0.0</c:formatCode>
                <c:ptCount val="6"/>
                <c:pt idx="0">
                  <c:v>9.6999999999999993</c:v>
                </c:pt>
                <c:pt idx="1">
                  <c:v>8.8000000000000007</c:v>
                </c:pt>
                <c:pt idx="2">
                  <c:v>7.7</c:v>
                </c:pt>
                <c:pt idx="3">
                  <c:v>6.9</c:v>
                </c:pt>
                <c:pt idx="4">
                  <c:v>6.4</c:v>
                </c:pt>
                <c:pt idx="5">
                  <c:v>6.7</c:v>
                </c:pt>
              </c:numCache>
            </c:numRef>
          </c:val>
          <c:smooth val="0"/>
          <c:extLst>
            <c:ext xmlns:c16="http://schemas.microsoft.com/office/drawing/2014/chart" uri="{C3380CC4-5D6E-409C-BE32-E72D297353CC}">
              <c16:uniqueId val="{00000006-E6A6-40A4-8213-133202694F91}"/>
            </c:ext>
          </c:extLst>
        </c:ser>
        <c:ser>
          <c:idx val="6"/>
          <c:order val="6"/>
          <c:tx>
            <c:strRef>
              <c:f>Sheet1!$B$9:$C$9</c:f>
              <c:strCache>
                <c:ptCount val="2"/>
                <c:pt idx="0">
                  <c:v>EU-27</c:v>
                </c:pt>
                <c:pt idx="1">
                  <c:v>65+ ani</c:v>
                </c:pt>
              </c:strCache>
            </c:strRef>
          </c:tx>
          <c:spPr>
            <a:ln w="28575" cap="rnd">
              <a:solidFill>
                <a:schemeClr val="accent1">
                  <a:lumMod val="60000"/>
                </a:schemeClr>
              </a:solidFill>
              <a:round/>
            </a:ln>
            <a:effectLst/>
          </c:spPr>
          <c:marker>
            <c:symbol val="none"/>
          </c:marker>
          <c:cat>
            <c:strRef>
              <c:f>Sheet1!$D$2:$I$2</c:f>
              <c:strCache>
                <c:ptCount val="6"/>
                <c:pt idx="0">
                  <c:v>2015</c:v>
                </c:pt>
                <c:pt idx="1">
                  <c:v>2016</c:v>
                </c:pt>
                <c:pt idx="2">
                  <c:v>2017</c:v>
                </c:pt>
                <c:pt idx="3">
                  <c:v>2018</c:v>
                </c:pt>
                <c:pt idx="4">
                  <c:v>2019</c:v>
                </c:pt>
                <c:pt idx="5">
                  <c:v>2020</c:v>
                </c:pt>
              </c:strCache>
            </c:strRef>
          </c:cat>
          <c:val>
            <c:numRef>
              <c:f>Sheet1!$D$9:$I$9</c:f>
              <c:numCache>
                <c:formatCode>#,##0.0</c:formatCode>
                <c:ptCount val="6"/>
                <c:pt idx="0">
                  <c:v>7.4</c:v>
                </c:pt>
                <c:pt idx="1">
                  <c:v>7.3</c:v>
                </c:pt>
                <c:pt idx="2">
                  <c:v>6.8</c:v>
                </c:pt>
                <c:pt idx="3">
                  <c:v>6.6</c:v>
                </c:pt>
                <c:pt idx="4">
                  <c:v>6.4</c:v>
                </c:pt>
                <c:pt idx="5">
                  <c:v>5.8</c:v>
                </c:pt>
              </c:numCache>
            </c:numRef>
          </c:val>
          <c:smooth val="0"/>
          <c:extLst>
            <c:ext xmlns:c16="http://schemas.microsoft.com/office/drawing/2014/chart" uri="{C3380CC4-5D6E-409C-BE32-E72D297353CC}">
              <c16:uniqueId val="{00000007-E6A6-40A4-8213-133202694F91}"/>
            </c:ext>
          </c:extLst>
        </c:ser>
        <c:dLbls>
          <c:showLegendKey val="0"/>
          <c:showVal val="0"/>
          <c:showCatName val="0"/>
          <c:showSerName val="0"/>
          <c:showPercent val="0"/>
          <c:showBubbleSize val="0"/>
        </c:dLbls>
        <c:marker val="1"/>
        <c:smooth val="0"/>
        <c:axId val="576826648"/>
        <c:axId val="576824024"/>
        <c:extLst>
          <c:ext xmlns:c15="http://schemas.microsoft.com/office/drawing/2012/chart" uri="{02D57815-91ED-43cb-92C2-25804820EDAC}">
            <c15:filteredLineSeries>
              <c15:ser>
                <c:idx val="8"/>
                <c:order val="8"/>
                <c:tx>
                  <c:strRef>
                    <c:extLst>
                      <c:ext uri="{02D57815-91ED-43cb-92C2-25804820EDAC}">
                        <c15:formulaRef>
                          <c15:sqref>Sheet1!$B$11:$C$11</c15:sqref>
                        </c15:formulaRef>
                      </c:ext>
                    </c:extLst>
                    <c:strCache>
                      <c:ptCount val="2"/>
                      <c:pt idx="0">
                        <c:v>EU-27</c:v>
                      </c:pt>
                      <c:pt idx="1">
                        <c:v>75+ ani</c:v>
                      </c:pt>
                    </c:strCache>
                  </c:strRef>
                </c:tx>
                <c:spPr>
                  <a:ln w="28575" cap="rnd">
                    <a:solidFill>
                      <a:schemeClr val="accent3">
                        <a:lumMod val="60000"/>
                      </a:schemeClr>
                    </a:solidFill>
                    <a:round/>
                  </a:ln>
                  <a:effectLst/>
                </c:spPr>
                <c:marker>
                  <c:symbol val="none"/>
                </c:marker>
                <c:cat>
                  <c:strRef>
                    <c:extLst>
                      <c:ext uri="{02D57815-91ED-43cb-92C2-25804820EDAC}">
                        <c15:formulaRef>
                          <c15:sqref>Sheet1!$D$2:$I$2</c15:sqref>
                        </c15:formulaRef>
                      </c:ext>
                    </c:extLst>
                    <c:strCache>
                      <c:ptCount val="6"/>
                      <c:pt idx="0">
                        <c:v>2015</c:v>
                      </c:pt>
                      <c:pt idx="1">
                        <c:v>2016</c:v>
                      </c:pt>
                      <c:pt idx="2">
                        <c:v>2017</c:v>
                      </c:pt>
                      <c:pt idx="3">
                        <c:v>2018</c:v>
                      </c:pt>
                      <c:pt idx="4">
                        <c:v>2019</c:v>
                      </c:pt>
                      <c:pt idx="5">
                        <c:v>2020</c:v>
                      </c:pt>
                    </c:strCache>
                  </c:strRef>
                </c:cat>
                <c:val>
                  <c:numRef>
                    <c:extLst>
                      <c:ext uri="{02D57815-91ED-43cb-92C2-25804820EDAC}">
                        <c15:formulaRef>
                          <c15:sqref>Sheet1!$D$11:$I$11</c15:sqref>
                        </c15:formulaRef>
                      </c:ext>
                    </c:extLst>
                    <c:numCache>
                      <c:formatCode>#,##0.0</c:formatCode>
                      <c:ptCount val="6"/>
                      <c:pt idx="0">
                        <c:v>6.7</c:v>
                      </c:pt>
                      <c:pt idx="1">
                        <c:v>6.9</c:v>
                      </c:pt>
                      <c:pt idx="2">
                        <c:v>6.4</c:v>
                      </c:pt>
                      <c:pt idx="3">
                        <c:v>6.5</c:v>
                      </c:pt>
                      <c:pt idx="4">
                        <c:v>6.3</c:v>
                      </c:pt>
                      <c:pt idx="5">
                        <c:v>5.4</c:v>
                      </c:pt>
                    </c:numCache>
                  </c:numRef>
                </c:val>
                <c:smooth val="0"/>
                <c:extLst>
                  <c:ext xmlns:c16="http://schemas.microsoft.com/office/drawing/2014/chart" uri="{C3380CC4-5D6E-409C-BE32-E72D297353CC}">
                    <c16:uniqueId val="{00000008-E6A6-40A4-8213-133202694F91}"/>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Sheet1!$B$13:$C$13</c15:sqref>
                        </c15:formulaRef>
                      </c:ext>
                    </c:extLst>
                    <c:strCache>
                      <c:ptCount val="2"/>
                      <c:pt idx="0">
                        <c:v>EU-27</c:v>
                      </c:pt>
                      <c:pt idx="1">
                        <c:v>85+ ani</c:v>
                      </c:pt>
                    </c:strCache>
                  </c:strRef>
                </c:tx>
                <c:spPr>
                  <a:ln w="28575" cap="rnd">
                    <a:solidFill>
                      <a:schemeClr val="accent5">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Sheet1!$D$2:$I$2</c15:sqref>
                        </c15:formulaRef>
                      </c:ext>
                    </c:extLst>
                    <c:strCache>
                      <c:ptCount val="6"/>
                      <c:pt idx="0">
                        <c:v>2015</c:v>
                      </c:pt>
                      <c:pt idx="1">
                        <c:v>2016</c:v>
                      </c:pt>
                      <c:pt idx="2">
                        <c:v>2017</c:v>
                      </c:pt>
                      <c:pt idx="3">
                        <c:v>2018</c:v>
                      </c:pt>
                      <c:pt idx="4">
                        <c:v>2019</c:v>
                      </c:pt>
                      <c:pt idx="5">
                        <c:v>2020</c:v>
                      </c:pt>
                    </c:strCache>
                  </c:strRef>
                </c:cat>
                <c:val>
                  <c:numRef>
                    <c:extLst xmlns:c15="http://schemas.microsoft.com/office/drawing/2012/chart">
                      <c:ext xmlns:c15="http://schemas.microsoft.com/office/drawing/2012/chart" uri="{02D57815-91ED-43cb-92C2-25804820EDAC}">
                        <c15:formulaRef>
                          <c15:sqref>Sheet1!$D$13:$I$13</c15:sqref>
                        </c15:formulaRef>
                      </c:ext>
                    </c:extLst>
                    <c:numCache>
                      <c:formatCode>#,##0.0</c:formatCode>
                      <c:ptCount val="6"/>
                      <c:pt idx="0">
                        <c:v>5.4</c:v>
                      </c:pt>
                      <c:pt idx="1">
                        <c:v>5.6</c:v>
                      </c:pt>
                      <c:pt idx="2">
                        <c:v>5.8</c:v>
                      </c:pt>
                      <c:pt idx="3">
                        <c:v>6.8</c:v>
                      </c:pt>
                      <c:pt idx="4">
                        <c:v>6.4</c:v>
                      </c:pt>
                      <c:pt idx="5">
                        <c:v>5.0999999999999996</c:v>
                      </c:pt>
                    </c:numCache>
                  </c:numRef>
                </c:val>
                <c:smooth val="0"/>
                <c:extLst xmlns:c15="http://schemas.microsoft.com/office/drawing/2012/chart">
                  <c:ext xmlns:c16="http://schemas.microsoft.com/office/drawing/2014/chart" uri="{C3380CC4-5D6E-409C-BE32-E72D297353CC}">
                    <c16:uniqueId val="{0000000A-E6A6-40A4-8213-133202694F91}"/>
                  </c:ext>
                </c:extLst>
              </c15:ser>
            </c15:filteredLineSeries>
          </c:ext>
        </c:extLst>
      </c:lineChart>
      <c:catAx>
        <c:axId val="576826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6824024"/>
        <c:crosses val="autoZero"/>
        <c:auto val="1"/>
        <c:lblAlgn val="ctr"/>
        <c:lblOffset val="100"/>
        <c:noMultiLvlLbl val="0"/>
      </c:catAx>
      <c:valAx>
        <c:axId val="576824024"/>
        <c:scaling>
          <c:orientation val="minMax"/>
          <c:max val="4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6826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Sheet1!$C$27</c:f>
              <c:strCache>
                <c:ptCount val="1"/>
                <c:pt idx="0">
                  <c:v>Total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Sheet1!$D$26:$I$26</c:f>
              <c:strCache>
                <c:ptCount val="6"/>
                <c:pt idx="0">
                  <c:v>2015</c:v>
                </c:pt>
                <c:pt idx="1">
                  <c:v>2016</c:v>
                </c:pt>
                <c:pt idx="2">
                  <c:v>2017</c:v>
                </c:pt>
                <c:pt idx="3">
                  <c:v>2018</c:v>
                </c:pt>
                <c:pt idx="4">
                  <c:v>2019</c:v>
                </c:pt>
                <c:pt idx="5">
                  <c:v>2020</c:v>
                </c:pt>
              </c:strCache>
            </c:strRef>
          </c:cat>
          <c:val>
            <c:numRef>
              <c:f>Sheet1!$D$27:$I$27</c:f>
              <c:numCache>
                <c:formatCode>#,##0.0</c:formatCode>
                <c:ptCount val="6"/>
                <c:pt idx="0">
                  <c:v>34.200000000000003</c:v>
                </c:pt>
                <c:pt idx="1">
                  <c:v>36.1</c:v>
                </c:pt>
                <c:pt idx="2">
                  <c:v>32.700000000000003</c:v>
                </c:pt>
                <c:pt idx="3">
                  <c:v>28.7</c:v>
                </c:pt>
                <c:pt idx="4">
                  <c:v>24.8</c:v>
                </c:pt>
                <c:pt idx="5">
                  <c:v>25.6</c:v>
                </c:pt>
              </c:numCache>
            </c:numRef>
          </c:val>
          <c:smooth val="0"/>
          <c:extLst>
            <c:ext xmlns:c16="http://schemas.microsoft.com/office/drawing/2014/chart" uri="{C3380CC4-5D6E-409C-BE32-E72D297353CC}">
              <c16:uniqueId val="{00000000-49CC-4569-A2AD-FEFC38C1C86F}"/>
            </c:ext>
          </c:extLst>
        </c:ser>
        <c:ser>
          <c:idx val="1"/>
          <c:order val="1"/>
          <c:tx>
            <c:strRef>
              <c:f>Sheet1!$C$28</c:f>
              <c:strCache>
                <c:ptCount val="1"/>
                <c:pt idx="0">
                  <c:v>0-17 ani</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Sheet1!$D$26:$I$26</c:f>
              <c:strCache>
                <c:ptCount val="6"/>
                <c:pt idx="0">
                  <c:v>2015</c:v>
                </c:pt>
                <c:pt idx="1">
                  <c:v>2016</c:v>
                </c:pt>
                <c:pt idx="2">
                  <c:v>2017</c:v>
                </c:pt>
                <c:pt idx="3">
                  <c:v>2018</c:v>
                </c:pt>
                <c:pt idx="4">
                  <c:v>2019</c:v>
                </c:pt>
                <c:pt idx="5">
                  <c:v>2020</c:v>
                </c:pt>
              </c:strCache>
            </c:strRef>
          </c:cat>
          <c:val>
            <c:numRef>
              <c:f>Sheet1!$D$28:$I$28</c:f>
              <c:numCache>
                <c:formatCode>#,##0.0</c:formatCode>
                <c:ptCount val="6"/>
                <c:pt idx="0">
                  <c:v>41</c:v>
                </c:pt>
                <c:pt idx="1">
                  <c:v>44.5</c:v>
                </c:pt>
                <c:pt idx="2">
                  <c:v>38.200000000000003</c:v>
                </c:pt>
                <c:pt idx="3">
                  <c:v>33.299999999999997</c:v>
                </c:pt>
                <c:pt idx="4">
                  <c:v>27.1</c:v>
                </c:pt>
                <c:pt idx="5">
                  <c:v>31</c:v>
                </c:pt>
              </c:numCache>
            </c:numRef>
          </c:val>
          <c:smooth val="0"/>
          <c:extLst>
            <c:ext xmlns:c16="http://schemas.microsoft.com/office/drawing/2014/chart" uri="{C3380CC4-5D6E-409C-BE32-E72D297353CC}">
              <c16:uniqueId val="{00000001-49CC-4569-A2AD-FEFC38C1C86F}"/>
            </c:ext>
          </c:extLst>
        </c:ser>
        <c:ser>
          <c:idx val="2"/>
          <c:order val="2"/>
          <c:tx>
            <c:strRef>
              <c:f>Sheet1!$C$29</c:f>
              <c:strCache>
                <c:ptCount val="1"/>
                <c:pt idx="0">
                  <c:v>18-64 ani</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Sheet1!$D$26:$I$26</c:f>
              <c:strCache>
                <c:ptCount val="6"/>
                <c:pt idx="0">
                  <c:v>2015</c:v>
                </c:pt>
                <c:pt idx="1">
                  <c:v>2016</c:v>
                </c:pt>
                <c:pt idx="2">
                  <c:v>2017</c:v>
                </c:pt>
                <c:pt idx="3">
                  <c:v>2018</c:v>
                </c:pt>
                <c:pt idx="4">
                  <c:v>2019</c:v>
                </c:pt>
                <c:pt idx="5">
                  <c:v>2020</c:v>
                </c:pt>
              </c:strCache>
            </c:strRef>
          </c:cat>
          <c:val>
            <c:numRef>
              <c:f>Sheet1!$D$29:$I$29</c:f>
              <c:numCache>
                <c:formatCode>#,##0.0</c:formatCode>
                <c:ptCount val="6"/>
                <c:pt idx="0">
                  <c:v>31.5</c:v>
                </c:pt>
                <c:pt idx="1">
                  <c:v>32.799999999999997</c:v>
                </c:pt>
                <c:pt idx="2">
                  <c:v>29.9</c:v>
                </c:pt>
                <c:pt idx="3">
                  <c:v>25.9</c:v>
                </c:pt>
                <c:pt idx="4">
                  <c:v>21.8</c:v>
                </c:pt>
                <c:pt idx="5">
                  <c:v>22.2</c:v>
                </c:pt>
              </c:numCache>
            </c:numRef>
          </c:val>
          <c:smooth val="0"/>
          <c:extLst>
            <c:ext xmlns:c16="http://schemas.microsoft.com/office/drawing/2014/chart" uri="{C3380CC4-5D6E-409C-BE32-E72D297353CC}">
              <c16:uniqueId val="{00000002-49CC-4569-A2AD-FEFC38C1C86F}"/>
            </c:ext>
          </c:extLst>
        </c:ser>
        <c:ser>
          <c:idx val="3"/>
          <c:order val="3"/>
          <c:tx>
            <c:strRef>
              <c:f>Sheet1!$C$30</c:f>
              <c:strCache>
                <c:ptCount val="1"/>
                <c:pt idx="0">
                  <c:v>65+ ani</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Sheet1!$D$26:$I$26</c:f>
              <c:strCache>
                <c:ptCount val="6"/>
                <c:pt idx="0">
                  <c:v>2015</c:v>
                </c:pt>
                <c:pt idx="1">
                  <c:v>2016</c:v>
                </c:pt>
                <c:pt idx="2">
                  <c:v>2017</c:v>
                </c:pt>
                <c:pt idx="3">
                  <c:v>2018</c:v>
                </c:pt>
                <c:pt idx="4">
                  <c:v>2019</c:v>
                </c:pt>
                <c:pt idx="5">
                  <c:v>2020</c:v>
                </c:pt>
              </c:strCache>
            </c:strRef>
          </c:cat>
          <c:val>
            <c:numRef>
              <c:f>Sheet1!$D$30:$I$30</c:f>
              <c:numCache>
                <c:formatCode>#,##0.0</c:formatCode>
                <c:ptCount val="6"/>
                <c:pt idx="0">
                  <c:v>36.700000000000003</c:v>
                </c:pt>
                <c:pt idx="1">
                  <c:v>39.1</c:v>
                </c:pt>
                <c:pt idx="2">
                  <c:v>36.6</c:v>
                </c:pt>
                <c:pt idx="3">
                  <c:v>33.700000000000003</c:v>
                </c:pt>
                <c:pt idx="4">
                  <c:v>32.4</c:v>
                </c:pt>
                <c:pt idx="5">
                  <c:v>31.3</c:v>
                </c:pt>
              </c:numCache>
            </c:numRef>
          </c:val>
          <c:smooth val="0"/>
          <c:extLst>
            <c:ext xmlns:c16="http://schemas.microsoft.com/office/drawing/2014/chart" uri="{C3380CC4-5D6E-409C-BE32-E72D297353CC}">
              <c16:uniqueId val="{00000003-49CC-4569-A2AD-FEFC38C1C86F}"/>
            </c:ext>
          </c:extLst>
        </c:ser>
        <c:dLbls>
          <c:showLegendKey val="0"/>
          <c:showVal val="0"/>
          <c:showCatName val="0"/>
          <c:showSerName val="0"/>
          <c:showPercent val="0"/>
          <c:showBubbleSize val="0"/>
        </c:dLbls>
        <c:marker val="1"/>
        <c:smooth val="0"/>
        <c:axId val="626963656"/>
        <c:axId val="626967264"/>
        <c:extLst>
          <c:ext xmlns:c15="http://schemas.microsoft.com/office/drawing/2012/chart" uri="{02D57815-91ED-43cb-92C2-25804820EDAC}">
            <c15:filteredLineSeries>
              <c15:ser>
                <c:idx val="4"/>
                <c:order val="4"/>
                <c:tx>
                  <c:strRef>
                    <c:extLst>
                      <c:ext uri="{02D57815-91ED-43cb-92C2-25804820EDAC}">
                        <c15:formulaRef>
                          <c15:sqref>Sheet1!$C$31</c15:sqref>
                        </c15:formulaRef>
                      </c:ext>
                    </c:extLst>
                    <c:strCache>
                      <c:ptCount val="1"/>
                      <c:pt idx="0">
                        <c:v>75+ ani</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extLst>
                      <c:ext uri="{02D57815-91ED-43cb-92C2-25804820EDAC}">
                        <c15:formulaRef>
                          <c15:sqref>Sheet1!$D$26:$I$26</c15:sqref>
                        </c15:formulaRef>
                      </c:ext>
                    </c:extLst>
                    <c:strCache>
                      <c:ptCount val="6"/>
                      <c:pt idx="0">
                        <c:v>2015</c:v>
                      </c:pt>
                      <c:pt idx="1">
                        <c:v>2016</c:v>
                      </c:pt>
                      <c:pt idx="2">
                        <c:v>2017</c:v>
                      </c:pt>
                      <c:pt idx="3">
                        <c:v>2018</c:v>
                      </c:pt>
                      <c:pt idx="4">
                        <c:v>2019</c:v>
                      </c:pt>
                      <c:pt idx="5">
                        <c:v>2020</c:v>
                      </c:pt>
                    </c:strCache>
                  </c:strRef>
                </c:cat>
                <c:val>
                  <c:numRef>
                    <c:extLst>
                      <c:ext uri="{02D57815-91ED-43cb-92C2-25804820EDAC}">
                        <c15:formulaRef>
                          <c15:sqref>Sheet1!$D$31:$I$31</c15:sqref>
                        </c15:formulaRef>
                      </c:ext>
                    </c:extLst>
                    <c:numCache>
                      <c:formatCode>#,##0.0</c:formatCode>
                      <c:ptCount val="6"/>
                      <c:pt idx="0">
                        <c:v>38.1</c:v>
                      </c:pt>
                      <c:pt idx="1">
                        <c:v>43.1</c:v>
                      </c:pt>
                      <c:pt idx="2">
                        <c:v>40.6</c:v>
                      </c:pt>
                      <c:pt idx="3">
                        <c:v>37.1</c:v>
                      </c:pt>
                      <c:pt idx="4">
                        <c:v>36.200000000000003</c:v>
                      </c:pt>
                      <c:pt idx="5">
                        <c:v>35</c:v>
                      </c:pt>
                    </c:numCache>
                  </c:numRef>
                </c:val>
                <c:smooth val="0"/>
                <c:extLst>
                  <c:ext xmlns:c16="http://schemas.microsoft.com/office/drawing/2014/chart" uri="{C3380CC4-5D6E-409C-BE32-E72D297353CC}">
                    <c16:uniqueId val="{00000004-49CC-4569-A2AD-FEFC38C1C86F}"/>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Sheet1!$C$32</c15:sqref>
                        </c15:formulaRef>
                      </c:ext>
                    </c:extLst>
                    <c:strCache>
                      <c:ptCount val="1"/>
                      <c:pt idx="0">
                        <c:v>85+ ani</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extLst xmlns:c15="http://schemas.microsoft.com/office/drawing/2012/chart">
                      <c:ext xmlns:c15="http://schemas.microsoft.com/office/drawing/2012/chart" uri="{02D57815-91ED-43cb-92C2-25804820EDAC}">
                        <c15:formulaRef>
                          <c15:sqref>Sheet1!$D$26:$I$26</c15:sqref>
                        </c15:formulaRef>
                      </c:ext>
                    </c:extLst>
                    <c:strCache>
                      <c:ptCount val="6"/>
                      <c:pt idx="0">
                        <c:v>2015</c:v>
                      </c:pt>
                      <c:pt idx="1">
                        <c:v>2016</c:v>
                      </c:pt>
                      <c:pt idx="2">
                        <c:v>2017</c:v>
                      </c:pt>
                      <c:pt idx="3">
                        <c:v>2018</c:v>
                      </c:pt>
                      <c:pt idx="4">
                        <c:v>2019</c:v>
                      </c:pt>
                      <c:pt idx="5">
                        <c:v>2020</c:v>
                      </c:pt>
                    </c:strCache>
                  </c:strRef>
                </c:cat>
                <c:val>
                  <c:numRef>
                    <c:extLst xmlns:c15="http://schemas.microsoft.com/office/drawing/2012/chart">
                      <c:ext xmlns:c15="http://schemas.microsoft.com/office/drawing/2012/chart" uri="{02D57815-91ED-43cb-92C2-25804820EDAC}">
                        <c15:formulaRef>
                          <c15:sqref>Sheet1!$D$32:$I$32</c15:sqref>
                        </c15:formulaRef>
                      </c:ext>
                    </c:extLst>
                    <c:numCache>
                      <c:formatCode>#,##0.0</c:formatCode>
                      <c:ptCount val="6"/>
                      <c:pt idx="0">
                        <c:v>38.9</c:v>
                      </c:pt>
                      <c:pt idx="1">
                        <c:v>43.6</c:v>
                      </c:pt>
                      <c:pt idx="2">
                        <c:v>38.299999999999997</c:v>
                      </c:pt>
                      <c:pt idx="3">
                        <c:v>38.5</c:v>
                      </c:pt>
                      <c:pt idx="4">
                        <c:v>37.799999999999997</c:v>
                      </c:pt>
                      <c:pt idx="5">
                        <c:v>39.9</c:v>
                      </c:pt>
                    </c:numCache>
                  </c:numRef>
                </c:val>
                <c:smooth val="0"/>
                <c:extLst xmlns:c15="http://schemas.microsoft.com/office/drawing/2012/chart">
                  <c:ext xmlns:c16="http://schemas.microsoft.com/office/drawing/2014/chart" uri="{C3380CC4-5D6E-409C-BE32-E72D297353CC}">
                    <c16:uniqueId val="{00000005-49CC-4569-A2AD-FEFC38C1C86F}"/>
                  </c:ext>
                </c:extLst>
              </c15:ser>
            </c15:filteredLineSeries>
          </c:ext>
        </c:extLst>
      </c:lineChart>
      <c:catAx>
        <c:axId val="626963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967264"/>
        <c:crosses val="autoZero"/>
        <c:auto val="1"/>
        <c:lblAlgn val="ctr"/>
        <c:lblOffset val="100"/>
        <c:noMultiLvlLbl val="0"/>
      </c:catAx>
      <c:valAx>
        <c:axId val="626967264"/>
        <c:scaling>
          <c:orientation val="minMax"/>
          <c:max val="45"/>
          <c:min val="2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963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99209607346089E-2"/>
          <c:y val="3.8800705467372132E-2"/>
          <c:w val="0.88300423985463361"/>
          <c:h val="0.7986829424099765"/>
        </c:manualLayout>
      </c:layout>
      <c:barChart>
        <c:barDir val="col"/>
        <c:grouping val="clustered"/>
        <c:varyColors val="0"/>
        <c:ser>
          <c:idx val="0"/>
          <c:order val="0"/>
          <c:tx>
            <c:strRef>
              <c:f>Sheet1!$C$27</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Sheet1!$D$26:$I$26</c:f>
              <c:strCache>
                <c:ptCount val="6"/>
                <c:pt idx="0">
                  <c:v>2015</c:v>
                </c:pt>
                <c:pt idx="1">
                  <c:v>2016</c:v>
                </c:pt>
                <c:pt idx="2">
                  <c:v>2017</c:v>
                </c:pt>
                <c:pt idx="3">
                  <c:v>2018</c:v>
                </c:pt>
                <c:pt idx="4">
                  <c:v>2019</c:v>
                </c:pt>
                <c:pt idx="5">
                  <c:v>2020</c:v>
                </c:pt>
              </c:strCache>
            </c:strRef>
          </c:cat>
          <c:val>
            <c:numRef>
              <c:f>Sheet1!$D$27:$I$27</c:f>
              <c:numCache>
                <c:formatCode>#,##0.0</c:formatCode>
                <c:ptCount val="6"/>
                <c:pt idx="0">
                  <c:v>34.200000000000003</c:v>
                </c:pt>
                <c:pt idx="1">
                  <c:v>36.1</c:v>
                </c:pt>
                <c:pt idx="2">
                  <c:v>32.700000000000003</c:v>
                </c:pt>
                <c:pt idx="3">
                  <c:v>28.7</c:v>
                </c:pt>
                <c:pt idx="4">
                  <c:v>24.8</c:v>
                </c:pt>
                <c:pt idx="5">
                  <c:v>25.6</c:v>
                </c:pt>
              </c:numCache>
            </c:numRef>
          </c:val>
          <c:extLst>
            <c:ext xmlns:c16="http://schemas.microsoft.com/office/drawing/2014/chart" uri="{C3380CC4-5D6E-409C-BE32-E72D297353CC}">
              <c16:uniqueId val="{00000000-3973-475F-BFE4-7BBBF05CA31A}"/>
            </c:ext>
          </c:extLst>
        </c:ser>
        <c:ser>
          <c:idx val="3"/>
          <c:order val="3"/>
          <c:tx>
            <c:strRef>
              <c:f>Sheet1!$C$30</c:f>
              <c:strCache>
                <c:ptCount val="1"/>
                <c:pt idx="0">
                  <c:v>65+ ani</c:v>
                </c:pt>
              </c:strCache>
            </c:strRef>
          </c:tx>
          <c:spPr>
            <a:solidFill>
              <a:schemeClr val="accent4"/>
            </a:solidFill>
            <a:ln w="2540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Sheet1!$D$26:$I$26</c:f>
              <c:strCache>
                <c:ptCount val="6"/>
                <c:pt idx="0">
                  <c:v>2015</c:v>
                </c:pt>
                <c:pt idx="1">
                  <c:v>2016</c:v>
                </c:pt>
                <c:pt idx="2">
                  <c:v>2017</c:v>
                </c:pt>
                <c:pt idx="3">
                  <c:v>2018</c:v>
                </c:pt>
                <c:pt idx="4">
                  <c:v>2019</c:v>
                </c:pt>
                <c:pt idx="5">
                  <c:v>2020</c:v>
                </c:pt>
              </c:strCache>
            </c:strRef>
          </c:cat>
          <c:val>
            <c:numRef>
              <c:f>Sheet1!$D$30:$I$30</c:f>
              <c:numCache>
                <c:formatCode>#,##0.0</c:formatCode>
                <c:ptCount val="6"/>
                <c:pt idx="0">
                  <c:v>36.700000000000003</c:v>
                </c:pt>
                <c:pt idx="1">
                  <c:v>39.1</c:v>
                </c:pt>
                <c:pt idx="2">
                  <c:v>36.6</c:v>
                </c:pt>
                <c:pt idx="3">
                  <c:v>33.700000000000003</c:v>
                </c:pt>
                <c:pt idx="4">
                  <c:v>32.4</c:v>
                </c:pt>
                <c:pt idx="5">
                  <c:v>31.3</c:v>
                </c:pt>
              </c:numCache>
            </c:numRef>
          </c:val>
          <c:extLst>
            <c:ext xmlns:c16="http://schemas.microsoft.com/office/drawing/2014/chart" uri="{C3380CC4-5D6E-409C-BE32-E72D297353CC}">
              <c16:uniqueId val="{00000001-3973-475F-BFE4-7BBBF05CA31A}"/>
            </c:ext>
          </c:extLst>
        </c:ser>
        <c:dLbls>
          <c:showLegendKey val="0"/>
          <c:showVal val="0"/>
          <c:showCatName val="0"/>
          <c:showSerName val="0"/>
          <c:showPercent val="0"/>
          <c:showBubbleSize val="0"/>
        </c:dLbls>
        <c:gapWidth val="150"/>
        <c:axId val="626963656"/>
        <c:axId val="626967264"/>
        <c:extLst>
          <c:ext xmlns:c15="http://schemas.microsoft.com/office/drawing/2012/chart" uri="{02D57815-91ED-43cb-92C2-25804820EDAC}">
            <c15:filteredBarSeries>
              <c15:ser>
                <c:idx val="1"/>
                <c:order val="1"/>
                <c:tx>
                  <c:strRef>
                    <c:extLst>
                      <c:ext uri="{02D57815-91ED-43cb-92C2-25804820EDAC}">
                        <c15:formulaRef>
                          <c15:sqref>Sheet1!$C$28</c15:sqref>
                        </c15:formulaRef>
                      </c:ext>
                    </c:extLst>
                    <c:strCache>
                      <c:ptCount val="1"/>
                      <c:pt idx="0">
                        <c:v>0-17 ani</c:v>
                      </c:pt>
                    </c:strCache>
                  </c:strRef>
                </c:tx>
                <c:spPr>
                  <a:solidFill>
                    <a:schemeClr val="accent2"/>
                  </a:solidFill>
                  <a:ln>
                    <a:noFill/>
                  </a:ln>
                  <a:effectLst/>
                </c:spPr>
                <c:invertIfNegative val="0"/>
                <c:cat>
                  <c:strRef>
                    <c:extLst>
                      <c:ext uri="{02D57815-91ED-43cb-92C2-25804820EDAC}">
                        <c15:formulaRef>
                          <c15:sqref>Sheet1!$D$26:$I$26</c15:sqref>
                        </c15:formulaRef>
                      </c:ext>
                    </c:extLst>
                    <c:strCache>
                      <c:ptCount val="6"/>
                      <c:pt idx="0">
                        <c:v>2015</c:v>
                      </c:pt>
                      <c:pt idx="1">
                        <c:v>2016</c:v>
                      </c:pt>
                      <c:pt idx="2">
                        <c:v>2017</c:v>
                      </c:pt>
                      <c:pt idx="3">
                        <c:v>2018</c:v>
                      </c:pt>
                      <c:pt idx="4">
                        <c:v>2019</c:v>
                      </c:pt>
                      <c:pt idx="5">
                        <c:v>2020</c:v>
                      </c:pt>
                    </c:strCache>
                  </c:strRef>
                </c:cat>
                <c:val>
                  <c:numRef>
                    <c:extLst>
                      <c:ext uri="{02D57815-91ED-43cb-92C2-25804820EDAC}">
                        <c15:formulaRef>
                          <c15:sqref>Sheet1!$D$28:$I$28</c15:sqref>
                        </c15:formulaRef>
                      </c:ext>
                    </c:extLst>
                    <c:numCache>
                      <c:formatCode>#,##0.0</c:formatCode>
                      <c:ptCount val="6"/>
                      <c:pt idx="0">
                        <c:v>41</c:v>
                      </c:pt>
                      <c:pt idx="1">
                        <c:v>44.5</c:v>
                      </c:pt>
                      <c:pt idx="2">
                        <c:v>38.200000000000003</c:v>
                      </c:pt>
                      <c:pt idx="3">
                        <c:v>33.299999999999997</c:v>
                      </c:pt>
                      <c:pt idx="4">
                        <c:v>27.1</c:v>
                      </c:pt>
                      <c:pt idx="5">
                        <c:v>31</c:v>
                      </c:pt>
                    </c:numCache>
                  </c:numRef>
                </c:val>
                <c:extLst>
                  <c:ext xmlns:c16="http://schemas.microsoft.com/office/drawing/2014/chart" uri="{C3380CC4-5D6E-409C-BE32-E72D297353CC}">
                    <c16:uniqueId val="{00000007-3973-475F-BFE4-7BBBF05CA31A}"/>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Sheet1!$C$29</c15:sqref>
                        </c15:formulaRef>
                      </c:ext>
                    </c:extLst>
                    <c:strCache>
                      <c:ptCount val="1"/>
                      <c:pt idx="0">
                        <c:v>18-64 ani</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Sheet1!$D$26:$I$26</c15:sqref>
                        </c15:formulaRef>
                      </c:ext>
                    </c:extLst>
                    <c:strCache>
                      <c:ptCount val="6"/>
                      <c:pt idx="0">
                        <c:v>2015</c:v>
                      </c:pt>
                      <c:pt idx="1">
                        <c:v>2016</c:v>
                      </c:pt>
                      <c:pt idx="2">
                        <c:v>2017</c:v>
                      </c:pt>
                      <c:pt idx="3">
                        <c:v>2018</c:v>
                      </c:pt>
                      <c:pt idx="4">
                        <c:v>2019</c:v>
                      </c:pt>
                      <c:pt idx="5">
                        <c:v>2020</c:v>
                      </c:pt>
                    </c:strCache>
                  </c:strRef>
                </c:cat>
                <c:val>
                  <c:numRef>
                    <c:extLst xmlns:c15="http://schemas.microsoft.com/office/drawing/2012/chart">
                      <c:ext xmlns:c15="http://schemas.microsoft.com/office/drawing/2012/chart" uri="{02D57815-91ED-43cb-92C2-25804820EDAC}">
                        <c15:formulaRef>
                          <c15:sqref>Sheet1!$D$29:$I$29</c15:sqref>
                        </c15:formulaRef>
                      </c:ext>
                    </c:extLst>
                    <c:numCache>
                      <c:formatCode>#,##0.0</c:formatCode>
                      <c:ptCount val="6"/>
                      <c:pt idx="0">
                        <c:v>31.5</c:v>
                      </c:pt>
                      <c:pt idx="1">
                        <c:v>32.799999999999997</c:v>
                      </c:pt>
                      <c:pt idx="2">
                        <c:v>29.9</c:v>
                      </c:pt>
                      <c:pt idx="3">
                        <c:v>25.9</c:v>
                      </c:pt>
                      <c:pt idx="4">
                        <c:v>21.8</c:v>
                      </c:pt>
                      <c:pt idx="5">
                        <c:v>22.2</c:v>
                      </c:pt>
                    </c:numCache>
                  </c:numRef>
                </c:val>
                <c:extLst xmlns:c15="http://schemas.microsoft.com/office/drawing/2012/chart">
                  <c:ext xmlns:c16="http://schemas.microsoft.com/office/drawing/2014/chart" uri="{C3380CC4-5D6E-409C-BE32-E72D297353CC}">
                    <c16:uniqueId val="{00000008-3973-475F-BFE4-7BBBF05CA31A}"/>
                  </c:ext>
                </c:extLst>
              </c15:ser>
            </c15:filteredBarSeries>
          </c:ext>
        </c:extLst>
      </c:barChart>
      <c:scatterChart>
        <c:scatterStyle val="lineMarker"/>
        <c:varyColors val="0"/>
        <c:ser>
          <c:idx val="4"/>
          <c:order val="4"/>
          <c:tx>
            <c:strRef>
              <c:f>Sheet1!$C$31</c:f>
              <c:strCache>
                <c:ptCount val="1"/>
                <c:pt idx="0">
                  <c:v>75+ ani</c:v>
                </c:pt>
              </c:strCache>
            </c:strRef>
          </c:tx>
          <c:spPr>
            <a:ln w="25400"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5.2016484312162069E-2"/>
                  <c:y val="2.16959722139995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973-475F-BFE4-7BBBF05CA31A}"/>
                </c:ext>
              </c:extLst>
            </c:dLbl>
            <c:dLbl>
              <c:idx val="2"/>
              <c:layout>
                <c:manualLayout>
                  <c:x val="-2.5593617037186659E-2"/>
                  <c:y val="-3.35360857670568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973-475F-BFE4-7BBBF05CA31A}"/>
                </c:ext>
              </c:extLst>
            </c:dLbl>
            <c:spPr>
              <a:solidFill>
                <a:schemeClr val="accent2">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Sheet1!$D$26:$I$26</c:f>
              <c:strCache>
                <c:ptCount val="6"/>
                <c:pt idx="0">
                  <c:v>2015</c:v>
                </c:pt>
                <c:pt idx="1">
                  <c:v>2016</c:v>
                </c:pt>
                <c:pt idx="2">
                  <c:v>2017</c:v>
                </c:pt>
                <c:pt idx="3">
                  <c:v>2018</c:v>
                </c:pt>
                <c:pt idx="4">
                  <c:v>2019</c:v>
                </c:pt>
                <c:pt idx="5">
                  <c:v>2020</c:v>
                </c:pt>
              </c:strCache>
            </c:strRef>
          </c:xVal>
          <c:yVal>
            <c:numRef>
              <c:f>Sheet1!$D$31:$I$31</c:f>
              <c:numCache>
                <c:formatCode>#,##0.0</c:formatCode>
                <c:ptCount val="6"/>
                <c:pt idx="0">
                  <c:v>38.1</c:v>
                </c:pt>
                <c:pt idx="1">
                  <c:v>43.1</c:v>
                </c:pt>
                <c:pt idx="2">
                  <c:v>40.6</c:v>
                </c:pt>
                <c:pt idx="3">
                  <c:v>37.1</c:v>
                </c:pt>
                <c:pt idx="4">
                  <c:v>36.200000000000003</c:v>
                </c:pt>
                <c:pt idx="5">
                  <c:v>35</c:v>
                </c:pt>
              </c:numCache>
            </c:numRef>
          </c:yVal>
          <c:smooth val="0"/>
          <c:extLst>
            <c:ext xmlns:c16="http://schemas.microsoft.com/office/drawing/2014/chart" uri="{C3380CC4-5D6E-409C-BE32-E72D297353CC}">
              <c16:uniqueId val="{00000004-3973-475F-BFE4-7BBBF05CA31A}"/>
            </c:ext>
          </c:extLst>
        </c:ser>
        <c:ser>
          <c:idx val="5"/>
          <c:order val="5"/>
          <c:tx>
            <c:strRef>
              <c:f>Sheet1!$C$32</c:f>
              <c:strCache>
                <c:ptCount val="1"/>
                <c:pt idx="0">
                  <c:v>85+ ani</c:v>
                </c:pt>
              </c:strCache>
            </c:strRef>
          </c:tx>
          <c:spPr>
            <a:ln w="25400" cap="rnd">
              <a:solidFill>
                <a:schemeClr val="accent6"/>
              </a:solidFill>
              <a:round/>
            </a:ln>
            <a:effectLst/>
          </c:spPr>
          <c:marker>
            <c:symbol val="circle"/>
            <c:size val="5"/>
            <c:spPr>
              <a:solidFill>
                <a:schemeClr val="accent6"/>
              </a:solidFill>
              <a:ln w="9525">
                <a:solidFill>
                  <a:schemeClr val="accent6"/>
                </a:solidFill>
              </a:ln>
              <a:effectLst/>
            </c:spPr>
          </c:marker>
          <c:dLbls>
            <c:dLbl>
              <c:idx val="2"/>
              <c:layout>
                <c:manualLayout>
                  <c:x val="-4.458650512692118E-2"/>
                  <c:y val="-6.564179477565319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973-475F-BFE4-7BBBF05CA31A}"/>
                </c:ext>
              </c:extLst>
            </c:dLbl>
            <c:spPr>
              <a:solidFill>
                <a:schemeClr val="accent6">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Sheet1!$D$26:$I$26</c:f>
              <c:strCache>
                <c:ptCount val="6"/>
                <c:pt idx="0">
                  <c:v>2015</c:v>
                </c:pt>
                <c:pt idx="1">
                  <c:v>2016</c:v>
                </c:pt>
                <c:pt idx="2">
                  <c:v>2017</c:v>
                </c:pt>
                <c:pt idx="3">
                  <c:v>2018</c:v>
                </c:pt>
                <c:pt idx="4">
                  <c:v>2019</c:v>
                </c:pt>
                <c:pt idx="5">
                  <c:v>2020</c:v>
                </c:pt>
              </c:strCache>
            </c:strRef>
          </c:xVal>
          <c:yVal>
            <c:numRef>
              <c:f>Sheet1!$D$32:$I$32</c:f>
              <c:numCache>
                <c:formatCode>#,##0.0</c:formatCode>
                <c:ptCount val="6"/>
                <c:pt idx="0">
                  <c:v>38.9</c:v>
                </c:pt>
                <c:pt idx="1">
                  <c:v>43.6</c:v>
                </c:pt>
                <c:pt idx="2">
                  <c:v>38.299999999999997</c:v>
                </c:pt>
                <c:pt idx="3">
                  <c:v>38.5</c:v>
                </c:pt>
                <c:pt idx="4">
                  <c:v>37.799999999999997</c:v>
                </c:pt>
                <c:pt idx="5">
                  <c:v>39.9</c:v>
                </c:pt>
              </c:numCache>
            </c:numRef>
          </c:yVal>
          <c:smooth val="0"/>
          <c:extLst>
            <c:ext xmlns:c16="http://schemas.microsoft.com/office/drawing/2014/chart" uri="{C3380CC4-5D6E-409C-BE32-E72D297353CC}">
              <c16:uniqueId val="{00000006-3973-475F-BFE4-7BBBF05CA31A}"/>
            </c:ext>
          </c:extLst>
        </c:ser>
        <c:dLbls>
          <c:showLegendKey val="0"/>
          <c:showVal val="0"/>
          <c:showCatName val="0"/>
          <c:showSerName val="0"/>
          <c:showPercent val="0"/>
          <c:showBubbleSize val="0"/>
        </c:dLbls>
        <c:axId val="637394152"/>
        <c:axId val="637392512"/>
      </c:scatterChart>
      <c:catAx>
        <c:axId val="626963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967264"/>
        <c:crosses val="autoZero"/>
        <c:auto val="1"/>
        <c:lblAlgn val="ctr"/>
        <c:lblOffset val="100"/>
        <c:noMultiLvlLbl val="0"/>
      </c:catAx>
      <c:valAx>
        <c:axId val="626967264"/>
        <c:scaling>
          <c:orientation val="minMax"/>
          <c:max val="45"/>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963656"/>
        <c:crosses val="autoZero"/>
        <c:crossBetween val="between"/>
      </c:valAx>
      <c:valAx>
        <c:axId val="637392512"/>
        <c:scaling>
          <c:orientation val="minMax"/>
        </c:scaling>
        <c:delete val="1"/>
        <c:axPos val="r"/>
        <c:numFmt formatCode="#,##0.0" sourceLinked="1"/>
        <c:majorTickMark val="out"/>
        <c:minorTickMark val="none"/>
        <c:tickLblPos val="nextTo"/>
        <c:crossAx val="637394152"/>
        <c:crosses val="max"/>
        <c:crossBetween val="midCat"/>
      </c:valAx>
      <c:valAx>
        <c:axId val="637394152"/>
        <c:scaling>
          <c:orientation val="minMax"/>
        </c:scaling>
        <c:delete val="1"/>
        <c:axPos val="t"/>
        <c:majorTickMark val="out"/>
        <c:minorTickMark val="none"/>
        <c:tickLblPos val="nextTo"/>
        <c:crossAx val="637392512"/>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775371828521432E-2"/>
          <c:y val="5.0925925925925923E-2"/>
          <c:w val="0.88389129483814521"/>
          <c:h val="0.73577136191309422"/>
        </c:manualLayout>
      </c:layout>
      <c:lineChart>
        <c:grouping val="standard"/>
        <c:varyColors val="0"/>
        <c:ser>
          <c:idx val="0"/>
          <c:order val="0"/>
          <c:tx>
            <c:strRef>
              <c:f>Sheet12!$C$15</c:f>
              <c:strCache>
                <c:ptCount val="1"/>
                <c:pt idx="0">
                  <c:v>Limitare redusă sau severă</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Sheet12!$D$14:$N$14</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Sheet12!$D$15:$N$15</c:f>
              <c:numCache>
                <c:formatCode>#,##0.0</c:formatCode>
                <c:ptCount val="11"/>
                <c:pt idx="0">
                  <c:v>22.5</c:v>
                </c:pt>
                <c:pt idx="1">
                  <c:v>26.9</c:v>
                </c:pt>
                <c:pt idx="2">
                  <c:v>22.6</c:v>
                </c:pt>
                <c:pt idx="3">
                  <c:v>21.7</c:v>
                </c:pt>
                <c:pt idx="4">
                  <c:v>21.5</c:v>
                </c:pt>
                <c:pt idx="5">
                  <c:v>21.6</c:v>
                </c:pt>
                <c:pt idx="6">
                  <c:v>20.8</c:v>
                </c:pt>
                <c:pt idx="7">
                  <c:v>21.9</c:v>
                </c:pt>
                <c:pt idx="8">
                  <c:v>21.9</c:v>
                </c:pt>
                <c:pt idx="9">
                  <c:v>20.8</c:v>
                </c:pt>
                <c:pt idx="10">
                  <c:v>21.6</c:v>
                </c:pt>
              </c:numCache>
            </c:numRef>
          </c:val>
          <c:smooth val="0"/>
          <c:extLst>
            <c:ext xmlns:c16="http://schemas.microsoft.com/office/drawing/2014/chart" uri="{C3380CC4-5D6E-409C-BE32-E72D297353CC}">
              <c16:uniqueId val="{00000000-2828-4BEB-B6A5-A99D5389CA96}"/>
            </c:ext>
          </c:extLst>
        </c:ser>
        <c:ser>
          <c:idx val="1"/>
          <c:order val="1"/>
          <c:tx>
            <c:strRef>
              <c:f>Sheet12!$C$16</c:f>
              <c:strCache>
                <c:ptCount val="1"/>
                <c:pt idx="0">
                  <c:v>Nicio limitare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Sheet12!$D$14:$N$14</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Sheet12!$D$16:$N$16</c:f>
              <c:numCache>
                <c:formatCode>#,##0.0</c:formatCode>
                <c:ptCount val="11"/>
                <c:pt idx="0">
                  <c:v>72.599999999999994</c:v>
                </c:pt>
                <c:pt idx="1">
                  <c:v>71.900000000000006</c:v>
                </c:pt>
                <c:pt idx="2">
                  <c:v>72.3</c:v>
                </c:pt>
                <c:pt idx="3">
                  <c:v>73</c:v>
                </c:pt>
                <c:pt idx="4">
                  <c:v>73.599999999999994</c:v>
                </c:pt>
                <c:pt idx="5">
                  <c:v>73.900000000000006</c:v>
                </c:pt>
                <c:pt idx="6">
                  <c:v>73.900000000000006</c:v>
                </c:pt>
                <c:pt idx="7">
                  <c:v>72.400000000000006</c:v>
                </c:pt>
                <c:pt idx="8">
                  <c:v>73.5</c:v>
                </c:pt>
                <c:pt idx="9">
                  <c:v>74.599999999999994</c:v>
                </c:pt>
                <c:pt idx="10">
                  <c:v>74.099999999999994</c:v>
                </c:pt>
              </c:numCache>
            </c:numRef>
          </c:val>
          <c:smooth val="0"/>
          <c:extLst>
            <c:ext xmlns:c16="http://schemas.microsoft.com/office/drawing/2014/chart" uri="{C3380CC4-5D6E-409C-BE32-E72D297353CC}">
              <c16:uniqueId val="{00000001-2828-4BEB-B6A5-A99D5389CA96}"/>
            </c:ext>
          </c:extLst>
        </c:ser>
        <c:dLbls>
          <c:showLegendKey val="0"/>
          <c:showVal val="0"/>
          <c:showCatName val="0"/>
          <c:showSerName val="0"/>
          <c:showPercent val="0"/>
          <c:showBubbleSize val="0"/>
        </c:dLbls>
        <c:marker val="1"/>
        <c:smooth val="0"/>
        <c:axId val="605544856"/>
        <c:axId val="605547152"/>
      </c:lineChart>
      <c:catAx>
        <c:axId val="605544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5547152"/>
        <c:crosses val="autoZero"/>
        <c:auto val="1"/>
        <c:lblAlgn val="ctr"/>
        <c:lblOffset val="100"/>
        <c:noMultiLvlLbl val="0"/>
      </c:catAx>
      <c:valAx>
        <c:axId val="6055471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5544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iVTTA">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2" ma:contentTypeDescription="Creați un document nou." ma:contentTypeScope="" ma:versionID="b769ce894ac0beba22d2c81baf63d661">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d306a387333dc4cf87562f8c6051b783"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7A6A-390E-480A-B33F-899588F1A945}">
  <ds:schemaRefs>
    <ds:schemaRef ds:uri="http://schemas.microsoft.com/sharepoint/v3/contenttype/forms"/>
  </ds:schemaRefs>
</ds:datastoreItem>
</file>

<file path=customXml/itemProps2.xml><?xml version="1.0" encoding="utf-8"?>
<ds:datastoreItem xmlns:ds="http://schemas.openxmlformats.org/officeDocument/2006/customXml" ds:itemID="{F7DECED1-8A15-4A2C-AC02-2CA5398B4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D3FDD-3AC5-419C-922F-05A4DEE98A10}">
  <ds:schemaRefs>
    <ds:schemaRef ds:uri="025c4d69-e2cb-41d0-b1d7-b41d2bc2d5ce"/>
    <ds:schemaRef ds:uri="http://www.w3.org/XML/1998/namespace"/>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bb03434f-1c44-4812-8878-7288edb94d38"/>
    <ds:schemaRef ds:uri="http://purl.org/dc/elements/1.1/"/>
  </ds:schemaRefs>
</ds:datastoreItem>
</file>

<file path=customXml/itemProps4.xml><?xml version="1.0" encoding="utf-8"?>
<ds:datastoreItem xmlns:ds="http://schemas.openxmlformats.org/officeDocument/2006/customXml" ds:itemID="{98C90398-9EE7-435C-A1E3-4A3B6AB0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15</Pages>
  <Words>4838</Words>
  <Characters>27578</Characters>
  <Application>Microsoft Office Word</Application>
  <DocSecurity>0</DocSecurity>
  <Lines>229</Lines>
  <Paragraphs>64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MIHAESCU CONSTANTA</dc:creator>
  <cp:keywords/>
  <dc:description/>
  <cp:lastModifiedBy>Alexandra Salcudean</cp:lastModifiedBy>
  <cp:revision>112</cp:revision>
  <dcterms:created xsi:type="dcterms:W3CDTF">2021-03-05T07:57:00Z</dcterms:created>
  <dcterms:modified xsi:type="dcterms:W3CDTF">2021-11-05T06:34:00Z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