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6182" w14:textId="77777777" w:rsidR="009F750F" w:rsidRPr="00991E05" w:rsidRDefault="009F750F" w:rsidP="009F750F">
      <w:pPr>
        <w:ind w:right="-2"/>
        <w:jc w:val="center"/>
        <w:rPr>
          <w:rFonts w:ascii="Calibri" w:eastAsia="Calibri" w:hAnsi="Calibri" w:cs="Calibri"/>
          <w:b/>
          <w:color w:val="000000"/>
        </w:rPr>
      </w:pPr>
    </w:p>
    <w:p w14:paraId="7704894C" w14:textId="77777777" w:rsidR="009F750F" w:rsidRPr="00991E05" w:rsidRDefault="009F750F" w:rsidP="009F750F">
      <w:pPr>
        <w:ind w:right="-2"/>
        <w:jc w:val="center"/>
        <w:rPr>
          <w:rFonts w:ascii="Calibri" w:eastAsia="Calibri" w:hAnsi="Calibri" w:cs="Calibri"/>
          <w:b/>
          <w:color w:val="000000"/>
        </w:rPr>
      </w:pPr>
    </w:p>
    <w:p w14:paraId="041416FC" w14:textId="77777777" w:rsidR="009F750F" w:rsidRPr="00991E05" w:rsidRDefault="009F750F" w:rsidP="009F750F">
      <w:pPr>
        <w:ind w:right="-2"/>
        <w:jc w:val="center"/>
        <w:rPr>
          <w:rFonts w:ascii="Calibri" w:eastAsia="Calibri" w:hAnsi="Calibri" w:cs="Calibri"/>
          <w:b/>
          <w:color w:val="000000"/>
        </w:rPr>
      </w:pPr>
    </w:p>
    <w:p w14:paraId="11C26418" w14:textId="77777777" w:rsidR="009F750F" w:rsidRPr="00991E05" w:rsidRDefault="009F750F" w:rsidP="009F750F">
      <w:pPr>
        <w:ind w:right="-2"/>
        <w:jc w:val="center"/>
        <w:rPr>
          <w:rFonts w:ascii="Calibri" w:eastAsia="Calibri" w:hAnsi="Calibri" w:cs="Calibri"/>
          <w:b/>
          <w:color w:val="000000"/>
        </w:rPr>
      </w:pPr>
    </w:p>
    <w:p w14:paraId="69869614" w14:textId="77777777" w:rsidR="009F750F" w:rsidRPr="00991E05" w:rsidRDefault="009F750F" w:rsidP="009F750F">
      <w:pPr>
        <w:ind w:right="-2"/>
        <w:jc w:val="center"/>
        <w:rPr>
          <w:rFonts w:ascii="Calibri" w:eastAsia="Calibri" w:hAnsi="Calibri" w:cs="Calibri"/>
          <w:b/>
          <w:color w:val="000000"/>
        </w:rPr>
      </w:pPr>
    </w:p>
    <w:p w14:paraId="6B38614B" w14:textId="77777777" w:rsidR="009F750F" w:rsidRPr="00991E05" w:rsidRDefault="009F750F" w:rsidP="451F68E4">
      <w:pPr>
        <w:ind w:right="-2"/>
        <w:jc w:val="center"/>
        <w:rPr>
          <w:rFonts w:ascii="Calibri" w:eastAsia="Calibri" w:hAnsi="Calibri" w:cs="Calibri"/>
          <w:b/>
          <w:bCs/>
          <w:color w:val="000000"/>
          <w:sz w:val="32"/>
          <w:szCs w:val="32"/>
        </w:rPr>
      </w:pPr>
    </w:p>
    <w:p w14:paraId="6CF966E4" w14:textId="77777777" w:rsidR="009F750F" w:rsidRPr="00991E05" w:rsidRDefault="009F750F" w:rsidP="451F68E4">
      <w:pPr>
        <w:ind w:right="-2"/>
        <w:jc w:val="center"/>
        <w:rPr>
          <w:rFonts w:ascii="Calibri" w:eastAsia="Calibri" w:hAnsi="Calibri" w:cs="Calibri"/>
          <w:b/>
          <w:bCs/>
          <w:color w:val="000000"/>
          <w:sz w:val="32"/>
          <w:szCs w:val="32"/>
        </w:rPr>
      </w:pPr>
    </w:p>
    <w:p w14:paraId="36ED215B" w14:textId="77777777" w:rsidR="009F750F" w:rsidRPr="00991E05" w:rsidRDefault="009F750F" w:rsidP="451F68E4">
      <w:pPr>
        <w:ind w:right="-2"/>
        <w:jc w:val="center"/>
        <w:rPr>
          <w:rFonts w:ascii="Calibri" w:eastAsia="Calibri" w:hAnsi="Calibri" w:cs="Calibri"/>
          <w:b/>
          <w:bCs/>
          <w:color w:val="000000"/>
          <w:sz w:val="32"/>
          <w:szCs w:val="32"/>
        </w:rPr>
      </w:pPr>
    </w:p>
    <w:p w14:paraId="42256285" w14:textId="77777777" w:rsidR="009F750F" w:rsidRPr="00991E05" w:rsidRDefault="009F750F" w:rsidP="451F68E4">
      <w:pPr>
        <w:ind w:right="-2"/>
        <w:jc w:val="center"/>
        <w:rPr>
          <w:rFonts w:ascii="Calibri" w:eastAsia="Calibri" w:hAnsi="Calibri" w:cs="Calibri"/>
          <w:b/>
          <w:bCs/>
          <w:color w:val="000000"/>
          <w:sz w:val="32"/>
          <w:szCs w:val="32"/>
        </w:rPr>
      </w:pPr>
    </w:p>
    <w:p w14:paraId="2F416694" w14:textId="5C5C4D70" w:rsidR="009F750F" w:rsidRPr="00991E05" w:rsidRDefault="00442277" w:rsidP="009E3C41">
      <w:pPr>
        <w:spacing w:after="200" w:line="264" w:lineRule="auto"/>
        <w:jc w:val="center"/>
        <w:rPr>
          <w:rFonts w:ascii="Calibri" w:eastAsia="Times New Roman" w:hAnsi="Calibri" w:cs="Calibri"/>
          <w:b/>
          <w:bCs/>
          <w:color w:val="4F81BD"/>
          <w:kern w:val="1"/>
          <w:sz w:val="32"/>
          <w:szCs w:val="32"/>
          <w:lang w:eastAsia="ar-SA"/>
        </w:rPr>
      </w:pPr>
      <w:r w:rsidRPr="00991E05">
        <w:rPr>
          <w:rFonts w:ascii="Calibri" w:eastAsia="Times New Roman" w:hAnsi="Calibri" w:cs="Calibri"/>
          <w:b/>
          <w:bCs/>
          <w:sz w:val="32"/>
          <w:szCs w:val="32"/>
        </w:rPr>
        <w:t>Evaluarea intervențiilor PO</w:t>
      </w:r>
      <w:r w:rsidR="00D351F0">
        <w:rPr>
          <w:rFonts w:ascii="Calibri" w:eastAsia="Times New Roman" w:hAnsi="Calibri" w:cs="Calibri"/>
          <w:b/>
          <w:bCs/>
          <w:sz w:val="32"/>
          <w:szCs w:val="32"/>
        </w:rPr>
        <w:t xml:space="preserve">CU </w:t>
      </w:r>
      <w:r w:rsidRPr="00991E05">
        <w:rPr>
          <w:rFonts w:ascii="Calibri" w:eastAsia="Times New Roman" w:hAnsi="Calibri" w:cs="Calibri"/>
          <w:b/>
          <w:bCs/>
          <w:sz w:val="32"/>
          <w:szCs w:val="32"/>
        </w:rPr>
        <w:t>în domeniul incluziunii sociale</w:t>
      </w:r>
    </w:p>
    <w:p w14:paraId="27B80102" w14:textId="7058B7B5" w:rsidR="00FD718C" w:rsidRPr="00991E05" w:rsidRDefault="00137C9C" w:rsidP="00831573">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991E05">
        <w:rPr>
          <w:rFonts w:ascii="Calibri" w:eastAsia="Calibri" w:hAnsi="Calibri" w:cs="Calibri"/>
          <w:b/>
          <w:bCs/>
          <w:color w:val="3CA1BC"/>
          <w:sz w:val="32"/>
          <w:szCs w:val="32"/>
          <w:lang w:eastAsia="ar-SA"/>
        </w:rPr>
        <w:t>(</w:t>
      </w:r>
      <w:r w:rsidR="00D351F0">
        <w:rPr>
          <w:rFonts w:ascii="Calibri" w:eastAsia="Calibri" w:hAnsi="Calibri" w:cs="Calibri"/>
          <w:b/>
          <w:bCs/>
          <w:color w:val="3CA1BC"/>
          <w:sz w:val="32"/>
          <w:szCs w:val="32"/>
          <w:lang w:eastAsia="ar-SA"/>
        </w:rPr>
        <w:t>TE 4</w:t>
      </w:r>
      <w:r w:rsidRPr="00991E05">
        <w:rPr>
          <w:rFonts w:ascii="Calibri" w:eastAsia="Calibri" w:hAnsi="Calibri" w:cs="Calibri"/>
          <w:b/>
          <w:bCs/>
          <w:color w:val="3CA1BC"/>
          <w:sz w:val="32"/>
          <w:szCs w:val="32"/>
          <w:lang w:eastAsia="ar-SA"/>
        </w:rPr>
        <w:t>)</w:t>
      </w:r>
      <w:r w:rsidR="00B712B9">
        <w:rPr>
          <w:rFonts w:ascii="Calibri" w:eastAsia="Calibri" w:hAnsi="Calibri" w:cs="Calibri"/>
          <w:b/>
          <w:bCs/>
          <w:color w:val="3CA1BC"/>
          <w:sz w:val="32"/>
          <w:szCs w:val="32"/>
          <w:lang w:eastAsia="ar-SA"/>
        </w:rPr>
        <w:t>.</w:t>
      </w:r>
      <w:r w:rsidR="00DF5D22" w:rsidRPr="00991E05">
        <w:rPr>
          <w:rFonts w:ascii="Calibri" w:eastAsia="Calibri" w:hAnsi="Calibri" w:cs="Calibri"/>
          <w:b/>
          <w:bCs/>
          <w:color w:val="3CA1BC"/>
          <w:sz w:val="32"/>
          <w:szCs w:val="32"/>
          <w:lang w:eastAsia="ar-SA"/>
        </w:rPr>
        <w:t xml:space="preserve"> </w:t>
      </w:r>
      <w:r w:rsidR="00B712B9" w:rsidRPr="00991E05">
        <w:rPr>
          <w:rFonts w:ascii="Calibri" w:eastAsia="Calibri" w:hAnsi="Calibri" w:cs="Calibri"/>
          <w:b/>
          <w:bCs/>
          <w:color w:val="3CA1BC"/>
          <w:sz w:val="32"/>
          <w:szCs w:val="32"/>
          <w:lang w:eastAsia="ar-SA"/>
        </w:rPr>
        <w:t xml:space="preserve">Anexa </w:t>
      </w:r>
      <w:r w:rsidR="00DF6348" w:rsidRPr="00991E05">
        <w:rPr>
          <w:rFonts w:ascii="Calibri" w:eastAsia="Calibri" w:hAnsi="Calibri" w:cs="Calibri"/>
          <w:b/>
          <w:bCs/>
          <w:color w:val="3CA1BC"/>
          <w:sz w:val="32"/>
          <w:szCs w:val="32"/>
          <w:lang w:eastAsia="ar-SA"/>
        </w:rPr>
        <w:t>1</w:t>
      </w:r>
      <w:r w:rsidR="00AB1651">
        <w:rPr>
          <w:rFonts w:ascii="Calibri" w:eastAsia="Calibri" w:hAnsi="Calibri" w:cs="Calibri"/>
          <w:b/>
          <w:bCs/>
          <w:color w:val="3CA1BC"/>
          <w:sz w:val="32"/>
          <w:szCs w:val="32"/>
          <w:lang w:eastAsia="ar-SA"/>
        </w:rPr>
        <w:t>1</w:t>
      </w:r>
      <w:r w:rsidR="006C1C8E" w:rsidRPr="00991E05">
        <w:rPr>
          <w:rFonts w:ascii="Calibri" w:eastAsia="Calibri" w:hAnsi="Calibri" w:cs="Calibri"/>
          <w:b/>
          <w:bCs/>
          <w:color w:val="3CA1BC"/>
          <w:sz w:val="32"/>
          <w:szCs w:val="32"/>
          <w:lang w:eastAsia="ar-SA"/>
        </w:rPr>
        <w:t>.</w:t>
      </w:r>
      <w:r w:rsidR="009F750F" w:rsidRPr="00991E05">
        <w:rPr>
          <w:rFonts w:ascii="Calibri" w:eastAsia="Calibri" w:hAnsi="Calibri" w:cs="Calibri"/>
          <w:b/>
          <w:bCs/>
          <w:color w:val="3CA1BC"/>
          <w:sz w:val="32"/>
          <w:szCs w:val="32"/>
          <w:lang w:eastAsia="ar-SA"/>
        </w:rPr>
        <w:t xml:space="preserve"> </w:t>
      </w:r>
      <w:r w:rsidR="00B712B9" w:rsidRPr="00991E05">
        <w:rPr>
          <w:rFonts w:ascii="Calibri" w:eastAsia="Calibri" w:hAnsi="Calibri" w:cs="Calibri"/>
          <w:b/>
          <w:bCs/>
          <w:color w:val="3CA1BC"/>
          <w:sz w:val="32"/>
          <w:szCs w:val="32"/>
          <w:lang w:eastAsia="ar-SA"/>
        </w:rPr>
        <w:t>Literatur</w:t>
      </w:r>
      <w:r w:rsidR="00B712B9">
        <w:rPr>
          <w:rFonts w:ascii="Calibri" w:eastAsia="Calibri" w:hAnsi="Calibri" w:cs="Calibri"/>
          <w:b/>
          <w:bCs/>
          <w:color w:val="3CA1BC"/>
          <w:sz w:val="32"/>
          <w:szCs w:val="32"/>
          <w:lang w:eastAsia="ar-SA"/>
        </w:rPr>
        <w:t>ă</w:t>
      </w:r>
      <w:r w:rsidR="00B712B9" w:rsidRPr="00991E05">
        <w:rPr>
          <w:rFonts w:ascii="Calibri" w:eastAsia="Calibri" w:hAnsi="Calibri" w:cs="Calibri"/>
          <w:b/>
          <w:bCs/>
          <w:color w:val="3CA1BC"/>
          <w:sz w:val="32"/>
          <w:szCs w:val="32"/>
          <w:lang w:eastAsia="ar-SA"/>
        </w:rPr>
        <w:t xml:space="preserve"> de specialitate </w:t>
      </w:r>
      <w:r w:rsidR="00B712B9">
        <w:rPr>
          <w:rFonts w:ascii="Calibri" w:eastAsia="Calibri" w:hAnsi="Calibri" w:cs="Calibri"/>
          <w:b/>
          <w:bCs/>
          <w:color w:val="3CA1BC"/>
          <w:sz w:val="32"/>
          <w:szCs w:val="32"/>
          <w:lang w:eastAsia="ar-SA"/>
        </w:rPr>
        <w:t>și bibliografie</w:t>
      </w:r>
      <w:r w:rsidR="009F750F" w:rsidRPr="00991E05">
        <w:rPr>
          <w:rFonts w:ascii="Calibri" w:eastAsia="Calibri" w:hAnsi="Calibri" w:cs="Calibri"/>
          <w:b/>
          <w:bCs/>
          <w:color w:val="3CA1BC"/>
          <w:sz w:val="32"/>
          <w:szCs w:val="32"/>
          <w:lang w:eastAsia="ar-SA"/>
        </w:rPr>
        <w:t xml:space="preserve"> </w:t>
      </w:r>
    </w:p>
    <w:p w14:paraId="4C0C9AFC" w14:textId="702B0650" w:rsidR="00846B8E" w:rsidRPr="00991E05" w:rsidRDefault="00846B8E" w:rsidP="009E3C41">
      <w:pPr>
        <w:spacing w:after="200" w:line="264" w:lineRule="auto"/>
        <w:ind w:right="-2"/>
        <w:jc w:val="center"/>
        <w:rPr>
          <w:rFonts w:ascii="Calibri" w:eastAsia="Calibri" w:hAnsi="Calibri" w:cs="Calibri"/>
          <w:b/>
          <w:bCs/>
          <w:i/>
          <w:iCs/>
          <w:color w:val="000000"/>
          <w:sz w:val="32"/>
          <w:szCs w:val="32"/>
        </w:rPr>
      </w:pPr>
    </w:p>
    <w:p w14:paraId="0D3D8D98" w14:textId="6C18DA2D" w:rsidR="00B8714C" w:rsidRPr="00991E05" w:rsidRDefault="00B8714C">
      <w:pPr>
        <w:rPr>
          <w:rFonts w:ascii="Calibri" w:eastAsiaTheme="majorEastAsia" w:hAnsi="Calibri" w:cs="Calibri"/>
          <w:i/>
          <w:spacing w:val="-10"/>
          <w:kern w:val="28"/>
        </w:rPr>
      </w:pPr>
    </w:p>
    <w:p w14:paraId="1076D129" w14:textId="3942B915" w:rsidR="00846B8E" w:rsidRPr="00991E05" w:rsidRDefault="00846B8E">
      <w:pPr>
        <w:rPr>
          <w:rFonts w:ascii="Calibri" w:eastAsiaTheme="majorEastAsia" w:hAnsi="Calibri" w:cs="Calibri"/>
          <w:i/>
          <w:spacing w:val="-10"/>
          <w:kern w:val="28"/>
        </w:rPr>
      </w:pPr>
    </w:p>
    <w:p w14:paraId="4FC33464" w14:textId="0EBDD166" w:rsidR="00846B8E" w:rsidRPr="00991E05" w:rsidRDefault="00846B8E">
      <w:pPr>
        <w:rPr>
          <w:rFonts w:ascii="Calibri" w:eastAsiaTheme="majorEastAsia" w:hAnsi="Calibri" w:cs="Calibri"/>
          <w:i/>
          <w:spacing w:val="-10"/>
          <w:kern w:val="28"/>
        </w:rPr>
      </w:pPr>
    </w:p>
    <w:p w14:paraId="2316ED34" w14:textId="6DEED161" w:rsidR="00846B8E" w:rsidRPr="00991E05" w:rsidRDefault="00846B8E">
      <w:pPr>
        <w:rPr>
          <w:rFonts w:ascii="Calibri" w:eastAsiaTheme="majorEastAsia" w:hAnsi="Calibri" w:cs="Calibri"/>
          <w:i/>
          <w:spacing w:val="-10"/>
          <w:kern w:val="28"/>
        </w:rPr>
      </w:pPr>
    </w:p>
    <w:p w14:paraId="7DE363DB" w14:textId="177ABEE0" w:rsidR="006C1C79" w:rsidRPr="00991E05" w:rsidRDefault="006C1C79">
      <w:pPr>
        <w:rPr>
          <w:rFonts w:ascii="Calibri" w:eastAsiaTheme="majorEastAsia" w:hAnsi="Calibri" w:cs="Calibri"/>
          <w:i/>
          <w:spacing w:val="-10"/>
          <w:kern w:val="28"/>
        </w:rPr>
      </w:pPr>
    </w:p>
    <w:p w14:paraId="5AF943A8" w14:textId="27A56B49" w:rsidR="006C1C79" w:rsidRPr="00991E05" w:rsidRDefault="006C1C79">
      <w:pPr>
        <w:rPr>
          <w:rFonts w:ascii="Calibri" w:eastAsiaTheme="majorEastAsia" w:hAnsi="Calibri" w:cs="Calibri"/>
          <w:i/>
          <w:spacing w:val="-10"/>
          <w:kern w:val="28"/>
        </w:rPr>
      </w:pPr>
    </w:p>
    <w:p w14:paraId="10118E8A" w14:textId="4AC37F68" w:rsidR="006C1C79" w:rsidRDefault="006C1C79">
      <w:pPr>
        <w:rPr>
          <w:rFonts w:ascii="Calibri" w:eastAsiaTheme="majorEastAsia" w:hAnsi="Calibri" w:cs="Calibri"/>
          <w:i/>
          <w:spacing w:val="-10"/>
          <w:kern w:val="28"/>
        </w:rPr>
      </w:pPr>
    </w:p>
    <w:p w14:paraId="2F7A2B48" w14:textId="77777777" w:rsidR="00E14E33" w:rsidRDefault="00E14E33">
      <w:pPr>
        <w:rPr>
          <w:rFonts w:ascii="Calibri" w:eastAsiaTheme="majorEastAsia" w:hAnsi="Calibri" w:cs="Calibri"/>
          <w:i/>
          <w:spacing w:val="-10"/>
          <w:kern w:val="28"/>
        </w:rPr>
      </w:pPr>
    </w:p>
    <w:p w14:paraId="0127B383" w14:textId="77777777" w:rsidR="00E14E33" w:rsidRDefault="00E14E33">
      <w:pPr>
        <w:rPr>
          <w:rFonts w:ascii="Calibri" w:eastAsiaTheme="majorEastAsia" w:hAnsi="Calibri" w:cs="Calibri"/>
          <w:i/>
          <w:spacing w:val="-10"/>
          <w:kern w:val="28"/>
        </w:rPr>
      </w:pPr>
    </w:p>
    <w:p w14:paraId="0856F77D" w14:textId="77777777" w:rsidR="00E14E33" w:rsidRDefault="00E14E33">
      <w:pPr>
        <w:rPr>
          <w:rFonts w:ascii="Calibri" w:eastAsiaTheme="majorEastAsia" w:hAnsi="Calibri" w:cs="Calibri"/>
          <w:i/>
          <w:spacing w:val="-10"/>
          <w:kern w:val="28"/>
        </w:rPr>
      </w:pPr>
    </w:p>
    <w:p w14:paraId="29C478CF" w14:textId="77777777" w:rsidR="00E14E33" w:rsidRDefault="00E14E33">
      <w:pPr>
        <w:rPr>
          <w:rFonts w:ascii="Calibri" w:eastAsiaTheme="majorEastAsia" w:hAnsi="Calibri" w:cs="Calibri"/>
          <w:i/>
          <w:spacing w:val="-10"/>
          <w:kern w:val="28"/>
        </w:rPr>
      </w:pPr>
    </w:p>
    <w:p w14:paraId="5D4308AF" w14:textId="77777777" w:rsidR="00E14E33" w:rsidRDefault="00E14E33">
      <w:pPr>
        <w:rPr>
          <w:rFonts w:ascii="Calibri" w:eastAsiaTheme="majorEastAsia" w:hAnsi="Calibri" w:cs="Calibri"/>
          <w:i/>
          <w:spacing w:val="-10"/>
          <w:kern w:val="28"/>
        </w:rPr>
      </w:pPr>
    </w:p>
    <w:p w14:paraId="7392E436" w14:textId="77777777" w:rsidR="00E14E33" w:rsidRDefault="00E14E33">
      <w:pPr>
        <w:rPr>
          <w:rFonts w:ascii="Calibri" w:eastAsiaTheme="majorEastAsia" w:hAnsi="Calibri" w:cs="Calibri"/>
          <w:i/>
          <w:spacing w:val="-10"/>
          <w:kern w:val="28"/>
        </w:rPr>
      </w:pPr>
    </w:p>
    <w:p w14:paraId="5F0E32DD" w14:textId="77777777" w:rsidR="00E14E33" w:rsidRDefault="00E14E33">
      <w:pPr>
        <w:rPr>
          <w:rFonts w:ascii="Calibri" w:eastAsiaTheme="majorEastAsia" w:hAnsi="Calibri" w:cs="Calibri"/>
          <w:i/>
          <w:spacing w:val="-10"/>
          <w:kern w:val="28"/>
        </w:rPr>
      </w:pPr>
    </w:p>
    <w:p w14:paraId="3A8F812F" w14:textId="77777777" w:rsidR="00E14E33" w:rsidRDefault="00E14E33">
      <w:pPr>
        <w:rPr>
          <w:rFonts w:ascii="Calibri" w:eastAsiaTheme="majorEastAsia" w:hAnsi="Calibri" w:cs="Calibri"/>
          <w:i/>
          <w:spacing w:val="-10"/>
          <w:kern w:val="28"/>
        </w:rPr>
      </w:pPr>
    </w:p>
    <w:p w14:paraId="321648DC" w14:textId="76DB5D2C" w:rsidR="00AF6911" w:rsidRPr="00BF115B" w:rsidRDefault="00973D62" w:rsidP="00AF6911">
      <w:pPr>
        <w:jc w:val="both"/>
        <w:rPr>
          <w:rFonts w:cstheme="minorHAnsi"/>
          <w:szCs w:val="20"/>
        </w:rPr>
      </w:pPr>
      <w:r w:rsidRPr="00973D62">
        <w:rPr>
          <w:rFonts w:cstheme="minorHAnsi"/>
          <w:szCs w:val="20"/>
          <w:lang w:eastAsia="en-GB"/>
        </w:rPr>
        <w:lastRenderedPageBreak/>
        <w:t>Abordarea integrată a serviciilor oferite persoanelor vulnerabile și cea bazată pe îndeplinirea drepturilor acestora (human-rights based approach) sunt cele mai prezente în discursul public în ultimii ani.</w:t>
      </w:r>
      <w:r w:rsidR="00D269DB">
        <w:rPr>
          <w:rFonts w:cstheme="minorHAnsi"/>
          <w:szCs w:val="20"/>
          <w:lang w:eastAsia="en-GB"/>
        </w:rPr>
        <w:t xml:space="preserve"> </w:t>
      </w:r>
      <w:r w:rsidR="00AF6911">
        <w:rPr>
          <w:rFonts w:cstheme="minorHAnsi"/>
          <w:szCs w:val="20"/>
          <w:lang w:eastAsia="en-GB"/>
        </w:rPr>
        <w:t>L</w:t>
      </w:r>
      <w:r w:rsidR="00AF6911" w:rsidRPr="00CD0BE8">
        <w:rPr>
          <w:rFonts w:cstheme="minorHAnsi"/>
          <w:szCs w:val="20"/>
          <w:lang w:eastAsia="en-GB"/>
        </w:rPr>
        <w:t>it</w:t>
      </w:r>
      <w:r w:rsidR="00AF6911">
        <w:rPr>
          <w:rFonts w:cstheme="minorHAnsi"/>
          <w:szCs w:val="20"/>
          <w:lang w:eastAsia="en-GB"/>
        </w:rPr>
        <w:t xml:space="preserve">eratura de specialitate evidențiază faptul că </w:t>
      </w:r>
      <w:r w:rsidR="00AF6911">
        <w:rPr>
          <w:rFonts w:cstheme="minorHAnsi"/>
          <w:szCs w:val="20"/>
        </w:rPr>
        <w:t>fa</w:t>
      </w:r>
      <w:r w:rsidR="00AF6911" w:rsidRPr="0010659E">
        <w:rPr>
          <w:rFonts w:cstheme="minorHAnsi"/>
          <w:szCs w:val="20"/>
        </w:rPr>
        <w:t>ctorii care contribuie la succesul unei abordări integrate la nivel comunitar sunt: colaborarea dintre organizațiile locale publice și private din diverse domenii (social, sănătate, educație</w:t>
      </w:r>
      <w:r w:rsidR="00AF6911">
        <w:rPr>
          <w:rFonts w:cstheme="minorHAnsi"/>
          <w:szCs w:val="20"/>
        </w:rPr>
        <w:t xml:space="preserve">, </w:t>
      </w:r>
      <w:r w:rsidR="00AF6911" w:rsidRPr="0010659E">
        <w:rPr>
          <w:rFonts w:cstheme="minorHAnsi"/>
          <w:szCs w:val="20"/>
        </w:rPr>
        <w:t>etc</w:t>
      </w:r>
      <w:r w:rsidR="00AF6911">
        <w:rPr>
          <w:rFonts w:cstheme="minorHAnsi"/>
          <w:szCs w:val="20"/>
        </w:rPr>
        <w:t>.</w:t>
      </w:r>
      <w:r w:rsidR="00AF6911" w:rsidRPr="0010659E">
        <w:rPr>
          <w:rFonts w:cstheme="minorHAnsi"/>
          <w:szCs w:val="20"/>
        </w:rPr>
        <w:t xml:space="preserve">), comunicare și coordonare între actorii locali, colaborarea cu cetățenii și implicarea lor în procesul de stabilire a serviciilor necesar a fi furnizate, integrarea abordării în politică, </w:t>
      </w:r>
      <w:r w:rsidR="00AF6911" w:rsidRPr="00BF115B">
        <w:rPr>
          <w:rFonts w:cstheme="minorHAnsi"/>
          <w:szCs w:val="20"/>
        </w:rPr>
        <w:t>procesele autorităților locale, monitorizarea și evaluarea continuă a obiectivelor și proceselor și învățarea din rezultate (Wilderink et al., 2020).</w:t>
      </w:r>
    </w:p>
    <w:p w14:paraId="1BF5FF15" w14:textId="77777777" w:rsidR="00AF6911" w:rsidRDefault="00AF6911" w:rsidP="00AF6911">
      <w:pPr>
        <w:jc w:val="both"/>
        <w:rPr>
          <w:rFonts w:cstheme="minorHAnsi"/>
          <w:szCs w:val="20"/>
        </w:rPr>
      </w:pPr>
      <w:r w:rsidRPr="00BF115B">
        <w:rPr>
          <w:rFonts w:cstheme="minorHAnsi"/>
          <w:szCs w:val="20"/>
        </w:rPr>
        <w:t>Având în vedere diversitatea nevoilor cu care se confruntă diferitele categorii de grupuri vulnerabile (persoane fără adăpost, persoane care suferă de diverse forme de dependență – alcool/substanțe interzise, victimele violenței domestice, victimele traficului de ființe umane, persoanele private de libertate, persoanele vârstnice, persoanele cu dizabilități, etc.) serviciile oferite trebuie să țină cont de caracteristicile fiecărei categorii și să fie inovative</w:t>
      </w:r>
      <w:r w:rsidRPr="0010659E">
        <w:rPr>
          <w:rFonts w:cstheme="minorHAnsi"/>
          <w:szCs w:val="20"/>
        </w:rPr>
        <w:t xml:space="preserve"> pentru a răspunde cât mai eficient acestora. </w:t>
      </w:r>
    </w:p>
    <w:p w14:paraId="1FD12D45" w14:textId="77777777" w:rsidR="009B629A" w:rsidRDefault="00AF6911" w:rsidP="00AF6911">
      <w:pPr>
        <w:jc w:val="both"/>
        <w:rPr>
          <w:rFonts w:cstheme="minorHAnsi"/>
          <w:szCs w:val="20"/>
        </w:rPr>
      </w:pPr>
      <w:r w:rsidRPr="0010659E">
        <w:rPr>
          <w:rFonts w:cstheme="minorHAnsi"/>
          <w:szCs w:val="20"/>
        </w:rPr>
        <w:t xml:space="preserve">Pentru toate </w:t>
      </w:r>
      <w:r>
        <w:rPr>
          <w:rFonts w:cstheme="minorHAnsi"/>
          <w:szCs w:val="20"/>
        </w:rPr>
        <w:t xml:space="preserve">categoriile vulnerabile </w:t>
      </w:r>
      <w:r w:rsidRPr="0010659E">
        <w:rPr>
          <w:rFonts w:cstheme="minorHAnsi"/>
          <w:szCs w:val="20"/>
        </w:rPr>
        <w:t xml:space="preserve">este necesar să existe servicii integrate care să fie accesibile, dar gama lor poate varia și în funcție de caracteristicile persoanelor. </w:t>
      </w:r>
      <w:r>
        <w:rPr>
          <w:rFonts w:cstheme="minorHAnsi"/>
          <w:szCs w:val="20"/>
        </w:rPr>
        <w:t>Spre exemplu p</w:t>
      </w:r>
      <w:r w:rsidRPr="0010659E">
        <w:rPr>
          <w:rFonts w:cstheme="minorHAnsi"/>
          <w:szCs w:val="20"/>
        </w:rPr>
        <w:t xml:space="preserve">entru persoanele fără adăpost și cele dependente serviciile mobile reprezintă una dintre cele mai bune soluții. Acestea presupun oferirea serviciilor direct în locurile unde aceste persoane trăiesc deoarece altfel este dificil de identificat acest grup țintă. </w:t>
      </w:r>
    </w:p>
    <w:p w14:paraId="47479654" w14:textId="29F98146" w:rsidR="00AF6911" w:rsidRDefault="00AF6911" w:rsidP="00AF6911">
      <w:pPr>
        <w:jc w:val="both"/>
        <w:rPr>
          <w:rFonts w:cstheme="minorHAnsi"/>
          <w:szCs w:val="20"/>
        </w:rPr>
      </w:pPr>
      <w:r w:rsidRPr="0010659E">
        <w:rPr>
          <w:rFonts w:cstheme="minorHAnsi"/>
          <w:szCs w:val="20"/>
        </w:rPr>
        <w:t xml:space="preserve">În cazul </w:t>
      </w:r>
      <w:r w:rsidRPr="00373958">
        <w:rPr>
          <w:rFonts w:cstheme="minorHAnsi"/>
          <w:b/>
          <w:bCs/>
          <w:szCs w:val="20"/>
        </w:rPr>
        <w:t>violenței domestice</w:t>
      </w:r>
      <w:r w:rsidRPr="0010659E">
        <w:rPr>
          <w:rFonts w:cstheme="minorHAnsi"/>
          <w:szCs w:val="20"/>
        </w:rPr>
        <w:t xml:space="preserve"> este necesar în primul rând ca victima să conștientizeze abuzul la care este supusă și să își dorească să depășească situația de vulnerabilitate.În funcție de gravitatea situației serviciile pentru aceste persoane pot varia, începând de la consiliere până la adăpost protejat, reprezentare juridică, servicii de zi pentru copii, etc.</w:t>
      </w:r>
      <w:r>
        <w:rPr>
          <w:rFonts w:cstheme="minorHAnsi"/>
          <w:szCs w:val="20"/>
        </w:rPr>
        <w:t>,</w:t>
      </w:r>
      <w:r w:rsidRPr="0010659E">
        <w:rPr>
          <w:rFonts w:cstheme="minorHAnsi"/>
          <w:szCs w:val="20"/>
        </w:rPr>
        <w:t xml:space="preserve"> până la supravegherea electronică a agresorilor, și așa mai departe. </w:t>
      </w:r>
    </w:p>
    <w:p w14:paraId="3A3FB744" w14:textId="4F3D93F6" w:rsidR="002D0E7F" w:rsidRDefault="00AB25C8" w:rsidP="00AF6911">
      <w:pPr>
        <w:jc w:val="both"/>
      </w:pPr>
      <w:r>
        <w:t>Contextul de vulnerabilitate al victimelor este unul complex și în cele mai multe cazuri nu este vorba de un singur tip de violență la care</w:t>
      </w:r>
      <w:r w:rsidR="00DC2EF4">
        <w:t xml:space="preserve"> acestea </w:t>
      </w:r>
      <w:r>
        <w:t>sunt expuse</w:t>
      </w:r>
      <w:r w:rsidR="00DC2EF4">
        <w:t xml:space="preserve">, cele mai des întâlnite forme de </w:t>
      </w:r>
      <w:r w:rsidR="00686C63">
        <w:t>violență fiind:</w:t>
      </w:r>
      <w:r w:rsidR="00735111">
        <w:t xml:space="preserve"> </w:t>
      </w:r>
      <w:r w:rsidR="00686C63">
        <w:t xml:space="preserve">abuzuri verbale, </w:t>
      </w:r>
      <w:r w:rsidR="00735111">
        <w:t>abuzuri fizice,</w:t>
      </w:r>
      <w:r w:rsidR="00735111" w:rsidRPr="00735111">
        <w:t xml:space="preserve"> </w:t>
      </w:r>
      <w:r w:rsidR="00C210CD">
        <w:t xml:space="preserve">agresiuni sexuale, </w:t>
      </w:r>
      <w:r w:rsidR="00735111">
        <w:t xml:space="preserve">abuzuri emoționale și psihologice, </w:t>
      </w:r>
      <w:r w:rsidR="00064A0E">
        <w:t>dar și violența socială, controlul financiar, violența digitală (comportamente de șantaj, amenințare prin utilizarea social media)</w:t>
      </w:r>
      <w:r w:rsidR="00940EA0">
        <w:t xml:space="preserve">. </w:t>
      </w:r>
    </w:p>
    <w:p w14:paraId="37084A9C" w14:textId="449C408A" w:rsidR="00940EA0" w:rsidRDefault="0011657B" w:rsidP="00AF6911">
      <w:pPr>
        <w:jc w:val="both"/>
      </w:pPr>
      <w:r>
        <w:t xml:space="preserve">Literatura de specialitate </w:t>
      </w:r>
      <w:r w:rsidR="00432DD1">
        <w:t xml:space="preserve">înfățișază </w:t>
      </w:r>
      <w:r w:rsidR="000F129D">
        <w:t xml:space="preserve">factorii </w:t>
      </w:r>
      <w:r w:rsidR="00940EA0">
        <w:t>favorizanți ai</w:t>
      </w:r>
      <w:r w:rsidR="00E30507">
        <w:t xml:space="preserve"> manifestării </w:t>
      </w:r>
      <w:r w:rsidR="00940EA0">
        <w:t>fenomenului de violență domestică</w:t>
      </w:r>
      <w:r w:rsidR="000F129D">
        <w:t xml:space="preserve">, care </w:t>
      </w:r>
      <w:r w:rsidR="00342D9F">
        <w:t>sunt corelați cu</w:t>
      </w:r>
      <w:r w:rsidR="000F129D">
        <w:t>:</w:t>
      </w:r>
      <w:r w:rsidR="00342D9F">
        <w:t xml:space="preserve"> situația socio-economică a familie, educație deficitară</w:t>
      </w:r>
      <w:r w:rsidR="00F31892">
        <w:t>, f</w:t>
      </w:r>
      <w:r w:rsidR="00342D9F">
        <w:t>actori temperamentali</w:t>
      </w:r>
      <w:r w:rsidR="000672E5">
        <w:t xml:space="preserve"> (agresori)</w:t>
      </w:r>
      <w:r w:rsidR="00F31892">
        <w:t xml:space="preserve">, profilul </w:t>
      </w:r>
      <w:r w:rsidR="00342D9F">
        <w:t>psihologic al agresorului</w:t>
      </w:r>
      <w:r w:rsidR="00F31892">
        <w:t xml:space="preserve">, percepții eronate </w:t>
      </w:r>
      <w:r w:rsidR="00E21762">
        <w:t xml:space="preserve">cu privire la </w:t>
      </w:r>
      <w:r w:rsidR="00F31892">
        <w:t>rolul femeii în societate</w:t>
      </w:r>
      <w:r w:rsidR="00E21762">
        <w:t xml:space="preserve">, toleranță </w:t>
      </w:r>
      <w:r w:rsidR="00342D9F">
        <w:t>victimei față de violență</w:t>
      </w:r>
      <w:r w:rsidR="00E21762">
        <w:t xml:space="preserve">, anturajul </w:t>
      </w:r>
      <w:r w:rsidR="004420D7">
        <w:t>agresorului, toleranța la nivelul întregii societăți cu privire la accest fenomen</w:t>
      </w:r>
      <w:r>
        <w:t xml:space="preserve"> și pas</w:t>
      </w:r>
      <w:r w:rsidR="000F129D">
        <w:t xml:space="preserve">ivitatea </w:t>
      </w:r>
      <w:r>
        <w:t>comunității, lipsa de sprijin a victimelor</w:t>
      </w:r>
      <w:r w:rsidR="000672E5">
        <w:t xml:space="preserve">; dar și </w:t>
      </w:r>
      <w:r w:rsidR="006714FE">
        <w:t>factorii declanșatori care constă în: diverse forme de dependență ai agresorului</w:t>
      </w:r>
      <w:r w:rsidR="00072CFF">
        <w:t xml:space="preserve"> și boli pshice, frustări, </w:t>
      </w:r>
      <w:r w:rsidR="00323631">
        <w:t xml:space="preserve">sarcini și responsabilități în gospodărie și familie, </w:t>
      </w:r>
      <w:r w:rsidR="008F2D19">
        <w:t xml:space="preserve">modificări în viata de familie, evenimente ăn viața profesională, atașament și gelozie excesivă și contextul pandemic. </w:t>
      </w:r>
    </w:p>
    <w:p w14:paraId="1E20660C" w14:textId="07CA04F4" w:rsidR="00207531" w:rsidRDefault="001D734B" w:rsidP="00AF6911">
      <w:pPr>
        <w:jc w:val="both"/>
      </w:pPr>
      <w:r>
        <w:t xml:space="preserve">Violența împotriva femeilor continuă să fie subraportată și stigmatizată, ceea ce înseamnă </w:t>
      </w:r>
      <w:r w:rsidR="00356DDD">
        <w:t xml:space="preserve">că în raportările oficiale se regăsește doar o </w:t>
      </w:r>
      <w:r>
        <w:t xml:space="preserve">fracțiune din realitate. </w:t>
      </w:r>
      <w:r w:rsidR="00594BF5">
        <w:t xml:space="preserve">În ciuda gravității pe care acest fenomen îl prezintă </w:t>
      </w:r>
      <w:r w:rsidR="006C435E">
        <w:t xml:space="preserve">victimele exită în a </w:t>
      </w:r>
      <w:r w:rsidR="00594BF5">
        <w:t>reclama agresorul,</w:t>
      </w:r>
      <w:r w:rsidR="006C435E">
        <w:t xml:space="preserve"> iar atunci când decid să solicite ajutor este ca urmare a unor episode repetate de violență. Situația este cu atât mai gravă cu cât de cele mai multe ori </w:t>
      </w:r>
      <w:r w:rsidR="00594BF5">
        <w:t>victima revine asupra deciziei luate</w:t>
      </w:r>
      <w:r w:rsidR="00220D83">
        <w:t>, renunțân la demersurile legale</w:t>
      </w:r>
      <w:r w:rsidR="004035AC">
        <w:t xml:space="preserve">. O  serie de aspecte influențează decizia victimelor de a reclama incidentele de violență domestică sau de </w:t>
      </w:r>
      <w:r w:rsidR="00207531">
        <w:t xml:space="preserve">a renunța la demersurile legale înaintate, literatura de specialitate enumărând următoarele: </w:t>
      </w:r>
    </w:p>
    <w:p w14:paraId="39147C4C" w14:textId="0087E87C" w:rsidR="00A91AD8" w:rsidRDefault="00A91AD8" w:rsidP="00C813B5">
      <w:pPr>
        <w:pStyle w:val="ListParagraph"/>
      </w:pPr>
      <w:r>
        <w:t>Lipsa conștientizării de către victimă a formelor de violență domestică (manipulare, santaj emoțional);</w:t>
      </w:r>
    </w:p>
    <w:p w14:paraId="4410514C" w14:textId="2C40A258" w:rsidR="00E345D3" w:rsidRDefault="009A4939" w:rsidP="009A4939">
      <w:pPr>
        <w:pStyle w:val="ListParagraph"/>
      </w:pPr>
      <w:r>
        <w:t>F</w:t>
      </w:r>
      <w:r w:rsidRPr="009A4939">
        <w:t>actori psihologici: stima de sine scăzută, dependența emoțională, convingerea victimei că merită</w:t>
      </w:r>
      <w:r>
        <w:t xml:space="preserve"> </w:t>
      </w:r>
      <w:r w:rsidRPr="009A4939">
        <w:t>respectivele abuzuri sau că le generează</w:t>
      </w:r>
      <w:r w:rsidR="007177BA">
        <w:t xml:space="preserve">, atașamentul emoțional față de agresor, speranța că acesta îți va schimba comportamentul; </w:t>
      </w:r>
    </w:p>
    <w:p w14:paraId="46E15F08" w14:textId="77777777" w:rsidR="005E41E2" w:rsidRDefault="005E41E2" w:rsidP="005E41E2">
      <w:pPr>
        <w:pStyle w:val="ListParagraph"/>
      </w:pPr>
      <w:r>
        <w:t xml:space="preserve">Teama de agresor: șantaj, amenințarea fizică, amenințarea cu moartea; </w:t>
      </w:r>
    </w:p>
    <w:p w14:paraId="069414EF" w14:textId="6694B386" w:rsidR="005E41E2" w:rsidRPr="00164C5F" w:rsidRDefault="005E41E2" w:rsidP="0084191F">
      <w:pPr>
        <w:pStyle w:val="ListParagraph"/>
      </w:pPr>
      <w:r>
        <w:t>Prezența copiilor într-un cuplu, ceea ce constituie o vulnerabilitate pentru victimă - amenințarea că vor fi luați copiii de lângă mama;</w:t>
      </w:r>
    </w:p>
    <w:p w14:paraId="4EB6E0D9" w14:textId="0117D9DC" w:rsidR="009A4939" w:rsidRDefault="009A4939" w:rsidP="009A4939">
      <w:pPr>
        <w:pStyle w:val="ListParagraph"/>
      </w:pPr>
      <w:r>
        <w:lastRenderedPageBreak/>
        <w:t>Situația economică</w:t>
      </w:r>
      <w:r w:rsidR="00164C5F">
        <w:t>, lipsa resurselor financiare</w:t>
      </w:r>
      <w:r w:rsidR="008E0049">
        <w:t xml:space="preserve"> și a unor persoane care să le sprijine financiar, </w:t>
      </w:r>
      <w:r w:rsidR="00164C5F">
        <w:t>lipsa unei locuințe</w:t>
      </w:r>
      <w:r w:rsidR="008E0049">
        <w:t xml:space="preserve"> (în special în mediul rural); </w:t>
      </w:r>
    </w:p>
    <w:p w14:paraId="435AD607" w14:textId="0313C7AB" w:rsidR="00C548CF" w:rsidRDefault="00C548CF" w:rsidP="009A4939">
      <w:pPr>
        <w:pStyle w:val="ListParagraph"/>
      </w:pPr>
      <w:r>
        <w:t xml:space="preserve">Lipsa unui suport emotional, psihologic– lipsa suportului familiei extinse, lipsa suportului prietenilor, multe dintre victime sunt sfătuite să nu își părăsească familia; </w:t>
      </w:r>
    </w:p>
    <w:p w14:paraId="6ACA785A" w14:textId="11238AB7" w:rsidR="006F35CF" w:rsidRDefault="001E50C6" w:rsidP="009A4939">
      <w:pPr>
        <w:pStyle w:val="ListParagraph"/>
      </w:pPr>
      <w:r>
        <w:t>Stigmatizarea socială și dorința</w:t>
      </w:r>
      <w:r w:rsidR="007518F4">
        <w:t xml:space="preserve"> </w:t>
      </w:r>
      <w:r>
        <w:t xml:space="preserve">menținerii imaginii unei familii; </w:t>
      </w:r>
    </w:p>
    <w:p w14:paraId="0DED6915" w14:textId="77777777" w:rsidR="009A4939" w:rsidRDefault="009A4939" w:rsidP="009A4939">
      <w:pPr>
        <w:pStyle w:val="ListParagraph"/>
      </w:pPr>
      <w:r>
        <w:t xml:space="preserve">Lipsa posibilității de a dovedi numeroase forme ale violenței domestice (abuzul emoțional, controlul); </w:t>
      </w:r>
    </w:p>
    <w:p w14:paraId="2D6DA8A5" w14:textId="7A25F9B0" w:rsidR="009A4939" w:rsidRPr="00536D1E" w:rsidRDefault="008C1610" w:rsidP="009A4939">
      <w:pPr>
        <w:pStyle w:val="ListParagraph"/>
        <w:rPr>
          <w:szCs w:val="20"/>
        </w:rPr>
      </w:pPr>
      <w:r>
        <w:t>Neîncrederea în măsurile luate de autorități față de agresor</w:t>
      </w:r>
      <w:r w:rsidR="00356DDD">
        <w:t xml:space="preserve"> (puțin sub 50% din populație are tendința de a avea încredere în poliție)</w:t>
      </w:r>
      <w:r w:rsidR="00ED1E96">
        <w:t xml:space="preserve"> și reticență extrem de ridicată în a interacționa cu reprezentanții instituțiilor statului</w:t>
      </w:r>
      <w:r w:rsidR="007B628F">
        <w:t xml:space="preserve"> (</w:t>
      </w:r>
      <w:r w:rsidR="003E7437">
        <w:t xml:space="preserve">lipsa de empatie și chiar </w:t>
      </w:r>
      <w:r w:rsidR="007B628F">
        <w:t>descurajare</w:t>
      </w:r>
      <w:r w:rsidR="008416C1">
        <w:t>)</w:t>
      </w:r>
      <w:r w:rsidR="00536D1E">
        <w:t xml:space="preserve">; </w:t>
      </w:r>
    </w:p>
    <w:p w14:paraId="513BF4BA" w14:textId="4FE0924C" w:rsidR="00536D1E" w:rsidRPr="008F4C54" w:rsidRDefault="00536D1E" w:rsidP="009A4939">
      <w:pPr>
        <w:pStyle w:val="ListParagraph"/>
        <w:rPr>
          <w:szCs w:val="20"/>
        </w:rPr>
      </w:pPr>
      <w:r>
        <w:t xml:space="preserve">Lipsa de informare, lipsa </w:t>
      </w:r>
      <w:r w:rsidR="00D00A4A">
        <w:t xml:space="preserve">cunoașterii </w:t>
      </w:r>
      <w:r>
        <w:t>pașilor, procedurilor ce trebuie urmate, demersul birocratic</w:t>
      </w:r>
      <w:r w:rsidR="00D00A4A">
        <w:t xml:space="preserve"> fiind perceput </w:t>
      </w:r>
      <w:r>
        <w:t xml:space="preserve">asemenea </w:t>
      </w:r>
      <w:r w:rsidR="00D00A4A">
        <w:t xml:space="preserve">unei </w:t>
      </w:r>
      <w:r>
        <w:t>bariere în calea deciziei de a apela la autorități</w:t>
      </w:r>
      <w:r w:rsidR="00D00A4A">
        <w:t xml:space="preserve">. </w:t>
      </w:r>
    </w:p>
    <w:p w14:paraId="75A3F505" w14:textId="7F13B1B7" w:rsidR="00C31AEC" w:rsidRDefault="00E8271E" w:rsidP="00C31AEC">
      <w:pPr>
        <w:jc w:val="both"/>
        <w:rPr>
          <w:rFonts w:cstheme="minorHAnsi"/>
          <w:szCs w:val="20"/>
        </w:rPr>
      </w:pPr>
      <w:r>
        <w:rPr>
          <w:rFonts w:cstheme="minorHAnsi"/>
          <w:szCs w:val="20"/>
        </w:rPr>
        <w:t xml:space="preserve">Conform conveției de la Instambul, statele </w:t>
      </w:r>
      <w:r w:rsidR="0034012F">
        <w:rPr>
          <w:rFonts w:cstheme="minorHAnsi"/>
          <w:szCs w:val="20"/>
        </w:rPr>
        <w:t>semnatare ale acest</w:t>
      </w:r>
      <w:r w:rsidR="00CB3442">
        <w:rPr>
          <w:rFonts w:cstheme="minorHAnsi"/>
          <w:szCs w:val="20"/>
        </w:rPr>
        <w:t xml:space="preserve">eia </w:t>
      </w:r>
      <w:r w:rsidR="007F7A4D">
        <w:rPr>
          <w:rFonts w:cstheme="minorHAnsi"/>
          <w:szCs w:val="20"/>
        </w:rPr>
        <w:t>sunt obligate să asigure</w:t>
      </w:r>
      <w:r w:rsidR="00C31AEC">
        <w:rPr>
          <w:rFonts w:cstheme="minorHAnsi"/>
          <w:szCs w:val="20"/>
        </w:rPr>
        <w:t xml:space="preserve">: </w:t>
      </w:r>
    </w:p>
    <w:p w14:paraId="7E130BBD" w14:textId="04384673" w:rsidR="007F7A4D" w:rsidRPr="007F7A4D" w:rsidRDefault="007F7A4D" w:rsidP="005C4EA4">
      <w:pPr>
        <w:pStyle w:val="ListParagraph"/>
      </w:pPr>
      <w:r w:rsidRPr="007F7A4D">
        <w:t>Pr</w:t>
      </w:r>
      <w:r w:rsidR="005C4EA4">
        <w:t xml:space="preserve">evenție, </w:t>
      </w:r>
      <w:r w:rsidR="009B66BB">
        <w:t>prin s</w:t>
      </w:r>
      <w:r w:rsidRPr="007F7A4D">
        <w:t>chimbarea atitudinilor, rolurilor de gen și stereotipurilor care provoacă violență</w:t>
      </w:r>
      <w:r w:rsidR="009B66BB">
        <w:t xml:space="preserve"> </w:t>
      </w:r>
      <w:r w:rsidR="00F44982">
        <w:t>în rânsul femeilor</w:t>
      </w:r>
      <w:r w:rsidRPr="007F7A4D">
        <w:t xml:space="preserve"> și </w:t>
      </w:r>
      <w:r w:rsidR="00F44982">
        <w:t xml:space="preserve">prin </w:t>
      </w:r>
      <w:r w:rsidRPr="007F7A4D">
        <w:t xml:space="preserve">conștientizarea diferitelor tipuri de violență. </w:t>
      </w:r>
      <w:r w:rsidR="00F44982">
        <w:t xml:space="preserve">Aceste schimbări ar trebui corelate cu implicarea </w:t>
      </w:r>
      <w:r w:rsidRPr="007F7A4D">
        <w:t xml:space="preserve">sistemului de învățământ, </w:t>
      </w:r>
      <w:r w:rsidR="00DA7516">
        <w:t xml:space="preserve">specialiștilor care </w:t>
      </w:r>
      <w:r w:rsidRPr="007F7A4D">
        <w:t>lucrează cu victimele</w:t>
      </w:r>
      <w:r w:rsidR="00DA7516">
        <w:t>,</w:t>
      </w:r>
      <w:r w:rsidR="005C4EA4">
        <w:t xml:space="preserve"> </w:t>
      </w:r>
      <w:r w:rsidRPr="007F7A4D">
        <w:t>ONG-</w:t>
      </w:r>
      <w:r w:rsidR="00DA7516">
        <w:t>urilor</w:t>
      </w:r>
      <w:r w:rsidR="00844E3A">
        <w:t xml:space="preserve">, autoritățile publice și </w:t>
      </w:r>
      <w:r w:rsidRPr="007F7A4D">
        <w:t>mass-media</w:t>
      </w:r>
      <w:r w:rsidR="00844E3A">
        <w:t xml:space="preserve">. </w:t>
      </w:r>
    </w:p>
    <w:p w14:paraId="625F98BD" w14:textId="243D478A" w:rsidR="007F7A4D" w:rsidRPr="007F7A4D" w:rsidRDefault="007F7A4D" w:rsidP="00B03C63">
      <w:pPr>
        <w:pStyle w:val="ListParagraph"/>
      </w:pPr>
      <w:r w:rsidRPr="007F7A4D">
        <w:t xml:space="preserve">Protecție: </w:t>
      </w:r>
      <w:r w:rsidR="00844E3A">
        <w:t>s</w:t>
      </w:r>
      <w:r w:rsidRPr="007F7A4D">
        <w:t>ervicii specializate de sprijin</w:t>
      </w:r>
      <w:r w:rsidR="002B4AEB">
        <w:t xml:space="preserve"> cetrate pe victimă</w:t>
      </w:r>
      <w:r w:rsidRPr="007F7A4D">
        <w:t xml:space="preserve"> </w:t>
      </w:r>
      <w:r w:rsidR="002B4AEB">
        <w:t xml:space="preserve">- </w:t>
      </w:r>
      <w:r w:rsidRPr="007F7A4D">
        <w:t>servicii medicale, psihologice și juridice</w:t>
      </w:r>
      <w:r w:rsidR="002B4AEB">
        <w:t xml:space="preserve"> pentru victime și copii acestora</w:t>
      </w:r>
      <w:r w:rsidR="00C6556F">
        <w:t xml:space="preserve">, locuințe protejate, linii telefonice de asistenșă gratuită; </w:t>
      </w:r>
      <w:r w:rsidRPr="007F7A4D">
        <w:t xml:space="preserve"> </w:t>
      </w:r>
    </w:p>
    <w:p w14:paraId="79D3FEAF" w14:textId="4A60E241" w:rsidR="007F7A4D" w:rsidRPr="007F7A4D" w:rsidRDefault="002B46D2" w:rsidP="006F74B9">
      <w:pPr>
        <w:pStyle w:val="ListParagraph"/>
      </w:pPr>
      <w:r>
        <w:t>Aspecte legale / u</w:t>
      </w:r>
      <w:r w:rsidR="007F7A4D" w:rsidRPr="007F7A4D">
        <w:t>rmarirea penala:</w:t>
      </w:r>
      <w:r>
        <w:t xml:space="preserve"> i</w:t>
      </w:r>
      <w:r w:rsidR="007F7A4D" w:rsidRPr="007F7A4D">
        <w:t>ncriminare si pedeapsa corespunzatoare</w:t>
      </w:r>
      <w:r>
        <w:t xml:space="preserve"> pentru agresori</w:t>
      </w:r>
      <w:r w:rsidR="007F7A4D" w:rsidRPr="007F7A4D">
        <w:t xml:space="preserve">, </w:t>
      </w:r>
      <w:r>
        <w:t>autoritățile cu responsabi</w:t>
      </w:r>
      <w:r w:rsidR="00E23F76">
        <w:t xml:space="preserve">lități în </w:t>
      </w:r>
      <w:r w:rsidR="007F7A4D" w:rsidRPr="007F7A4D">
        <w:t xml:space="preserve">aplicare a legii trebuie să răspundă imediat solicitărilor </w:t>
      </w:r>
      <w:r w:rsidR="00E23F76">
        <w:t xml:space="preserve">de intervenție, pentru asigurarea </w:t>
      </w:r>
      <w:r w:rsidR="00E36223">
        <w:t xml:space="preserve">protejării victimelor pe tot parcursul anchetei și </w:t>
      </w:r>
      <w:r w:rsidR="007F7A4D" w:rsidRPr="007F7A4D">
        <w:t>a procedurilor judiciare.</w:t>
      </w:r>
    </w:p>
    <w:p w14:paraId="22121476" w14:textId="1DFE1D41" w:rsidR="00E8271E" w:rsidRPr="00CB3442" w:rsidRDefault="007F7A4D" w:rsidP="009E23FB">
      <w:pPr>
        <w:pStyle w:val="ListParagraph"/>
      </w:pPr>
      <w:r w:rsidRPr="007F7A4D">
        <w:t>Politici integrat</w:t>
      </w:r>
      <w:r w:rsidR="009C3150">
        <w:t>e</w:t>
      </w:r>
      <w:r w:rsidR="00793C37">
        <w:t xml:space="preserve">: </w:t>
      </w:r>
      <w:r w:rsidR="00E36223">
        <w:t>t</w:t>
      </w:r>
      <w:r w:rsidRPr="007F7A4D">
        <w:t>oate măsurile trebuie să facă parte dintr-un sistem cuprinzător și coordonat</w:t>
      </w:r>
      <w:r w:rsidR="00C31AEC">
        <w:t xml:space="preserve"> </w:t>
      </w:r>
      <w:r w:rsidR="00793C37">
        <w:t xml:space="preserve">de </w:t>
      </w:r>
      <w:r w:rsidRPr="007F7A4D">
        <w:t xml:space="preserve">politici, </w:t>
      </w:r>
      <w:r w:rsidR="00872AAA">
        <w:t xml:space="preserve">asigurate la toate nivelurile de către instituțiile și agențiile abilitate. </w:t>
      </w:r>
    </w:p>
    <w:p w14:paraId="0B8E9501" w14:textId="31112389" w:rsidR="00B35E8A" w:rsidRDefault="00432DD1" w:rsidP="009E23FB">
      <w:pPr>
        <w:jc w:val="both"/>
        <w:rPr>
          <w:szCs w:val="20"/>
        </w:rPr>
      </w:pPr>
      <w:r>
        <w:rPr>
          <w:szCs w:val="20"/>
        </w:rPr>
        <w:t>În literatura de specialitate sunt evidențiate principale măsuri necesar a fi avute în vedere pentr</w:t>
      </w:r>
      <w:r w:rsidR="00B35E8A">
        <w:rPr>
          <w:szCs w:val="20"/>
        </w:rPr>
        <w:t xml:space="preserve">u </w:t>
      </w:r>
      <w:r w:rsidR="00B35E8A" w:rsidRPr="00BC2D2C">
        <w:rPr>
          <w:b/>
          <w:bCs/>
          <w:szCs w:val="20"/>
        </w:rPr>
        <w:t>prevenirea și combaterea fenomentului de violență domestică</w:t>
      </w:r>
      <w:r w:rsidR="00B35E8A">
        <w:rPr>
          <w:szCs w:val="20"/>
        </w:rPr>
        <w:t xml:space="preserve">. Acestea constă în: </w:t>
      </w:r>
    </w:p>
    <w:p w14:paraId="5FB722BF" w14:textId="10364B2D" w:rsidR="00B06A41" w:rsidRPr="001B0395" w:rsidRDefault="00FC1053" w:rsidP="000F0A3D">
      <w:pPr>
        <w:pStyle w:val="ListParagraph"/>
        <w:rPr>
          <w:szCs w:val="20"/>
        </w:rPr>
      </w:pPr>
      <w:r>
        <w:t>P</w:t>
      </w:r>
      <w:r w:rsidR="00A039DE">
        <w:t>romptitudine în intervenți</w:t>
      </w:r>
      <w:r w:rsidR="004949C5">
        <w:t xml:space="preserve">i </w:t>
      </w:r>
      <w:r w:rsidR="000E7D66">
        <w:t>și consolidarea încrederii victimelor în autoritățile publice cu responsabilotăți în domeniu</w:t>
      </w:r>
      <w:r>
        <w:t xml:space="preserve"> prin s</w:t>
      </w:r>
      <w:r w:rsidR="00A039DE">
        <w:t xml:space="preserve">chimbarea atitudinii reprezentanților autorităților față de </w:t>
      </w:r>
      <w:r>
        <w:t>victimele vioelnței domestice</w:t>
      </w:r>
      <w:r w:rsidR="00B06A41">
        <w:t xml:space="preserve">. Se </w:t>
      </w:r>
      <w:r w:rsidR="00A039DE">
        <w:t>solicită empatie, încredere, simplificarea procesului și a birocrație</w:t>
      </w:r>
      <w:r w:rsidR="001B0395">
        <w:t xml:space="preserve">; </w:t>
      </w:r>
    </w:p>
    <w:p w14:paraId="19EE15B9" w14:textId="374F3C6C" w:rsidR="001B0395" w:rsidRPr="00B06A41" w:rsidRDefault="001B0395" w:rsidP="000F0A3D">
      <w:pPr>
        <w:pStyle w:val="ListParagraph"/>
        <w:rPr>
          <w:szCs w:val="20"/>
        </w:rPr>
      </w:pPr>
      <w:r>
        <w:t xml:space="preserve">Supravegherea atentă </w:t>
      </w:r>
      <w:r w:rsidR="004D12F3">
        <w:t xml:space="preserve">agresorilor și a respectării ordinelor de restricție; </w:t>
      </w:r>
    </w:p>
    <w:p w14:paraId="526BC972" w14:textId="1E0BE336" w:rsidR="00DE5F51" w:rsidRPr="00DE5F51" w:rsidRDefault="00B06A41" w:rsidP="00DE5F51">
      <w:pPr>
        <w:pStyle w:val="ListParagraph"/>
        <w:rPr>
          <w:szCs w:val="20"/>
        </w:rPr>
      </w:pPr>
      <w:r>
        <w:t xml:space="preserve">Derularea campaniilor de </w:t>
      </w:r>
      <w:r w:rsidR="00A039DE">
        <w:t>inform</w:t>
      </w:r>
      <w:r>
        <w:t xml:space="preserve">are a </w:t>
      </w:r>
      <w:r w:rsidR="00A039DE">
        <w:t>populației</w:t>
      </w:r>
      <w:r w:rsidR="00DE5F51">
        <w:t xml:space="preserve">; </w:t>
      </w:r>
    </w:p>
    <w:p w14:paraId="33A2B99B" w14:textId="5E155503" w:rsidR="00B35E8A" w:rsidRPr="00A74E68" w:rsidRDefault="00DE5F51" w:rsidP="00DE5F51">
      <w:pPr>
        <w:pStyle w:val="ListParagraph"/>
        <w:rPr>
          <w:szCs w:val="20"/>
        </w:rPr>
      </w:pPr>
      <w:r>
        <w:t>D</w:t>
      </w:r>
      <w:r w:rsidR="00A039DE">
        <w:t>ezvoltarea</w:t>
      </w:r>
      <w:r>
        <w:t xml:space="preserve"> serviciilor sociale dedicate victimelor violenței domestice </w:t>
      </w:r>
      <w:r w:rsidR="00A74E68">
        <w:t xml:space="preserve">la </w:t>
      </w:r>
      <w:r w:rsidR="00A039DE">
        <w:t>nivel local</w:t>
      </w:r>
      <w:r w:rsidR="00A74E68">
        <w:t xml:space="preserve">, </w:t>
      </w:r>
      <w:r w:rsidR="00A039DE">
        <w:t>creșterea accesibilității</w:t>
      </w:r>
      <w:r w:rsidR="00A74E68">
        <w:t xml:space="preserve"> la servicii</w:t>
      </w:r>
      <w:r w:rsidR="00B04864">
        <w:t xml:space="preserve"> (terapie, consiliere</w:t>
      </w:r>
      <w:r w:rsidR="004D12F3">
        <w:t xml:space="preserve"> juridică</w:t>
      </w:r>
      <w:r w:rsidR="00B04864">
        <w:t>, locuințe protejate, sp</w:t>
      </w:r>
      <w:r w:rsidR="0005684D">
        <w:t xml:space="preserve">rijin </w:t>
      </w:r>
      <w:r w:rsidR="00B04864">
        <w:t>pentru asigurarea bunurilor zilnice și a utilităților, etc.)</w:t>
      </w:r>
      <w:r w:rsidR="00A74E68">
        <w:t xml:space="preserve"> și mediatizarea acestora; </w:t>
      </w:r>
    </w:p>
    <w:p w14:paraId="553C9D56" w14:textId="67C90C63" w:rsidR="00A74E68" w:rsidRDefault="00097F2E" w:rsidP="00DE5F51">
      <w:pPr>
        <w:pStyle w:val="ListParagraph"/>
        <w:rPr>
          <w:szCs w:val="20"/>
        </w:rPr>
      </w:pPr>
      <w:r>
        <w:rPr>
          <w:szCs w:val="20"/>
        </w:rPr>
        <w:t xml:space="preserve">Dezvoltarea unor servicii specializate pentru agresori. </w:t>
      </w:r>
    </w:p>
    <w:p w14:paraId="47E4AEBF" w14:textId="77777777" w:rsidR="002755D3" w:rsidRDefault="002755D3" w:rsidP="002755D3">
      <w:pPr>
        <w:pStyle w:val="ListParagraph"/>
        <w:numPr>
          <w:ilvl w:val="0"/>
          <w:numId w:val="0"/>
        </w:numPr>
        <w:ind w:left="720"/>
        <w:rPr>
          <w:szCs w:val="20"/>
        </w:rPr>
      </w:pPr>
    </w:p>
    <w:p w14:paraId="01BED570" w14:textId="77777777" w:rsidR="00CC6B5B" w:rsidRPr="00CC6B5B" w:rsidRDefault="00CC6B5B" w:rsidP="00CC6B5B">
      <w:pPr>
        <w:jc w:val="both"/>
        <w:rPr>
          <w:rFonts w:cstheme="minorHAnsi"/>
          <w:szCs w:val="20"/>
        </w:rPr>
      </w:pPr>
      <w:r w:rsidRPr="00CC6B5B">
        <w:rPr>
          <w:rFonts w:cstheme="minorHAnsi"/>
          <w:szCs w:val="20"/>
        </w:rPr>
        <w:t xml:space="preserve">Dezbaterea publică referitoare la </w:t>
      </w:r>
      <w:r w:rsidRPr="00CC6B5B">
        <w:rPr>
          <w:rFonts w:cstheme="minorHAnsi"/>
          <w:b/>
          <w:bCs/>
          <w:szCs w:val="20"/>
        </w:rPr>
        <w:t>accelerarea procesului de îmbătrânire a populației</w:t>
      </w:r>
      <w:r w:rsidRPr="00CC6B5B">
        <w:rPr>
          <w:rFonts w:cstheme="minorHAnsi"/>
          <w:szCs w:val="20"/>
        </w:rPr>
        <w:t xml:space="preserve"> a dus la o conștientizare pe scară largă a nevoilor persoanelor vârstnice, a rolului lor în societate, precum și a serviciilor de îngrijire existente pentru acestea. În literatura de specialitate, în contextul creșterii speranței de viață și a numărului persoanelor peste 85 de ani,  se vorbește de ”vârsta a treia” – persoanele peste 65 de ani, dar și de ”vârsta a patra” – persoanele peste 85 de ani, fiecare dintre acestea având caracteristici specifice și implicit alte nevoi de servicii de sănătate, sociale, etc. Pe fondul accelerării procesului de îmbătrânire a populației, au fost dezvoltate o serie de politici de stimulare a îmbătrânirii active care vizează o participare socială mai activă și o menținere pe piața muncii a persoanelor vârstnice. Teoria activității consideră că problema îmbătrânirii poate fi rezolvată prin menținerea unei vieți active după pensionare (Havighurst, 1963) chiar dacă tipurile de activități în care este implicată persoana vârstnică vor fi diferite. Participarea socială a vârstnicilor (în diverse organizații ale societății civile, grupuri informale, etc.) este vitală pentru păstrarea și dezvoltarea capitalului social, dar și pentru menținerea unei stime de sine și autonomii ridicate (Hooyman și Kiyak, 2014). </w:t>
      </w:r>
    </w:p>
    <w:p w14:paraId="2E0A8B82" w14:textId="110EED93" w:rsidR="00CC6B5B" w:rsidRPr="00CC6B5B" w:rsidRDefault="00CC6B5B" w:rsidP="00CC6B5B">
      <w:pPr>
        <w:jc w:val="both"/>
        <w:rPr>
          <w:rFonts w:cstheme="minorHAnsi"/>
          <w:szCs w:val="20"/>
        </w:rPr>
      </w:pPr>
      <w:r w:rsidRPr="00CC6B5B">
        <w:rPr>
          <w:rFonts w:cstheme="minorHAnsi"/>
          <w:szCs w:val="20"/>
        </w:rPr>
        <w:lastRenderedPageBreak/>
        <w:t>Problemele vârstei a treia în România sunt legate de nivelul redus de trai, afecțiunile cronice și accesul la serviciile de sănătate, protecția socială deficitară în special în ce privește calitatea și diversitatea serviciilor sociale, participarea socială redusă, calitatea locuirii și accesibilitatea serviciilor publice, angajarea precară (Bodogai și Cutler, 2014; Mărginean și Bălașa, 2005; Bălașa, 2005; CNPV, 2015; CNPV, 2017; EUROSTAT, 2017c; EUROSTAT, 2015b; Petrescu, 2018). Accesul persoanelor vârstnice la servicii și beneficii de asistență socială și la servicii de sănătate reprezintă un element esențial al calității vieții acestora având în vedere nevoile lor specifice. Și studiile în domeniul calității vieții persoanelor vârstnice au reliefat ca dimensiuni problematice: nivelul de trai, protecția socială, sănătatea, serviciile publice, participarea socială, locuirea și mediul înconjurător, relațiile sociale, viața de familie. (Bond și Corner, 2011; Bowling, 2005; Mollenkopf și Walker, 2007)</w:t>
      </w:r>
    </w:p>
    <w:p w14:paraId="2FE0EB4D" w14:textId="387FB5A0" w:rsidR="000E1B5B" w:rsidRDefault="00BE196A" w:rsidP="009F2684">
      <w:pPr>
        <w:jc w:val="both"/>
        <w:rPr>
          <w:rFonts w:cstheme="minorHAnsi"/>
          <w:szCs w:val="20"/>
        </w:rPr>
      </w:pPr>
      <w:r>
        <w:rPr>
          <w:rFonts w:cstheme="minorHAnsi"/>
          <w:sz w:val="22"/>
        </w:rPr>
        <w:t xml:space="preserve">În România </w:t>
      </w:r>
      <w:r>
        <w:rPr>
          <w:rFonts w:cstheme="minorHAnsi"/>
          <w:szCs w:val="20"/>
        </w:rPr>
        <w:t>p</w:t>
      </w:r>
      <w:r w:rsidRPr="00BC2D2C">
        <w:rPr>
          <w:rFonts w:cstheme="minorHAnsi"/>
          <w:szCs w:val="20"/>
        </w:rPr>
        <w:t>onderea populației persoanelor în vârstă</w:t>
      </w:r>
      <w:r>
        <w:rPr>
          <w:rFonts w:cstheme="minorHAnsi"/>
          <w:szCs w:val="20"/>
        </w:rPr>
        <w:t xml:space="preserve"> </w:t>
      </w:r>
      <w:r w:rsidRPr="00BC2D2C">
        <w:rPr>
          <w:rFonts w:cstheme="minorHAnsi"/>
          <w:szCs w:val="20"/>
        </w:rPr>
        <w:t xml:space="preserve">este în creștere,  </w:t>
      </w:r>
      <w:r>
        <w:rPr>
          <w:rFonts w:cstheme="minorHAnsi"/>
          <w:szCs w:val="20"/>
        </w:rPr>
        <w:t xml:space="preserve">dar de asemenea este și </w:t>
      </w:r>
      <w:r w:rsidRPr="00BC2D2C">
        <w:rPr>
          <w:rFonts w:cstheme="minorHAnsi"/>
          <w:szCs w:val="20"/>
        </w:rPr>
        <w:t>rata de dependență a bătrâneții</w:t>
      </w:r>
      <w:r w:rsidR="000E1B5B">
        <w:rPr>
          <w:rFonts w:cstheme="minorHAnsi"/>
          <w:szCs w:val="20"/>
        </w:rPr>
        <w:t>, fiind necesare măsuri de asigurare a serviciilor sociale dedicate acest</w:t>
      </w:r>
      <w:r w:rsidR="00FF5DB5">
        <w:rPr>
          <w:rFonts w:cstheme="minorHAnsi"/>
          <w:szCs w:val="20"/>
        </w:rPr>
        <w:t>o</w:t>
      </w:r>
      <w:r w:rsidR="000E1B5B">
        <w:rPr>
          <w:rFonts w:cstheme="minorHAnsi"/>
          <w:szCs w:val="20"/>
        </w:rPr>
        <w:t xml:space="preserve">r persoane. </w:t>
      </w:r>
    </w:p>
    <w:p w14:paraId="2D1849E9" w14:textId="137626B4" w:rsidR="009F2684" w:rsidRPr="009F2684" w:rsidRDefault="009F2684" w:rsidP="009F2684">
      <w:pPr>
        <w:jc w:val="both"/>
        <w:rPr>
          <w:rFonts w:cstheme="minorHAnsi"/>
          <w:szCs w:val="20"/>
        </w:rPr>
      </w:pPr>
      <w:r w:rsidRPr="009F2684">
        <w:rPr>
          <w:rFonts w:cstheme="minorHAnsi"/>
          <w:szCs w:val="20"/>
        </w:rPr>
        <w:t>Principalele tipuri de servicii sociale</w:t>
      </w:r>
      <w:r>
        <w:rPr>
          <w:rFonts w:cstheme="minorHAnsi"/>
          <w:szCs w:val="20"/>
        </w:rPr>
        <w:t xml:space="preserve"> </w:t>
      </w:r>
      <w:r w:rsidRPr="009F2684">
        <w:rPr>
          <w:rFonts w:cstheme="minorHAnsi"/>
          <w:szCs w:val="20"/>
        </w:rPr>
        <w:t xml:space="preserve">adresate persoanelor vârstnice </w:t>
      </w:r>
      <w:r>
        <w:rPr>
          <w:rFonts w:cstheme="minorHAnsi"/>
          <w:szCs w:val="20"/>
        </w:rPr>
        <w:t>avute în vedere pe teri</w:t>
      </w:r>
      <w:r w:rsidR="003F3208">
        <w:rPr>
          <w:rFonts w:cstheme="minorHAnsi"/>
          <w:szCs w:val="20"/>
        </w:rPr>
        <w:t xml:space="preserve">toriul României, </w:t>
      </w:r>
      <w:r w:rsidRPr="009F2684">
        <w:rPr>
          <w:rFonts w:cstheme="minorHAnsi"/>
          <w:szCs w:val="20"/>
        </w:rPr>
        <w:t>sunt următoarele:</w:t>
      </w:r>
    </w:p>
    <w:p w14:paraId="7667EA3D" w14:textId="4B65A8ED" w:rsidR="008B1D94" w:rsidRPr="008B1D94" w:rsidRDefault="009F2684" w:rsidP="008B1D94">
      <w:pPr>
        <w:pStyle w:val="ListParagraph"/>
        <w:numPr>
          <w:ilvl w:val="0"/>
          <w:numId w:val="17"/>
        </w:numPr>
        <w:rPr>
          <w:szCs w:val="20"/>
        </w:rPr>
      </w:pPr>
      <w:r w:rsidRPr="008B1D94">
        <w:rPr>
          <w:szCs w:val="20"/>
        </w:rPr>
        <w:t>îngrijirea temporară sau permanentă la domiciliu</w:t>
      </w:r>
      <w:r w:rsidR="002001B5" w:rsidRPr="008B1D94">
        <w:rPr>
          <w:szCs w:val="20"/>
        </w:rPr>
        <w:t xml:space="preserve"> (</w:t>
      </w:r>
      <w:r w:rsidR="002C1425" w:rsidRPr="008B1D94">
        <w:rPr>
          <w:szCs w:val="20"/>
        </w:rPr>
        <w:t>ajutor acordat pentru îndeplinirea activităţilor uzuale ale vieţii zilnice</w:t>
      </w:r>
      <w:r w:rsidR="007A42CD" w:rsidRPr="008B1D94">
        <w:rPr>
          <w:szCs w:val="20"/>
        </w:rPr>
        <w:t xml:space="preserve">: </w:t>
      </w:r>
      <w:r w:rsidR="001F1A0D" w:rsidRPr="008B1D94">
        <w:rPr>
          <w:szCs w:val="20"/>
        </w:rPr>
        <w:t xml:space="preserve">asigurarea igienei corporale, hrănire şi hidratare, deplasare în interior, </w:t>
      </w:r>
      <w:r w:rsidR="007A42CD" w:rsidRPr="008B1D94">
        <w:rPr>
          <w:szCs w:val="20"/>
        </w:rPr>
        <w:t>prepararea hranei, efectuarea de cumpărături, activităţi de menaj, facilitarea deplasării în exterior şi însoţire, activităţi de administrare şi gestionare a bunurilor</w:t>
      </w:r>
      <w:r w:rsidR="008B1D94" w:rsidRPr="008B1D94">
        <w:rPr>
          <w:szCs w:val="20"/>
        </w:rPr>
        <w:t>;</w:t>
      </w:r>
      <w:r w:rsidR="007A42CD" w:rsidRPr="008B1D94">
        <w:rPr>
          <w:szCs w:val="20"/>
        </w:rPr>
        <w:t xml:space="preserve"> acompaniere şi socializare</w:t>
      </w:r>
      <w:r w:rsidR="00EC7D92" w:rsidRPr="008B1D94">
        <w:rPr>
          <w:szCs w:val="20"/>
        </w:rPr>
        <w:t>, kinetoterapie, fizioterapie, gimnastică medicală, terapie ocupaţională, psihoterapie, psihopedagogie, logopedie podologi</w:t>
      </w:r>
      <w:r w:rsidR="008B1D94" w:rsidRPr="008B1D94">
        <w:rPr>
          <w:szCs w:val="20"/>
        </w:rPr>
        <w:t>e; servicii medicale, sub forma consultaţiilor şi îngrijirilor medicale la domiciliu sau în instituţii de sănătate, consultaţii şi îngrijiri stomatologice, administrarea de medicamente, acordarea de materiale sanitare şi de dispozitive medicale</w:t>
      </w:r>
      <w:r w:rsidR="008B1D94">
        <w:rPr>
          <w:szCs w:val="20"/>
        </w:rPr>
        <w:t xml:space="preserve">); </w:t>
      </w:r>
    </w:p>
    <w:p w14:paraId="5CBF0BCA" w14:textId="2F39E47E" w:rsidR="009F2684" w:rsidRPr="00EA0232" w:rsidRDefault="009F2684" w:rsidP="00B70245">
      <w:pPr>
        <w:pStyle w:val="ListParagraph"/>
        <w:numPr>
          <w:ilvl w:val="0"/>
          <w:numId w:val="17"/>
        </w:numPr>
        <w:rPr>
          <w:szCs w:val="20"/>
        </w:rPr>
      </w:pPr>
      <w:r w:rsidRPr="00EA0232">
        <w:rPr>
          <w:szCs w:val="20"/>
        </w:rPr>
        <w:t>îngrijirea temporară sau permanentă într-un cămin</w:t>
      </w:r>
      <w:r w:rsidR="000C01A8" w:rsidRPr="00EA0232">
        <w:rPr>
          <w:szCs w:val="20"/>
        </w:rPr>
        <w:t xml:space="preserve"> (centrul rezidenţial)</w:t>
      </w:r>
      <w:r w:rsidRPr="00EA0232">
        <w:rPr>
          <w:szCs w:val="20"/>
        </w:rPr>
        <w:t xml:space="preserve"> pentru persoane vârstnice</w:t>
      </w:r>
      <w:r w:rsidR="008B1D94" w:rsidRPr="00EA0232">
        <w:rPr>
          <w:szCs w:val="20"/>
        </w:rPr>
        <w:t xml:space="preserve"> (</w:t>
      </w:r>
      <w:r w:rsidR="00893745" w:rsidRPr="00EA0232">
        <w:rPr>
          <w:szCs w:val="20"/>
        </w:rPr>
        <w:t>supraveghere; îngrijiri medicale curente asigurate de asistente medicale; cazare pe perioadă nedeterminată; masă, inclusive preparare hrană caldă după caz; curățenie;</w:t>
      </w:r>
      <w:r w:rsidR="00EA0232" w:rsidRPr="00EA0232">
        <w:rPr>
          <w:szCs w:val="20"/>
        </w:rPr>
        <w:t xml:space="preserve"> socializare și activități culturale asistență medicaă asigurată de medic specialiști, terapii de recuperare fizică/psihică/mintală, terapie ocupațională, menaj, pază, alte activități administrative, etc.); </w:t>
      </w:r>
    </w:p>
    <w:p w14:paraId="5EC93112" w14:textId="5F91485F" w:rsidR="009F2684" w:rsidRDefault="009F2684" w:rsidP="00606E7C">
      <w:pPr>
        <w:pStyle w:val="ListParagraph"/>
        <w:numPr>
          <w:ilvl w:val="0"/>
          <w:numId w:val="17"/>
        </w:numPr>
        <w:rPr>
          <w:szCs w:val="20"/>
        </w:rPr>
      </w:pPr>
      <w:r w:rsidRPr="003F3208">
        <w:rPr>
          <w:szCs w:val="20"/>
        </w:rPr>
        <w:t>îngrijirea în centre de zi, cluburi pentru vârstnici, case de îngrijire temporară, apartamente şi locuinţe sociale</w:t>
      </w:r>
      <w:r w:rsidR="00F32095">
        <w:rPr>
          <w:szCs w:val="20"/>
        </w:rPr>
        <w:t xml:space="preserve">. </w:t>
      </w:r>
    </w:p>
    <w:p w14:paraId="40245024" w14:textId="7379B219" w:rsidR="00C51526" w:rsidRDefault="00C51526" w:rsidP="00606E7C">
      <w:pPr>
        <w:jc w:val="both"/>
        <w:rPr>
          <w:rFonts w:cstheme="minorHAnsi"/>
          <w:szCs w:val="20"/>
        </w:rPr>
      </w:pPr>
      <w:r>
        <w:rPr>
          <w:szCs w:val="20"/>
        </w:rPr>
        <w:t>Cu toate că aceste servicii au fost concepute pentru vârstnici</w:t>
      </w:r>
      <w:r w:rsidR="00C776F7">
        <w:rPr>
          <w:szCs w:val="20"/>
        </w:rPr>
        <w:t>, ele se dovedesc a fi insuficiente,</w:t>
      </w:r>
      <w:r w:rsidR="00CB113C">
        <w:rPr>
          <w:szCs w:val="20"/>
        </w:rPr>
        <w:t xml:space="preserve"> neputând</w:t>
      </w:r>
      <w:r w:rsidR="00720CA7">
        <w:rPr>
          <w:szCs w:val="20"/>
        </w:rPr>
        <w:t xml:space="preserve"> fi asigurate </w:t>
      </w:r>
      <w:r w:rsidR="00CB113C">
        <w:rPr>
          <w:szCs w:val="20"/>
        </w:rPr>
        <w:t xml:space="preserve">pe termen </w:t>
      </w:r>
      <w:r w:rsidR="001816E0">
        <w:rPr>
          <w:szCs w:val="20"/>
        </w:rPr>
        <w:t xml:space="preserve">mediu și </w:t>
      </w:r>
      <w:r w:rsidR="00CB113C">
        <w:rPr>
          <w:szCs w:val="20"/>
        </w:rPr>
        <w:t>lung</w:t>
      </w:r>
      <w:r w:rsidR="00720CA7">
        <w:rPr>
          <w:szCs w:val="20"/>
        </w:rPr>
        <w:t xml:space="preserve">, </w:t>
      </w:r>
      <w:r w:rsidR="00C776F7">
        <w:rPr>
          <w:szCs w:val="20"/>
        </w:rPr>
        <w:t xml:space="preserve">sistemul național bazându-se </w:t>
      </w:r>
      <w:r w:rsidR="00720CA7">
        <w:rPr>
          <w:szCs w:val="20"/>
        </w:rPr>
        <w:t xml:space="preserve">în principal </w:t>
      </w:r>
      <w:r w:rsidR="00C776F7">
        <w:rPr>
          <w:szCs w:val="20"/>
        </w:rPr>
        <w:t xml:space="preserve">pe </w:t>
      </w:r>
      <w:r>
        <w:rPr>
          <w:rFonts w:cstheme="minorHAnsi"/>
          <w:szCs w:val="20"/>
        </w:rPr>
        <w:t>familie</w:t>
      </w:r>
      <w:r w:rsidR="00606E7C">
        <w:rPr>
          <w:rFonts w:cstheme="minorHAnsi"/>
          <w:szCs w:val="20"/>
        </w:rPr>
        <w:t xml:space="preserve"> în satisfacerea nevoilor de îngrijire a vârstnicilor</w:t>
      </w:r>
      <w:r>
        <w:rPr>
          <w:rFonts w:cstheme="minorHAnsi"/>
          <w:szCs w:val="20"/>
        </w:rPr>
        <w:t xml:space="preserve"> </w:t>
      </w:r>
      <w:r w:rsidRPr="00BC2D2C">
        <w:rPr>
          <w:rFonts w:cstheme="minorHAnsi"/>
          <w:szCs w:val="20"/>
        </w:rPr>
        <w:t>și altele</w:t>
      </w:r>
      <w:r>
        <w:rPr>
          <w:rFonts w:cstheme="minorHAnsi"/>
          <w:szCs w:val="20"/>
        </w:rPr>
        <w:t xml:space="preserve"> </w:t>
      </w:r>
      <w:r w:rsidR="00C776F7">
        <w:rPr>
          <w:rFonts w:cstheme="minorHAnsi"/>
          <w:szCs w:val="20"/>
        </w:rPr>
        <w:t>forme de îngrijire nesuportate din bugetul public</w:t>
      </w:r>
      <w:r w:rsidR="00606E7C">
        <w:rPr>
          <w:rFonts w:cstheme="minorHAnsi"/>
          <w:szCs w:val="20"/>
        </w:rPr>
        <w:t xml:space="preserve">. </w:t>
      </w:r>
    </w:p>
    <w:p w14:paraId="0E349E4A" w14:textId="7E180703" w:rsidR="00CE745A" w:rsidRDefault="005D1011" w:rsidP="00606E7C">
      <w:pPr>
        <w:jc w:val="both"/>
        <w:rPr>
          <w:rFonts w:cstheme="minorHAnsi"/>
          <w:szCs w:val="20"/>
        </w:rPr>
      </w:pPr>
      <w:r>
        <w:rPr>
          <w:rFonts w:cstheme="minorHAnsi"/>
          <w:szCs w:val="20"/>
        </w:rPr>
        <w:t>Servicile de asi</w:t>
      </w:r>
      <w:r w:rsidR="004E310E">
        <w:rPr>
          <w:rFonts w:cstheme="minorHAnsi"/>
          <w:szCs w:val="20"/>
        </w:rPr>
        <w:t xml:space="preserve">stență </w:t>
      </w:r>
      <w:r w:rsidR="006F2927">
        <w:rPr>
          <w:rFonts w:cstheme="minorHAnsi"/>
          <w:szCs w:val="20"/>
        </w:rPr>
        <w:t>la domiciliu se dovedesc a fi slab dezvoltate, neputând acoperi nevoia existentă cu precădere în mediul rural</w:t>
      </w:r>
      <w:r w:rsidR="00B05B86">
        <w:rPr>
          <w:rFonts w:cstheme="minorHAnsi"/>
          <w:szCs w:val="20"/>
        </w:rPr>
        <w:t>, ca urmare a lipsei resurselor de la bugetul de stat</w:t>
      </w:r>
      <w:r w:rsidR="0094340A">
        <w:rPr>
          <w:rFonts w:cstheme="minorHAnsi"/>
          <w:szCs w:val="20"/>
        </w:rPr>
        <w:t xml:space="preserve">. În acest context </w:t>
      </w:r>
      <w:r w:rsidR="00573042">
        <w:rPr>
          <w:rFonts w:cstheme="minorHAnsi"/>
          <w:szCs w:val="20"/>
        </w:rPr>
        <w:t xml:space="preserve">există cerere crescută față de serviciile furnizate în centre rezidențiale, lista de așteptare pentru accesarea acestora </w:t>
      </w:r>
      <w:r w:rsidR="00E13E02">
        <w:rPr>
          <w:rFonts w:cstheme="minorHAnsi"/>
          <w:szCs w:val="20"/>
        </w:rPr>
        <w:t xml:space="preserve">fiind extrem de </w:t>
      </w:r>
      <w:r w:rsidR="00023007">
        <w:rPr>
          <w:rFonts w:cstheme="minorHAnsi"/>
          <w:szCs w:val="20"/>
        </w:rPr>
        <w:t xml:space="preserve">mare, ceea ce duce și la creșterea timpul de așteptare. </w:t>
      </w:r>
      <w:r w:rsidR="002929AC">
        <w:rPr>
          <w:rFonts w:cstheme="minorHAnsi"/>
          <w:szCs w:val="20"/>
        </w:rPr>
        <w:t>Marea majoritate a centrelor</w:t>
      </w:r>
      <w:r w:rsidR="00257CAC">
        <w:rPr>
          <w:rFonts w:cstheme="minorHAnsi"/>
          <w:szCs w:val="20"/>
        </w:rPr>
        <w:t xml:space="preserve"> </w:t>
      </w:r>
      <w:r w:rsidR="002929AC">
        <w:rPr>
          <w:rFonts w:cstheme="minorHAnsi"/>
          <w:szCs w:val="20"/>
        </w:rPr>
        <w:t>sunt private</w:t>
      </w:r>
      <w:r w:rsidR="00306DAC">
        <w:rPr>
          <w:rFonts w:cstheme="minorHAnsi"/>
          <w:szCs w:val="20"/>
        </w:rPr>
        <w:t>, costurile aferente îngrijirii unui vârstnic se dovedesc a fi ridicate</w:t>
      </w:r>
      <w:r w:rsidR="00FF1773">
        <w:rPr>
          <w:rFonts w:cstheme="minorHAnsi"/>
          <w:szCs w:val="20"/>
        </w:rPr>
        <w:t xml:space="preserve">, însă chiar și acestea se dovedesc a fi insuficiente. </w:t>
      </w:r>
    </w:p>
    <w:p w14:paraId="06C3B520" w14:textId="081387D6" w:rsidR="00CB4142" w:rsidRPr="00C51526" w:rsidRDefault="00CB4142" w:rsidP="0011231E">
      <w:pPr>
        <w:jc w:val="both"/>
        <w:rPr>
          <w:szCs w:val="20"/>
        </w:rPr>
      </w:pPr>
      <w:r>
        <w:rPr>
          <w:rFonts w:cstheme="minorHAnsi"/>
          <w:szCs w:val="20"/>
        </w:rPr>
        <w:t>Lipsa serviciilor sociale</w:t>
      </w:r>
      <w:r w:rsidR="00943D90">
        <w:rPr>
          <w:rFonts w:cstheme="minorHAnsi"/>
          <w:szCs w:val="20"/>
        </w:rPr>
        <w:t xml:space="preserve"> primare</w:t>
      </w:r>
      <w:r w:rsidR="00FE1722">
        <w:rPr>
          <w:rFonts w:cstheme="minorHAnsi"/>
          <w:szCs w:val="20"/>
        </w:rPr>
        <w:t xml:space="preserve"> și </w:t>
      </w:r>
      <w:r>
        <w:rPr>
          <w:rFonts w:cstheme="minorHAnsi"/>
          <w:szCs w:val="20"/>
        </w:rPr>
        <w:t xml:space="preserve">de asigurare </w:t>
      </w:r>
      <w:r w:rsidR="00FE1722">
        <w:rPr>
          <w:rFonts w:cstheme="minorHAnsi"/>
          <w:szCs w:val="20"/>
        </w:rPr>
        <w:t>deficitară a</w:t>
      </w:r>
      <w:r w:rsidR="00B63409">
        <w:rPr>
          <w:rFonts w:cstheme="minorHAnsi"/>
          <w:szCs w:val="20"/>
        </w:rPr>
        <w:t xml:space="preserve"> sprijinului pentru vârstnici în orice moment și în mod gratuit</w:t>
      </w:r>
      <w:r w:rsidR="00CC0637">
        <w:rPr>
          <w:rFonts w:cstheme="minorHAnsi"/>
          <w:szCs w:val="20"/>
        </w:rPr>
        <w:t xml:space="preserve"> duce la suprautiliz</w:t>
      </w:r>
      <w:r w:rsidR="00943D90">
        <w:rPr>
          <w:rFonts w:cstheme="minorHAnsi"/>
          <w:szCs w:val="20"/>
        </w:rPr>
        <w:t>a</w:t>
      </w:r>
      <w:r w:rsidR="00CC0637">
        <w:rPr>
          <w:rFonts w:cstheme="minorHAnsi"/>
          <w:szCs w:val="20"/>
        </w:rPr>
        <w:t xml:space="preserve">rea serviciilor </w:t>
      </w:r>
      <w:r w:rsidR="00237813">
        <w:rPr>
          <w:rFonts w:cstheme="minorHAnsi"/>
          <w:szCs w:val="20"/>
        </w:rPr>
        <w:t>pre</w:t>
      </w:r>
      <w:r w:rsidR="00CC0637">
        <w:rPr>
          <w:rFonts w:cstheme="minorHAnsi"/>
          <w:szCs w:val="20"/>
        </w:rPr>
        <w:t>spitalicești</w:t>
      </w:r>
      <w:r w:rsidR="00E242A2">
        <w:rPr>
          <w:rFonts w:cstheme="minorHAnsi"/>
          <w:szCs w:val="20"/>
        </w:rPr>
        <w:t>, prin so</w:t>
      </w:r>
      <w:r w:rsidR="008B10E3">
        <w:rPr>
          <w:rFonts w:cstheme="minorHAnsi"/>
          <w:szCs w:val="20"/>
        </w:rPr>
        <w:t xml:space="preserve">licitarea </w:t>
      </w:r>
      <w:r w:rsidR="00E242A2">
        <w:rPr>
          <w:rFonts w:cstheme="minorHAnsi"/>
          <w:szCs w:val="20"/>
        </w:rPr>
        <w:t>ambulanței pentru probleme de sănătate c</w:t>
      </w:r>
      <w:r w:rsidR="008B10E3">
        <w:rPr>
          <w:rFonts w:cstheme="minorHAnsi"/>
          <w:szCs w:val="20"/>
        </w:rPr>
        <w:t>ronic</w:t>
      </w:r>
      <w:r w:rsidR="00943D90">
        <w:rPr>
          <w:rFonts w:cstheme="minorHAnsi"/>
          <w:szCs w:val="20"/>
        </w:rPr>
        <w:t>e</w:t>
      </w:r>
      <w:r w:rsidR="008B10E3">
        <w:rPr>
          <w:rFonts w:cstheme="minorHAnsi"/>
          <w:szCs w:val="20"/>
        </w:rPr>
        <w:t xml:space="preserve"> și spitalicești în regim de </w:t>
      </w:r>
      <w:r w:rsidR="00CC0637">
        <w:rPr>
          <w:rFonts w:cstheme="minorHAnsi"/>
          <w:szCs w:val="20"/>
        </w:rPr>
        <w:t>urgență</w:t>
      </w:r>
      <w:r w:rsidR="00FE1722">
        <w:rPr>
          <w:rFonts w:cstheme="minorHAnsi"/>
          <w:szCs w:val="20"/>
        </w:rPr>
        <w:t xml:space="preserve"> prin supraglomerarea unității de primiri urgențe. </w:t>
      </w:r>
    </w:p>
    <w:p w14:paraId="2D599CE0" w14:textId="0612E7DF" w:rsidR="0011231E" w:rsidRDefault="00A138F1" w:rsidP="0011231E">
      <w:pPr>
        <w:jc w:val="both"/>
        <w:rPr>
          <w:szCs w:val="20"/>
        </w:rPr>
      </w:pPr>
      <w:r w:rsidRPr="00A138F1">
        <w:rPr>
          <w:szCs w:val="20"/>
        </w:rPr>
        <w:t xml:space="preserve">Studiile arată că majoritatea persoanelor vârstnice doresc ca starea lor de sănătate să le permită să aibă o viață independentă, să poată ieși afară și să socializeze, să fie independenți și capabili să se îngrijească, să continue să lucreze cât timp își </w:t>
      </w:r>
      <w:r w:rsidRPr="005D0771">
        <w:rPr>
          <w:szCs w:val="20"/>
        </w:rPr>
        <w:t>doresc</w:t>
      </w:r>
      <w:r w:rsidR="00FD2CD3" w:rsidRPr="005D0771">
        <w:rPr>
          <w:szCs w:val="20"/>
        </w:rPr>
        <w:t xml:space="preserve"> </w:t>
      </w:r>
      <w:r w:rsidRPr="005D0771">
        <w:rPr>
          <w:szCs w:val="20"/>
        </w:rPr>
        <w:t>(Eurostat</w:t>
      </w:r>
      <w:r w:rsidR="00FD2CD3" w:rsidRPr="005D0771">
        <w:rPr>
          <w:szCs w:val="20"/>
        </w:rPr>
        <w:t xml:space="preserve">, </w:t>
      </w:r>
      <w:r w:rsidRPr="005D0771">
        <w:rPr>
          <w:szCs w:val="20"/>
        </w:rPr>
        <w:t>2020). În acest</w:t>
      </w:r>
      <w:r w:rsidRPr="00A138F1">
        <w:rPr>
          <w:szCs w:val="20"/>
        </w:rPr>
        <w:t xml:space="preserve"> sens accesul persoanelor vârstnice la servicii și beneficii de asistență socială și la servicii de sănătate reprezintă un element esențial al calității vieții acestora având în vedere nevoile lor specifice</w:t>
      </w:r>
      <w:r w:rsidR="002812C8">
        <w:rPr>
          <w:szCs w:val="20"/>
        </w:rPr>
        <w:t xml:space="preserve"> și </w:t>
      </w:r>
      <w:r w:rsidR="00446985">
        <w:rPr>
          <w:szCs w:val="20"/>
        </w:rPr>
        <w:t xml:space="preserve">pentru asigurarea menținerii acestora în mediul propriu de viață. </w:t>
      </w:r>
    </w:p>
    <w:p w14:paraId="6B0694F7" w14:textId="55D885A1" w:rsidR="0011231E" w:rsidRDefault="0011231E" w:rsidP="0011231E">
      <w:pPr>
        <w:jc w:val="both"/>
      </w:pPr>
      <w:r>
        <w:t>Pentru a descrie o calitate a vieții ridicată în cazul vârstnicilor a fost dezvoltat conceptul de î</w:t>
      </w:r>
      <w:r w:rsidRPr="004603C7">
        <w:t>mbătrânire de succes</w:t>
      </w:r>
      <w:r>
        <w:t xml:space="preserve"> care este centrat pe maximizarea beneficiilor asociate procesului de îmbătrânire</w:t>
      </w:r>
      <w:r w:rsidRPr="004603C7">
        <w:t xml:space="preserve"> </w:t>
      </w:r>
      <w:r>
        <w:t>și</w:t>
      </w:r>
      <w:r w:rsidRPr="004603C7">
        <w:t xml:space="preserve"> are ca indicatori principali: durata </w:t>
      </w:r>
      <w:r w:rsidRPr="004603C7">
        <w:lastRenderedPageBreak/>
        <w:t xml:space="preserve">vieții, sănătatea biologică, sănătatea mentală, eficacitatea cognitivă, competențele sociale și productivitatea, controlul personal și satisfacția cu viața (Baltes și Baltes, 1990). </w:t>
      </w:r>
    </w:p>
    <w:p w14:paraId="768DB233" w14:textId="77777777" w:rsidR="0011231E" w:rsidRPr="004603C7" w:rsidRDefault="0011231E" w:rsidP="0011231E">
      <w:pPr>
        <w:jc w:val="both"/>
      </w:pPr>
      <w:r w:rsidRPr="004603C7">
        <w:t>Pornind de la diversele teorii în domeniu (teoria activității, continuității, îmbătrânirii de succes, alegerii raționale, perspectiva cursului vieții), îmbătrânirea activă consideră că participarea socială și/sau economică a persoanelor vârstnice este esențială pentru creșterea calității vieții acestora și menținerea unei sănătății fizice, sociale și mentale (Boudiny, 2013). Printre factorii determinanți ai îmbătrânirii active se numără cei sociali, economici, comportamentali</w:t>
      </w:r>
      <w:r>
        <w:t>,</w:t>
      </w:r>
      <w:r w:rsidRPr="004603C7">
        <w:t xml:space="preserve"> sănătatea și serviciile sociale, de personalitate, de mediu, culturali și de gen (WHO, 2002, p. 19). La nivelul Uniunii Europene, îmbătrânirea activă stă la baza solidarității intergeneraționale, </w:t>
      </w:r>
      <w:r>
        <w:t>fiind</w:t>
      </w:r>
      <w:r w:rsidRPr="004603C7">
        <w:t xml:space="preserve"> unul dintre obiectivele principale ale Strategiei 2020 și are trei dimensiuni esențiale: participare</w:t>
      </w:r>
      <w:r>
        <w:t xml:space="preserve"> pe piața muncii, implicare</w:t>
      </w:r>
      <w:r w:rsidRPr="004603C7">
        <w:t xml:space="preserve"> civică și autonomie (Comisia Europeană, 2012). Participarea pe piața muncii facilitează accesul vârstnicilor la resurse materiale care să le permită o mai mare autonomie, dar și păstrarea relațiilor sociale, a rolului/statusului sau a sănătății mentale. Această participare pe piața muncii a vârstnicilor are beneficii economice</w:t>
      </w:r>
      <w:r>
        <w:t xml:space="preserve"> și </w:t>
      </w:r>
      <w:r w:rsidRPr="004603C7">
        <w:t>pentru societate, dar în multe cazuri presupune o adaptare a timpului sau condițiilor de lucru pentru persoanele vârstnice. Facilitatea cetățeniei active pentru vârstnici presupune implicarea lor civică în diverse medii și activități</w:t>
      </w:r>
      <w:r>
        <w:t>, iar im</w:t>
      </w:r>
      <w:r w:rsidRPr="004603C7">
        <w:t xml:space="preserve">plicarea civică are efecte asupra sănătății sociale a persoanelor vârstnice. Modul de viață autonom se poate obține atât prin menținerea sănătății fizice, sociale și mentale, dar și prin accesibilizarea mediului înconjurător sau creșterea calității locuirii.  </w:t>
      </w:r>
    </w:p>
    <w:p w14:paraId="768C96CC" w14:textId="2040F0AC" w:rsidR="00D76544" w:rsidRDefault="0011231E" w:rsidP="00711F0E">
      <w:pPr>
        <w:jc w:val="both"/>
        <w:rPr>
          <w:rFonts w:cstheme="minorHAnsi"/>
          <w:sz w:val="21"/>
          <w:szCs w:val="21"/>
        </w:rPr>
      </w:pPr>
      <w:r w:rsidRPr="00FF04A3">
        <w:t>Protecția socială (prestațiile și serviciile sociale) reprezintă o dimensiune importantă a calității vieții vârstnicului deoarece îi oferă suportul necesar pentru o viață demnă și relativ independentă.  Având în vedere că 33.9% (1.221 mii persoane) dintre persoanele vârstnice din România erau în situație de risc de sărăcie și excluziune socială în anul 2019 (Eurostat, ilc_peps01), prestațiile sociale și serviciile sociale sunt importante pentru a îi ajuta să depășească situația de dificultate în care se află. Acest risc de sărăcie și excluziune socială este mai crescut pentru persoanele din mediul rural. Rata sărăciei relative înainte de transferurile sociale rămâne ridicată la nivel național (45.2%), chiar dacă s-a redus ușor după anul 2013, și înregistrează valori aproape duble în cazul persoanelor peste 65 de ani.</w:t>
      </w:r>
    </w:p>
    <w:p w14:paraId="44D2507C" w14:textId="614E506A" w:rsidR="00544AF1" w:rsidRDefault="00136F0D" w:rsidP="00B82F74">
      <w:pPr>
        <w:jc w:val="both"/>
        <w:rPr>
          <w:rFonts w:cstheme="minorHAnsi"/>
          <w:sz w:val="21"/>
          <w:szCs w:val="21"/>
        </w:rPr>
      </w:pPr>
      <w:r w:rsidRPr="00136F0D">
        <w:rPr>
          <w:szCs w:val="20"/>
        </w:rPr>
        <w:t>Sprijinul la domiciliu de către o echipă interdisciplinară</w:t>
      </w:r>
      <w:r>
        <w:rPr>
          <w:szCs w:val="20"/>
        </w:rPr>
        <w:t xml:space="preserve"> </w:t>
      </w:r>
      <w:r w:rsidR="008A6FB5">
        <w:rPr>
          <w:szCs w:val="20"/>
        </w:rPr>
        <w:t>contrbuie la reducerea plasării în centre rezi</w:t>
      </w:r>
      <w:r w:rsidR="006712FF">
        <w:rPr>
          <w:szCs w:val="20"/>
        </w:rPr>
        <w:t xml:space="preserve">dențiale și de apelare a serviciilor medicale, ca urmare a îmbunățirii </w:t>
      </w:r>
      <w:r w:rsidR="00BB6831">
        <w:rPr>
          <w:szCs w:val="20"/>
        </w:rPr>
        <w:t>stării fizic</w:t>
      </w:r>
      <w:r w:rsidR="00395E37">
        <w:rPr>
          <w:szCs w:val="20"/>
        </w:rPr>
        <w:t xml:space="preserve">e, </w:t>
      </w:r>
      <w:r w:rsidR="002906F0" w:rsidRPr="002906F0">
        <w:rPr>
          <w:szCs w:val="20"/>
        </w:rPr>
        <w:t>intervențiile la domiciliu și</w:t>
      </w:r>
      <w:r w:rsidR="00040AD7">
        <w:rPr>
          <w:szCs w:val="20"/>
        </w:rPr>
        <w:t xml:space="preserve"> </w:t>
      </w:r>
      <w:r w:rsidR="002906F0" w:rsidRPr="002906F0">
        <w:rPr>
          <w:szCs w:val="20"/>
        </w:rPr>
        <w:t>sup</w:t>
      </w:r>
      <w:r w:rsidR="00395E37">
        <w:rPr>
          <w:szCs w:val="20"/>
        </w:rPr>
        <w:t xml:space="preserve">ortul </w:t>
      </w:r>
      <w:r w:rsidR="00040AD7">
        <w:rPr>
          <w:szCs w:val="20"/>
        </w:rPr>
        <w:t>a</w:t>
      </w:r>
      <w:r w:rsidR="000B7B53">
        <w:rPr>
          <w:szCs w:val="20"/>
        </w:rPr>
        <w:t>c</w:t>
      </w:r>
      <w:r w:rsidR="00040AD7">
        <w:rPr>
          <w:szCs w:val="20"/>
        </w:rPr>
        <w:t xml:space="preserve">ordat pentru </w:t>
      </w:r>
      <w:r w:rsidR="00395E37">
        <w:rPr>
          <w:szCs w:val="20"/>
        </w:rPr>
        <w:t>prom</w:t>
      </w:r>
      <w:r w:rsidR="00040AD7">
        <w:rPr>
          <w:szCs w:val="20"/>
        </w:rPr>
        <w:t>ovarea</w:t>
      </w:r>
      <w:r w:rsidR="00395E37">
        <w:rPr>
          <w:szCs w:val="20"/>
        </w:rPr>
        <w:t xml:space="preserve"> </w:t>
      </w:r>
      <w:r w:rsidR="002906F0" w:rsidRPr="002906F0">
        <w:rPr>
          <w:szCs w:val="20"/>
        </w:rPr>
        <w:t>independenț</w:t>
      </w:r>
      <w:r w:rsidR="00395E37">
        <w:rPr>
          <w:szCs w:val="20"/>
        </w:rPr>
        <w:t>ei vârstnicilor p</w:t>
      </w:r>
      <w:r w:rsidR="00893121">
        <w:rPr>
          <w:szCs w:val="20"/>
        </w:rPr>
        <w:t xml:space="preserve">utând fi </w:t>
      </w:r>
      <w:r w:rsidR="002906F0" w:rsidRPr="002906F0">
        <w:rPr>
          <w:szCs w:val="20"/>
        </w:rPr>
        <w:t>eficiente în a-i ajuta pe</w:t>
      </w:r>
      <w:r w:rsidR="0075660C">
        <w:rPr>
          <w:szCs w:val="20"/>
        </w:rPr>
        <w:t xml:space="preserve"> aceștia </w:t>
      </w:r>
      <w:r w:rsidR="002906F0" w:rsidRPr="002906F0">
        <w:rPr>
          <w:szCs w:val="20"/>
        </w:rPr>
        <w:t>să îmbătrânească acasă</w:t>
      </w:r>
      <w:r w:rsidR="0075660C">
        <w:rPr>
          <w:szCs w:val="20"/>
        </w:rPr>
        <w:t xml:space="preserve">. </w:t>
      </w:r>
      <w:r w:rsidR="00544AF1">
        <w:rPr>
          <w:szCs w:val="20"/>
        </w:rPr>
        <w:t xml:space="preserve">În acest context accesul la servicii medicale de bază precum </w:t>
      </w:r>
      <w:r w:rsidR="00544AF1" w:rsidRPr="00533C07">
        <w:rPr>
          <w:rFonts w:cstheme="minorHAnsi"/>
          <w:sz w:val="21"/>
          <w:szCs w:val="21"/>
        </w:rPr>
        <w:t>monitorizarea aderenței la tratament, monitorizarea bolilor cronice, identificarea potențialului de agravare a bolii, facilitatrea accesului la îngrijiri specializate pe care adesea bătrînii nu știu cum/unde/la cine să</w:t>
      </w:r>
      <w:r w:rsidR="00544AF1">
        <w:rPr>
          <w:rFonts w:cstheme="minorHAnsi"/>
          <w:sz w:val="21"/>
          <w:szCs w:val="21"/>
        </w:rPr>
        <w:t xml:space="preserve"> le solicite prez</w:t>
      </w:r>
      <w:r w:rsidR="00893121">
        <w:rPr>
          <w:rFonts w:cstheme="minorHAnsi"/>
          <w:sz w:val="21"/>
          <w:szCs w:val="21"/>
        </w:rPr>
        <w:t xml:space="preserve">intă </w:t>
      </w:r>
      <w:r w:rsidR="00544AF1">
        <w:rPr>
          <w:rFonts w:cstheme="minorHAnsi"/>
          <w:sz w:val="21"/>
          <w:szCs w:val="21"/>
        </w:rPr>
        <w:t>aspecte importante necesar avute în vedere pentru îmbunățirea situației fizice și ps</w:t>
      </w:r>
      <w:r w:rsidR="005455FF">
        <w:rPr>
          <w:rFonts w:cstheme="minorHAnsi"/>
          <w:sz w:val="21"/>
          <w:szCs w:val="21"/>
        </w:rPr>
        <w:t xml:space="preserve">ihice </w:t>
      </w:r>
      <w:r w:rsidR="00544AF1">
        <w:rPr>
          <w:rFonts w:cstheme="minorHAnsi"/>
          <w:sz w:val="21"/>
          <w:szCs w:val="21"/>
        </w:rPr>
        <w:t xml:space="preserve">a acestora. </w:t>
      </w:r>
    </w:p>
    <w:p w14:paraId="147C81FF" w14:textId="77777777" w:rsidR="00B82F74" w:rsidRPr="00D931DC" w:rsidRDefault="00B82F74" w:rsidP="00B82F74">
      <w:pPr>
        <w:jc w:val="both"/>
        <w:rPr>
          <w:rFonts w:cstheme="minorHAnsi"/>
        </w:rPr>
      </w:pPr>
      <w:r>
        <w:rPr>
          <w:rFonts w:cstheme="minorHAnsi"/>
        </w:rPr>
        <w:t>În contextul pandemiei COVID-19, accesul la serviciile sociale și medicale pentru persoanele vârstnice și nu numai, ci pentru persoanele vulnerabile în general, a fost diminuat sau restricționat pe fondul reducerii sau suspendării unora dintre acestea, în special a celor furnizate în sistem non-rezidențial (centrele de zi, serviciile de consiliere, de informare, policlinicile sociale). C</w:t>
      </w:r>
      <w:r w:rsidRPr="00D931DC">
        <w:rPr>
          <w:rFonts w:cstheme="minorHAnsi"/>
        </w:rPr>
        <w:t>entre</w:t>
      </w:r>
      <w:r>
        <w:rPr>
          <w:rFonts w:cstheme="minorHAnsi"/>
        </w:rPr>
        <w:t>le</w:t>
      </w:r>
      <w:r w:rsidRPr="00D931DC">
        <w:rPr>
          <w:rFonts w:cstheme="minorHAnsi"/>
        </w:rPr>
        <w:t xml:space="preserve"> de zi ofereau persoanelor vârstnice posibilitatea de a socializa cu alte persoane (cluburile vârstnicilor), de a participa la activități de formare profesională, de a se implica voluntar în activități sociale, precum și de a beneficia de o serie de servicii de socio-medicale de suport (hrană, terapie, kinetoterapie, consiliere</w:t>
      </w:r>
      <w:r>
        <w:rPr>
          <w:rFonts w:cstheme="minorHAnsi"/>
        </w:rPr>
        <w:t xml:space="preserve">, </w:t>
      </w:r>
      <w:r w:rsidRPr="00D931DC">
        <w:rPr>
          <w:rFonts w:cstheme="minorHAnsi"/>
        </w:rPr>
        <w:t xml:space="preserve">etc). </w:t>
      </w:r>
      <w:r>
        <w:rPr>
          <w:rFonts w:cstheme="minorHAnsi"/>
        </w:rPr>
        <w:t xml:space="preserve">Reducerea accesului la astfel de servicii </w:t>
      </w:r>
      <w:r w:rsidRPr="00D931DC">
        <w:rPr>
          <w:rFonts w:cstheme="minorHAnsi"/>
        </w:rPr>
        <w:t>p</w:t>
      </w:r>
      <w:r>
        <w:rPr>
          <w:rFonts w:cstheme="minorHAnsi"/>
        </w:rPr>
        <w:t xml:space="preserve">oate afecta </w:t>
      </w:r>
      <w:r w:rsidRPr="00D931DC">
        <w:rPr>
          <w:rFonts w:cstheme="minorHAnsi"/>
        </w:rPr>
        <w:t xml:space="preserve">calitatea vieții </w:t>
      </w:r>
      <w:r>
        <w:rPr>
          <w:rFonts w:cstheme="minorHAnsi"/>
        </w:rPr>
        <w:t>persoanelor vârstnice prin</w:t>
      </w:r>
      <w:r w:rsidRPr="00D931DC">
        <w:rPr>
          <w:rFonts w:cstheme="minorHAnsi"/>
        </w:rPr>
        <w:t xml:space="preserve">: </w:t>
      </w:r>
      <w:r>
        <w:rPr>
          <w:rFonts w:cstheme="minorHAnsi"/>
        </w:rPr>
        <w:t xml:space="preserve">creșterea </w:t>
      </w:r>
      <w:r w:rsidRPr="00D931DC">
        <w:rPr>
          <w:rFonts w:cstheme="minorHAnsi"/>
        </w:rPr>
        <w:t>izol</w:t>
      </w:r>
      <w:r>
        <w:rPr>
          <w:rFonts w:cstheme="minorHAnsi"/>
        </w:rPr>
        <w:t>ării sociale</w:t>
      </w:r>
      <w:r w:rsidRPr="00D931DC">
        <w:rPr>
          <w:rFonts w:cstheme="minorHAnsi"/>
        </w:rPr>
        <w:t>, acutizarea sentimentului de singurătate și a unor probleme de sănătate fizică și psihică</w:t>
      </w:r>
      <w:r>
        <w:rPr>
          <w:rFonts w:cstheme="minorHAnsi"/>
        </w:rPr>
        <w:t xml:space="preserve"> (anxietate, depresie)</w:t>
      </w:r>
      <w:r w:rsidRPr="00D931DC">
        <w:rPr>
          <w:rFonts w:cstheme="minorHAnsi"/>
        </w:rPr>
        <w:t>.</w:t>
      </w:r>
      <w:r>
        <w:rPr>
          <w:rFonts w:cstheme="minorHAnsi"/>
        </w:rPr>
        <w:t xml:space="preserve"> (Petrescu, 2021)</w:t>
      </w:r>
    </w:p>
    <w:p w14:paraId="0793DEF2" w14:textId="77777777" w:rsidR="00B82F74" w:rsidRDefault="00B82F74" w:rsidP="00B82F74">
      <w:pPr>
        <w:jc w:val="both"/>
        <w:rPr>
          <w:rFonts w:cstheme="minorHAnsi"/>
        </w:rPr>
      </w:pPr>
      <w:r>
        <w:rPr>
          <w:rFonts w:cstheme="minorHAnsi"/>
        </w:rPr>
        <w:t>Studiile derulate după izbucnirea pandemiei COVID-19, au arătat că e</w:t>
      </w:r>
      <w:r w:rsidRPr="00D931DC">
        <w:rPr>
          <w:rFonts w:cstheme="minorHAnsi"/>
        </w:rPr>
        <w:t xml:space="preserve">xistența unor servicii comunitare integrate de îngrijire a vârstnicilor </w:t>
      </w:r>
      <w:r>
        <w:rPr>
          <w:rFonts w:cstheme="minorHAnsi"/>
        </w:rPr>
        <w:t xml:space="preserve">dezvoltate </w:t>
      </w:r>
      <w:r w:rsidRPr="00D931DC">
        <w:rPr>
          <w:rFonts w:cstheme="minorHAnsi"/>
        </w:rPr>
        <w:t xml:space="preserve">poate face ca numărul persoanelor infectate cu COVID-19 să fie mult mai mic (Binkin et al., 2020). </w:t>
      </w:r>
      <w:r>
        <w:rPr>
          <w:rFonts w:cstheme="minorHAnsi"/>
        </w:rPr>
        <w:t xml:space="preserve">Studiile făcute în Italia, pe regiuni diferite, a arătat că </w:t>
      </w:r>
      <w:r w:rsidRPr="00D931DC">
        <w:rPr>
          <w:rFonts w:cstheme="minorHAnsi"/>
        </w:rPr>
        <w:t>riscul de contractare a virusului în cazul persoanelor vârstnice este mai mic dacă</w:t>
      </w:r>
      <w:r>
        <w:rPr>
          <w:rFonts w:cstheme="minorHAnsi"/>
        </w:rPr>
        <w:t xml:space="preserve"> la nivel comunitar </w:t>
      </w:r>
      <w:r w:rsidRPr="00D931DC">
        <w:rPr>
          <w:rFonts w:cstheme="minorHAnsi"/>
        </w:rPr>
        <w:t xml:space="preserve"> sistemul </w:t>
      </w:r>
      <w:r>
        <w:rPr>
          <w:rFonts w:cstheme="minorHAnsi"/>
        </w:rPr>
        <w:t xml:space="preserve">de servicii de sănătate primară, </w:t>
      </w:r>
      <w:r w:rsidRPr="00D931DC">
        <w:rPr>
          <w:rFonts w:cstheme="minorHAnsi"/>
        </w:rPr>
        <w:t>de îngrijiri la domiciliul și de asistență comunitară integrată (asistență socială și asistență medicală comunitară) este eficient</w:t>
      </w:r>
      <w:r>
        <w:rPr>
          <w:rFonts w:cstheme="minorHAnsi"/>
        </w:rPr>
        <w:t xml:space="preserve"> (</w:t>
      </w:r>
      <w:r w:rsidRPr="00D931DC">
        <w:rPr>
          <w:rFonts w:cstheme="minorHAnsi"/>
        </w:rPr>
        <w:t>Binkin et al., 2020</w:t>
      </w:r>
      <w:r>
        <w:rPr>
          <w:rFonts w:cstheme="minorHAnsi"/>
        </w:rPr>
        <w:t>)</w:t>
      </w:r>
      <w:r w:rsidRPr="00D931DC">
        <w:rPr>
          <w:rFonts w:cstheme="minorHAnsi"/>
        </w:rPr>
        <w:t>.</w:t>
      </w:r>
      <w:r>
        <w:rPr>
          <w:rFonts w:cstheme="minorHAnsi"/>
        </w:rPr>
        <w:t xml:space="preserve"> În același timp, sistemul de îngrijire rezidențială a persoanelor vârstnice, a reprezentat un risc mai mare de infectare cu COVID-19 în condițiile în care posibilitatea de transmitere a fost mai mare. Datele estimative ale </w:t>
      </w:r>
      <w:r w:rsidRPr="00D931DC">
        <w:rPr>
          <w:rFonts w:cstheme="minorHAnsi"/>
        </w:rPr>
        <w:t xml:space="preserve">Organizației Mondiale a Sănătății, biroul regional Europa, indică faptul că până la jumătate dintre decesele de </w:t>
      </w:r>
      <w:r w:rsidRPr="00D931DC">
        <w:rPr>
          <w:rFonts w:cstheme="minorHAnsi"/>
        </w:rPr>
        <w:lastRenderedPageBreak/>
        <w:t>COVID-19 au fost ale persoanelor din centrele rezidențiale pentru îngrijiri de lungă durată.  (</w:t>
      </w:r>
      <w:hyperlink r:id="rId11" w:history="1">
        <w:r w:rsidRPr="00D931DC">
          <w:rPr>
            <w:rStyle w:val="Hyperlink"/>
          </w:rPr>
          <w:t>http://www.euro.who.int/en/media-centre/sections/statements/2020/statement-invest-in-the-overlooked-and-unsung-build-sustainable-people-centred-long-term-care-in-the-wake-of-covid-19</w:t>
        </w:r>
      </w:hyperlink>
      <w:r w:rsidRPr="00D931DC">
        <w:rPr>
          <w:rFonts w:cstheme="minorHAnsi"/>
        </w:rPr>
        <w:t>)</w:t>
      </w:r>
      <w:r>
        <w:rPr>
          <w:rFonts w:cstheme="minorHAnsi"/>
        </w:rPr>
        <w:t xml:space="preserve">. Și datele ECDC arată că incidența deceselor de COVID-19 a fost mai mare în cazul centrelor rezidențiale pentru vârstnici sau persoane cu dizabilități (ECDC, 2020). </w:t>
      </w:r>
      <w:r w:rsidRPr="00D931DC">
        <w:rPr>
          <w:rFonts w:cstheme="minorHAnsi"/>
        </w:rPr>
        <w:t>În plus având în vedere constrângerile de circulație, persoanele vârstnice din aceste centre nu mai pot beneficia de suportul emoțional, fizic și psihologic din partea familiei ceea ce le accentuează sentimentul de singurătate și izolare socială.</w:t>
      </w:r>
      <w:r>
        <w:rPr>
          <w:rFonts w:cstheme="minorHAnsi"/>
        </w:rPr>
        <w:t xml:space="preserve"> Acest lucru nu înseamnă însă că nu este nevoie de aceste servicii oferite în sistem rezidențial pentru vârstnici, ci de o dezvoltare a celui de îngrijiri la nivel comunitar. </w:t>
      </w:r>
    </w:p>
    <w:p w14:paraId="0EFA78E7" w14:textId="77777777" w:rsidR="00E14E33" w:rsidRPr="00AF6911" w:rsidRDefault="00E14E33">
      <w:pPr>
        <w:rPr>
          <w:rFonts w:ascii="Calibri" w:eastAsiaTheme="majorEastAsia" w:hAnsi="Calibri" w:cs="Calibri"/>
          <w:iCs/>
          <w:spacing w:val="-10"/>
          <w:kern w:val="28"/>
        </w:rPr>
      </w:pPr>
    </w:p>
    <w:p w14:paraId="48FB8F8C" w14:textId="0F1BD423" w:rsidR="00B82F74" w:rsidRDefault="00B82F74">
      <w:pPr>
        <w:rPr>
          <w:rFonts w:ascii="Calibri" w:eastAsiaTheme="majorEastAsia" w:hAnsi="Calibri" w:cs="Calibri"/>
          <w:i/>
          <w:spacing w:val="-10"/>
          <w:kern w:val="28"/>
        </w:rPr>
      </w:pPr>
    </w:p>
    <w:p w14:paraId="39A60015" w14:textId="77777777" w:rsidR="00B82F74" w:rsidRDefault="00B82F74">
      <w:pPr>
        <w:rPr>
          <w:rFonts w:ascii="Calibri" w:eastAsiaTheme="majorEastAsia" w:hAnsi="Calibri" w:cs="Calibri"/>
          <w:i/>
          <w:spacing w:val="-10"/>
          <w:kern w:val="28"/>
        </w:rPr>
      </w:pPr>
      <w:r>
        <w:rPr>
          <w:rFonts w:ascii="Calibri" w:eastAsiaTheme="majorEastAsia" w:hAnsi="Calibri" w:cs="Calibri"/>
          <w:i/>
          <w:spacing w:val="-10"/>
          <w:kern w:val="28"/>
        </w:rPr>
        <w:br w:type="page"/>
      </w:r>
    </w:p>
    <w:p w14:paraId="3E350832" w14:textId="1103B6A4" w:rsidR="003F735D" w:rsidRPr="003F735D" w:rsidRDefault="003F735D">
      <w:pPr>
        <w:rPr>
          <w:rFonts w:ascii="Calibri" w:eastAsiaTheme="majorEastAsia" w:hAnsi="Calibri" w:cs="Calibri"/>
          <w:b/>
          <w:bCs/>
          <w:iCs/>
          <w:spacing w:val="-10"/>
          <w:kern w:val="28"/>
        </w:rPr>
      </w:pPr>
      <w:r w:rsidRPr="003F735D">
        <w:rPr>
          <w:rFonts w:ascii="Calibri" w:eastAsiaTheme="majorEastAsia" w:hAnsi="Calibri" w:cs="Calibri"/>
          <w:b/>
          <w:bCs/>
          <w:iCs/>
          <w:spacing w:val="-10"/>
          <w:kern w:val="28"/>
        </w:rPr>
        <w:lastRenderedPageBreak/>
        <w:t>Bibliografie</w:t>
      </w:r>
    </w:p>
    <w:p w14:paraId="686AB249" w14:textId="4A4E002A" w:rsidR="00A312BF" w:rsidRDefault="00A312BF" w:rsidP="003F390E">
      <w:pPr>
        <w:spacing w:after="120" w:line="240" w:lineRule="auto"/>
        <w:jc w:val="both"/>
      </w:pPr>
      <w:r w:rsidRPr="008F5F28">
        <w:t xml:space="preserve">Baltes, Paul B. și Margret M. Baltes, eds. 1990. </w:t>
      </w:r>
      <w:r w:rsidRPr="008F5F28">
        <w:rPr>
          <w:rFonts w:hint="eastAsia"/>
        </w:rPr>
        <w:t>Paul B. Baltes</w:t>
      </w:r>
      <w:r w:rsidRPr="008F5F28">
        <w:t>,</w:t>
      </w:r>
      <w:r w:rsidRPr="008F5F28">
        <w:rPr>
          <w:rFonts w:hint="eastAsia"/>
        </w:rPr>
        <w:t xml:space="preserve"> Margret M. Baltes</w:t>
      </w:r>
      <w:r w:rsidRPr="008F5F28">
        <w:t xml:space="preserve">, </w:t>
      </w:r>
      <w:r w:rsidRPr="008F5F28">
        <w:rPr>
          <w:rFonts w:hint="eastAsia"/>
        </w:rPr>
        <w:t>James F. Fries</w:t>
      </w:r>
      <w:r w:rsidRPr="008F5F28">
        <w:t xml:space="preserve">, </w:t>
      </w:r>
      <w:r w:rsidRPr="008F5F28">
        <w:rPr>
          <w:rFonts w:hint="eastAsia"/>
        </w:rPr>
        <w:t>David L. Featherman, Jacqui Smith, James G. Peterson</w:t>
      </w:r>
      <w:r w:rsidRPr="008F5F28">
        <w:t xml:space="preserve">, </w:t>
      </w:r>
      <w:r w:rsidRPr="008F5F28">
        <w:rPr>
          <w:rFonts w:hint="eastAsia"/>
        </w:rPr>
        <w:t>K. Warner Schaie</w:t>
      </w:r>
      <w:r w:rsidRPr="008F5F28">
        <w:t xml:space="preserve">, </w:t>
      </w:r>
      <w:r w:rsidRPr="008F5F28">
        <w:rPr>
          <w:rFonts w:hint="eastAsia"/>
        </w:rPr>
        <w:t>Lars Bäckman, Timo Mäntylä, Agneta Herlitz</w:t>
      </w:r>
      <w:r w:rsidRPr="008F5F28">
        <w:t xml:space="preserve">, </w:t>
      </w:r>
      <w:r w:rsidRPr="008F5F28">
        <w:rPr>
          <w:rFonts w:hint="eastAsia"/>
        </w:rPr>
        <w:t>K. Anders Ericsson</w:t>
      </w:r>
      <w:r w:rsidRPr="008F5F28">
        <w:t xml:space="preserve">, </w:t>
      </w:r>
      <w:r w:rsidRPr="008F5F28">
        <w:rPr>
          <w:rFonts w:hint="eastAsia"/>
        </w:rPr>
        <w:t>Jochen Brandtstädter</w:t>
      </w:r>
      <w:r w:rsidRPr="008F5F28">
        <w:t>,</w:t>
      </w:r>
      <w:r w:rsidRPr="008F5F28">
        <w:rPr>
          <w:rFonts w:hint="eastAsia"/>
        </w:rPr>
        <w:t xml:space="preserve"> Bernhard Baltes-Götz</w:t>
      </w:r>
      <w:r w:rsidRPr="008F5F28">
        <w:t>,</w:t>
      </w:r>
      <w:r w:rsidRPr="008F5F28">
        <w:rPr>
          <w:rFonts w:hint="eastAsia"/>
        </w:rPr>
        <w:t xml:space="preserve"> Camille B. Wortman</w:t>
      </w:r>
      <w:r w:rsidRPr="008F5F28">
        <w:t>,</w:t>
      </w:r>
      <w:r w:rsidRPr="008F5F28">
        <w:rPr>
          <w:rFonts w:hint="eastAsia"/>
        </w:rPr>
        <w:t xml:space="preserve"> Roxane Cohen Silver</w:t>
      </w:r>
      <w:r w:rsidRPr="008F5F28">
        <w:t xml:space="preserve">, </w:t>
      </w:r>
      <w:r w:rsidRPr="008F5F28">
        <w:rPr>
          <w:rFonts w:hint="eastAsia"/>
        </w:rPr>
        <w:t>Georg Rudinger</w:t>
      </w:r>
      <w:r w:rsidRPr="008F5F28">
        <w:t>,</w:t>
      </w:r>
      <w:r w:rsidRPr="008F5F28">
        <w:rPr>
          <w:rFonts w:hint="eastAsia"/>
        </w:rPr>
        <w:t xml:space="preserve"> Hans Thomae</w:t>
      </w:r>
      <w:r w:rsidRPr="008F5F28">
        <w:t xml:space="preserve">, </w:t>
      </w:r>
      <w:r w:rsidRPr="008F5F28">
        <w:rPr>
          <w:rFonts w:hint="eastAsia"/>
        </w:rPr>
        <w:t>Barbara Maughan</w:t>
      </w:r>
      <w:r w:rsidRPr="008F5F28">
        <w:t>,</w:t>
      </w:r>
      <w:r w:rsidRPr="008F5F28">
        <w:rPr>
          <w:rFonts w:hint="eastAsia"/>
        </w:rPr>
        <w:t xml:space="preserve"> Lorna Champion</w:t>
      </w:r>
      <w:r w:rsidRPr="008F5F28">
        <w:t xml:space="preserve">, </w:t>
      </w:r>
      <w:r w:rsidRPr="008F5F28">
        <w:rPr>
          <w:rFonts w:hint="eastAsia"/>
        </w:rPr>
        <w:t>George E. Vaillant</w:t>
      </w:r>
      <w:r w:rsidRPr="008F5F28">
        <w:t xml:space="preserve">, </w:t>
      </w:r>
      <w:r w:rsidRPr="008F5F28">
        <w:rPr>
          <w:rFonts w:hint="eastAsia"/>
        </w:rPr>
        <w:t>Nancy L. Pedersen</w:t>
      </w:r>
      <w:r w:rsidRPr="008F5F28">
        <w:t>,</w:t>
      </w:r>
      <w:r w:rsidRPr="008F5F28">
        <w:rPr>
          <w:rFonts w:hint="eastAsia"/>
        </w:rPr>
        <w:t xml:space="preserve"> Jennifer R. Harris</w:t>
      </w:r>
      <w:r w:rsidRPr="008F5F28">
        <w:t>. Authors.</w:t>
      </w:r>
      <w:r w:rsidRPr="008F5F28">
        <w:rPr>
          <w:i/>
        </w:rPr>
        <w:t xml:space="preserve"> Successful Aging: Perspectives from the Behavioral Sciences</w:t>
      </w:r>
      <w:r w:rsidRPr="008F5F28">
        <w:t>. Cambridge: Cambridge University Press</w:t>
      </w:r>
    </w:p>
    <w:p w14:paraId="60467747" w14:textId="5E35A028" w:rsidR="00A312BF" w:rsidRPr="008F5F28" w:rsidRDefault="00A312BF" w:rsidP="003F390E">
      <w:pPr>
        <w:spacing w:after="120" w:line="240" w:lineRule="auto"/>
        <w:ind w:left="720" w:hanging="720"/>
        <w:jc w:val="both"/>
      </w:pPr>
      <w:r w:rsidRPr="008F5F28">
        <w:t xml:space="preserve">Bălașa, Ana. 2005. ”Îmbătrânirea populației: provocări și răspunsuri ale Europei”. </w:t>
      </w:r>
      <w:r w:rsidRPr="008F5F28">
        <w:rPr>
          <w:i/>
        </w:rPr>
        <w:t>Calitatea vieții</w:t>
      </w:r>
      <w:r w:rsidRPr="008F5F28">
        <w:t xml:space="preserve"> XVI (3-4</w:t>
      </w:r>
      <w:r w:rsidR="003F390E">
        <w:t>)</w:t>
      </w:r>
    </w:p>
    <w:p w14:paraId="0A5ADA0E" w14:textId="77777777" w:rsidR="00A312BF" w:rsidRPr="008F5F28" w:rsidRDefault="00A312BF" w:rsidP="003F390E">
      <w:pPr>
        <w:spacing w:after="120" w:line="271" w:lineRule="auto"/>
        <w:jc w:val="both"/>
        <w:rPr>
          <w:rFonts w:eastAsia="Times New Roman" w:cstheme="minorHAnsi"/>
        </w:rPr>
      </w:pPr>
      <w:r w:rsidRPr="008F5F28">
        <w:rPr>
          <w:rFonts w:eastAsia="Times New Roman" w:cstheme="minorHAnsi"/>
        </w:rPr>
        <w:t xml:space="preserve">Binkin Nancy , Federica Michieletto, Stefania Salmaso, Francesca Russo. (2020). Protecting our health care workers while protecting our communities during the COVID-19 pandemic: a comparison of approaches and early outcomes in two Italian regions, 2020. </w:t>
      </w:r>
      <w:r w:rsidRPr="008F5F28">
        <w:rPr>
          <w:rFonts w:eastAsia="Times New Roman" w:cstheme="minorHAnsi"/>
          <w:i/>
        </w:rPr>
        <w:t>medRxiv</w:t>
      </w:r>
      <w:r w:rsidRPr="008F5F28">
        <w:rPr>
          <w:rFonts w:eastAsia="Times New Roman" w:cstheme="minorHAnsi"/>
        </w:rPr>
        <w:t>, preprint. https://doi.org/10.1101/2020.04.10.20060707</w:t>
      </w:r>
    </w:p>
    <w:p w14:paraId="5A6BF6D8" w14:textId="05C4CA1A" w:rsidR="00A312BF" w:rsidRPr="008F5F28" w:rsidRDefault="00A312BF" w:rsidP="003F390E">
      <w:pPr>
        <w:spacing w:after="120" w:line="240" w:lineRule="auto"/>
        <w:jc w:val="both"/>
      </w:pPr>
      <w:r w:rsidRPr="008F5F28">
        <w:t xml:space="preserve">Bodogai, Simona I. și Stephen J. Cutler. 2014. ”Ageing in Romania: Research and Public Policy”. </w:t>
      </w:r>
      <w:r w:rsidRPr="008F5F28">
        <w:rPr>
          <w:i/>
        </w:rPr>
        <w:t xml:space="preserve">The Gerontologist </w:t>
      </w:r>
      <w:r w:rsidRPr="008F5F28">
        <w:t xml:space="preserve"> 54 (2</w:t>
      </w:r>
      <w:r>
        <w:t>)</w:t>
      </w:r>
    </w:p>
    <w:p w14:paraId="2E24E2E2" w14:textId="436594A6" w:rsidR="003F735D" w:rsidRDefault="003F735D" w:rsidP="003F390E">
      <w:pPr>
        <w:spacing w:after="120"/>
        <w:jc w:val="both"/>
      </w:pPr>
      <w:r w:rsidRPr="00E064E1">
        <w:t>Boland, L., Légaré, F., Perez, M.M.B. et al.</w:t>
      </w:r>
      <w:r w:rsidR="00CA1214">
        <w:t xml:space="preserve"> 2017. </w:t>
      </w:r>
      <w:r w:rsidRPr="00E064E1">
        <w:t>Impact of home care versus alternative locations of care on elder health outcomes: an overview of systematic reviews. BMC Geriatr 17, 20</w:t>
      </w:r>
      <w:r>
        <w:t xml:space="preserve">, disponibil la </w:t>
      </w:r>
      <w:hyperlink r:id="rId12" w:history="1">
        <w:r w:rsidRPr="001B3BC8">
          <w:rPr>
            <w:rStyle w:val="Hyperlink"/>
          </w:rPr>
          <w:t>https://doi.org/10.1186/s12877-016-0395-y</w:t>
        </w:r>
      </w:hyperlink>
      <w:r>
        <w:t>, accesat la 25 noiembrie 2021</w:t>
      </w:r>
    </w:p>
    <w:p w14:paraId="538C6AA0" w14:textId="77777777" w:rsidR="00220476" w:rsidRDefault="00220476" w:rsidP="003F390E">
      <w:pPr>
        <w:spacing w:after="120"/>
        <w:jc w:val="both"/>
      </w:pPr>
      <w:r>
        <w:t>Bond, John și Lynne Corner. (2011). Quality of life and older people. Berkshire: Open University Press. Bowling, Ann. (2005). Ageing well. Quality of life in Old Age. Berkshire: Open University Press</w:t>
      </w:r>
    </w:p>
    <w:p w14:paraId="6BD19770" w14:textId="77777777" w:rsidR="0089417F" w:rsidRPr="008F5F28" w:rsidRDefault="0089417F" w:rsidP="003F390E">
      <w:pPr>
        <w:spacing w:after="120" w:line="240" w:lineRule="auto"/>
        <w:ind w:left="720" w:hanging="720"/>
        <w:jc w:val="both"/>
      </w:pPr>
      <w:r w:rsidRPr="008F5F28">
        <w:t xml:space="preserve">Boudiny, Kim. 2013. ” ‘Active ageing‘: from empty rhetoric to effective policy tool”. </w:t>
      </w:r>
      <w:r w:rsidRPr="008F5F28">
        <w:rPr>
          <w:i/>
        </w:rPr>
        <w:t>Ageing&amp;Society</w:t>
      </w:r>
      <w:r w:rsidRPr="008F5F28">
        <w:t xml:space="preserve"> 33: 1077-1098. </w:t>
      </w:r>
    </w:p>
    <w:p w14:paraId="62AB9A13" w14:textId="564F9ECD" w:rsidR="0089417F" w:rsidRDefault="0089417F" w:rsidP="003F390E">
      <w:pPr>
        <w:spacing w:after="120" w:line="240" w:lineRule="auto"/>
        <w:ind w:left="720" w:hanging="720"/>
        <w:jc w:val="both"/>
        <w:rPr>
          <w:lang w:val="en-US"/>
        </w:rPr>
      </w:pPr>
      <w:r w:rsidRPr="008F5F28">
        <w:rPr>
          <w:lang w:val="en-US"/>
        </w:rPr>
        <w:t xml:space="preserve">Bowling, Ann. 2005. </w:t>
      </w:r>
      <w:r w:rsidRPr="008F5F28">
        <w:rPr>
          <w:i/>
          <w:lang w:val="en-US"/>
        </w:rPr>
        <w:t>Ageing well. Quality of life in Old Age</w:t>
      </w:r>
      <w:r w:rsidRPr="008F5F28">
        <w:rPr>
          <w:lang w:val="en-US"/>
        </w:rPr>
        <w:t>. Berkshire: Open University Press</w:t>
      </w:r>
    </w:p>
    <w:p w14:paraId="3FD93720" w14:textId="77777777" w:rsidR="004F0335" w:rsidRDefault="004F0335" w:rsidP="003F390E">
      <w:pPr>
        <w:spacing w:after="120"/>
        <w:jc w:val="both"/>
      </w:pPr>
      <w:r>
        <w:t xml:space="preserve">Conveția Consiliului Europei privind prevenirea şi combaterea violenței împotriva femeilor şi a violenței  domestice, disponibilă la </w:t>
      </w:r>
      <w:hyperlink r:id="rId13" w:history="1">
        <w:r w:rsidRPr="001B3BC8">
          <w:rPr>
            <w:rStyle w:val="Hyperlink"/>
          </w:rPr>
          <w:t>https://rm.coe.int/168046253e</w:t>
        </w:r>
      </w:hyperlink>
      <w:r>
        <w:t>, accesat la 2 noiembrie 2021</w:t>
      </w:r>
    </w:p>
    <w:p w14:paraId="0B24A078" w14:textId="77777777" w:rsidR="004F0335" w:rsidRDefault="004F0335" w:rsidP="003F390E">
      <w:pPr>
        <w:spacing w:after="120"/>
        <w:jc w:val="both"/>
      </w:pPr>
      <w:r>
        <w:t xml:space="preserve">Combating violence against women Romania, European Institute for Gender Equality, disponibil la </w:t>
      </w:r>
      <w:hyperlink r:id="rId14" w:history="1">
        <w:r w:rsidRPr="001B3BC8">
          <w:rPr>
            <w:rStyle w:val="Hyperlink"/>
          </w:rPr>
          <w:t>file:///C:/Users/User1/Downloads/2016.5491_mh0416665enn_pdfweb_20170215100610%20(1).pdf</w:t>
        </w:r>
      </w:hyperlink>
      <w:r>
        <w:t>, accesat la 3 noiembrie 2021</w:t>
      </w:r>
    </w:p>
    <w:p w14:paraId="6C42A470" w14:textId="3DFC07D7" w:rsidR="0089417F" w:rsidRPr="008F5F28" w:rsidRDefault="0089417F" w:rsidP="003F390E">
      <w:pPr>
        <w:spacing w:after="120" w:line="240" w:lineRule="auto"/>
        <w:jc w:val="both"/>
      </w:pPr>
      <w:r w:rsidRPr="008F5F28">
        <w:t>Dubois, Hans, Leončikas, Tadas. 2021. Living conditions and quality of life. Protecting access to healthcare during COVID-19 and beyond</w:t>
      </w:r>
      <w:r w:rsidR="003F390E">
        <w:t xml:space="preserve">, </w:t>
      </w:r>
      <w:r>
        <w:t xml:space="preserve">disponbil la </w:t>
      </w:r>
      <w:r w:rsidRPr="008F5F28">
        <w:t xml:space="preserve"> </w:t>
      </w:r>
      <w:hyperlink r:id="rId15" w:history="1">
        <w:r w:rsidRPr="008F5F28">
          <w:rPr>
            <w:rStyle w:val="Hyperlink"/>
          </w:rPr>
          <w:t>https://www.eurofound.europa.eu/publications/blog/protecting-access-to-healthcare-during-covid-19-and-beyond?&amp;utm_campaign=living-conditions-and-quality-of-life&amp;utm_content=ef21014&amp;utm_source=facebook&amp;utm_medium=social-network&amp;fbclid=IwAR0akJmu_uKrauzn6J21QzeoXRlYkdHJgSoB2dcpHbE9AcSDrNysNjNVXPE</w:t>
        </w:r>
      </w:hyperlink>
      <w:r w:rsidR="003F390E" w:rsidRPr="003F390E">
        <w:t>, a</w:t>
      </w:r>
      <w:r w:rsidR="003F390E" w:rsidRPr="008F5F28">
        <w:t>ccesat 18 ianuarie 2021</w:t>
      </w:r>
    </w:p>
    <w:p w14:paraId="456C5D0E" w14:textId="29E205C4" w:rsidR="005373B9" w:rsidRPr="008F5F28" w:rsidRDefault="005373B9" w:rsidP="003F390E">
      <w:pPr>
        <w:spacing w:after="120" w:line="271" w:lineRule="auto"/>
        <w:jc w:val="both"/>
        <w:rPr>
          <w:rFonts w:cstheme="minorHAnsi"/>
        </w:rPr>
      </w:pPr>
      <w:r w:rsidRPr="008F5F28">
        <w:rPr>
          <w:rFonts w:cstheme="minorHAnsi"/>
        </w:rPr>
        <w:t xml:space="preserve">ECDC. 2020. </w:t>
      </w:r>
      <w:r w:rsidRPr="008F5F28">
        <w:rPr>
          <w:rFonts w:cstheme="minorHAnsi"/>
          <w:i/>
        </w:rPr>
        <w:t>Increase in fatal cases of COVID-19 among long-term care facility residents in the EU/EEA and the UK</w:t>
      </w:r>
      <w:r>
        <w:rPr>
          <w:rFonts w:cstheme="minorHAnsi"/>
        </w:rPr>
        <w:t>, d</w:t>
      </w:r>
      <w:r w:rsidRPr="008F5F28">
        <w:rPr>
          <w:rFonts w:cstheme="minorHAnsi"/>
        </w:rPr>
        <w:t xml:space="preserve">isponibil la: </w:t>
      </w:r>
      <w:hyperlink r:id="rId16" w:history="1">
        <w:r w:rsidRPr="008F5F28">
          <w:rPr>
            <w:rStyle w:val="Hyperlink"/>
          </w:rPr>
          <w:t>https://www.ecdc.europa.eu/sites/default/files/documents/Increase-fatal-cases-of-COVID-19-among-long-term-care-facility-residents.pdf</w:t>
        </w:r>
      </w:hyperlink>
    </w:p>
    <w:p w14:paraId="693AC70D" w14:textId="307D4D74" w:rsidR="005373B9" w:rsidRPr="008F5F28" w:rsidRDefault="005373B9" w:rsidP="003F390E">
      <w:pPr>
        <w:spacing w:after="120" w:line="312" w:lineRule="auto"/>
        <w:jc w:val="both"/>
        <w:rPr>
          <w:rFonts w:eastAsia="Times New Roman" w:cstheme="minorHAnsi"/>
          <w:color w:val="000000" w:themeColor="text1"/>
          <w:lang w:eastAsia="en-GB"/>
        </w:rPr>
      </w:pPr>
      <w:r w:rsidRPr="008F5F28">
        <w:rPr>
          <w:rFonts w:eastAsia="Times New Roman" w:cstheme="minorHAnsi"/>
          <w:color w:val="000000" w:themeColor="text1"/>
          <w:lang w:eastAsia="en-GB"/>
        </w:rPr>
        <w:t xml:space="preserve">Eurostat. 2020. Ageing Europe. Looking at the Lives of Older People in the EU. </w:t>
      </w:r>
      <w:hyperlink r:id="rId17" w:history="1">
        <w:r w:rsidR="00CA1214" w:rsidRPr="00265136">
          <w:rPr>
            <w:rStyle w:val="Hyperlink"/>
            <w:rFonts w:eastAsia="Times New Roman"/>
            <w:lang w:eastAsia="en-GB"/>
          </w:rPr>
          <w:t>https://ec.europa.eu/eurostat/documents/3217494/11478057/KS-02-20-655-EN-N.pdf/9b09606c-d4e8-4c33-63d2-3b20d5c19c91</w:t>
        </w:r>
      </w:hyperlink>
      <w:r w:rsidRPr="008F5F28">
        <w:rPr>
          <w:rFonts w:eastAsia="Times New Roman" w:cstheme="minorHAnsi"/>
          <w:color w:val="000000" w:themeColor="text1"/>
          <w:lang w:eastAsia="en-GB"/>
        </w:rPr>
        <w:t xml:space="preserve"> </w:t>
      </w:r>
    </w:p>
    <w:p w14:paraId="0EF32188" w14:textId="77777777" w:rsidR="005373B9" w:rsidRPr="008F5F28" w:rsidRDefault="005373B9" w:rsidP="003F390E">
      <w:pPr>
        <w:spacing w:after="120" w:line="240" w:lineRule="auto"/>
        <w:jc w:val="both"/>
      </w:pPr>
      <w:r w:rsidRPr="008F5F28">
        <w:t xml:space="preserve">Havighurst, Robert J. 1963. ”Syccesful ageing”. În </w:t>
      </w:r>
      <w:r w:rsidRPr="008F5F28">
        <w:rPr>
          <w:i/>
        </w:rPr>
        <w:t>Processes of Ageing</w:t>
      </w:r>
      <w:r w:rsidRPr="008F5F28">
        <w:t>. Editată de Richard H. Williams, Clark Tibbitts și Wilma Donahue, vol 1, 299-320.New York: Atherton.</w:t>
      </w:r>
    </w:p>
    <w:p w14:paraId="205A0FC9" w14:textId="77777777" w:rsidR="005373B9" w:rsidRPr="008F5F28" w:rsidRDefault="005373B9" w:rsidP="003F390E">
      <w:pPr>
        <w:spacing w:after="120" w:line="240" w:lineRule="auto"/>
        <w:jc w:val="both"/>
      </w:pPr>
      <w:r w:rsidRPr="008F5F28">
        <w:t xml:space="preserve">Hooyman, Nancy și H. Asuman Kiyak. 2014. ”Social Theories of Aging”. În </w:t>
      </w:r>
      <w:r w:rsidRPr="008F5F28">
        <w:rPr>
          <w:i/>
        </w:rPr>
        <w:t>Social Gerontology. A Multidisciplinary Perspective</w:t>
      </w:r>
      <w:r w:rsidRPr="008F5F28">
        <w:t>. Nancy Hooyman și H. Asuman Kiyak, 279-306. Pearson: Essex.</w:t>
      </w:r>
    </w:p>
    <w:p w14:paraId="1E38FAE1" w14:textId="503752F0" w:rsidR="00F41FDE" w:rsidRDefault="00F41FDE" w:rsidP="003F390E">
      <w:pPr>
        <w:spacing w:after="120"/>
        <w:jc w:val="both"/>
      </w:pPr>
      <w:r>
        <w:t>Mollenkopf, Heidrun și Alan Walker. (eds.) (2007)</w:t>
      </w:r>
      <w:r w:rsidR="00D8662A">
        <w:t>, Quality of Life in Old Age. International and Multi-Disciplinary Perspectives. Dordrecht: Springer</w:t>
      </w:r>
    </w:p>
    <w:p w14:paraId="2BD81FBF" w14:textId="0957FBBA" w:rsidR="003F390E" w:rsidRPr="008F5F28" w:rsidRDefault="003F390E" w:rsidP="003F390E">
      <w:pPr>
        <w:spacing w:after="120"/>
        <w:jc w:val="both"/>
        <w:rPr>
          <w:iCs/>
        </w:rPr>
      </w:pPr>
      <w:r w:rsidRPr="008F5F28">
        <w:lastRenderedPageBreak/>
        <w:t xml:space="preserve">Petrescu, Claudia. 2018. </w:t>
      </w:r>
      <w:r w:rsidRPr="008F5F28">
        <w:rPr>
          <w:i/>
          <w:iCs/>
        </w:rPr>
        <w:t xml:space="preserve">Calitatea vieții vârstnicilor, </w:t>
      </w:r>
      <w:r w:rsidRPr="008F5F28">
        <w:rPr>
          <w:iCs/>
        </w:rPr>
        <w:t>În Mărginean, Ioan și Precupețu, Iuliana (coordonatori), Enciclopedia Calităţii Vieţii în România, București: Editura Academiei Române</w:t>
      </w:r>
    </w:p>
    <w:p w14:paraId="3D677DAB" w14:textId="0F60BFF4" w:rsidR="0019672E" w:rsidRDefault="003F390E" w:rsidP="003F390E">
      <w:pPr>
        <w:spacing w:after="120"/>
        <w:jc w:val="both"/>
      </w:pPr>
      <w:r w:rsidRPr="008F5F28">
        <w:rPr>
          <w:iCs/>
        </w:rPr>
        <w:t xml:space="preserve">Petrescu, Claudia. 2021. </w:t>
      </w:r>
      <w:r w:rsidRPr="008F5F28">
        <w:rPr>
          <w:i/>
        </w:rPr>
        <w:t>Serviciile sociale pentru vârstnici în România. Probleme de acces și riscuri percepute pentru calitatea vieții vârstnicilor în contextul pandemiei de COVID-19</w:t>
      </w:r>
      <w:r w:rsidRPr="008F5F28">
        <w:t>. În Precupețu, Iuliana (coord.). Calitatea vieții vârstnicilor. Tendințe și riscuri în contextul pandemiei. ICCV</w:t>
      </w:r>
    </w:p>
    <w:p w14:paraId="217B6EB8" w14:textId="5414CF74" w:rsidR="006C1C79" w:rsidRDefault="008B6E99" w:rsidP="003F390E">
      <w:pPr>
        <w:spacing w:after="120"/>
        <w:jc w:val="both"/>
      </w:pPr>
      <w:r>
        <w:t xml:space="preserve">Studiu național privind prevalența diferitelor forme de violență împotriva femeilor, disponibil la </w:t>
      </w:r>
      <w:hyperlink r:id="rId18" w:history="1">
        <w:r w:rsidRPr="001B3BC8">
          <w:rPr>
            <w:rStyle w:val="Hyperlink"/>
          </w:rPr>
          <w:t>https://anes.gov.ro/wp-content/uploads/2021/05/Studiu-privind-prevalenta-formelor-de-violenta-impotriva-femeilor.pdf</w:t>
        </w:r>
      </w:hyperlink>
      <w:r>
        <w:t>, acce</w:t>
      </w:r>
      <w:r w:rsidR="00495620">
        <w:t>sat la</w:t>
      </w:r>
      <w:r w:rsidR="00FA6154">
        <w:t xml:space="preserve"> 3 noiembrie 2021</w:t>
      </w:r>
    </w:p>
    <w:p w14:paraId="34CCA5CD" w14:textId="61CBC84E" w:rsidR="00E22D33" w:rsidRDefault="00E22D33" w:rsidP="003F390E">
      <w:pPr>
        <w:spacing w:after="120"/>
        <w:jc w:val="both"/>
      </w:pPr>
      <w:r>
        <w:t>Wilderink</w:t>
      </w:r>
      <w:r w:rsidR="0013185A">
        <w:t xml:space="preserve"> Lisa</w:t>
      </w:r>
      <w:r>
        <w:t>, Bakker</w:t>
      </w:r>
      <w:r w:rsidR="0013185A">
        <w:t xml:space="preserve"> Ingrid</w:t>
      </w:r>
      <w:r>
        <w:t>, J. Schuit</w:t>
      </w:r>
      <w:r w:rsidR="0013185A">
        <w:t xml:space="preserve"> Albertine</w:t>
      </w:r>
      <w:r>
        <w:t>, Seidell</w:t>
      </w:r>
      <w:r w:rsidR="0013185A">
        <w:t xml:space="preserve"> Jacob C.</w:t>
      </w:r>
      <w:r>
        <w:t>, Renders</w:t>
      </w:r>
      <w:r w:rsidR="0013185A">
        <w:t xml:space="preserve"> Carry M. </w:t>
      </w:r>
      <w:r>
        <w:t xml:space="preserve">(2020). </w:t>
      </w:r>
      <w:r w:rsidR="00220476">
        <w:t>Key elements of a successful integrated community-based approach aimed at reducing socioeconomic health inequalities in the Netherlands: A qualitative study</w:t>
      </w:r>
    </w:p>
    <w:p w14:paraId="5D6BFE77" w14:textId="77777777" w:rsidR="0013185A" w:rsidRDefault="0013185A" w:rsidP="003F390E">
      <w:pPr>
        <w:spacing w:after="120"/>
        <w:jc w:val="both"/>
      </w:pPr>
      <w:r>
        <w:t xml:space="preserve">World Health Organization Europe, Romania Country case study on the integrated delivery of long term care, disponibil la </w:t>
      </w:r>
      <w:hyperlink r:id="rId19" w:history="1">
        <w:r w:rsidRPr="001B3BC8">
          <w:rPr>
            <w:rStyle w:val="Hyperlink"/>
          </w:rPr>
          <w:t>https://www.euro.who.int/__data/assets/pdf_file/0008/426383/LTC-Romania.pdf</w:t>
        </w:r>
      </w:hyperlink>
      <w:r>
        <w:t>, accest la 24 noiembrie 2021</w:t>
      </w:r>
    </w:p>
    <w:p w14:paraId="550A3DE0" w14:textId="6817D31C" w:rsidR="004D18AD" w:rsidRDefault="00AB1651" w:rsidP="003F390E">
      <w:pPr>
        <w:spacing w:after="120"/>
        <w:jc w:val="both"/>
      </w:pPr>
      <w:hyperlink r:id="rId20" w:history="1">
        <w:r w:rsidR="00394A37" w:rsidRPr="001B3BC8">
          <w:rPr>
            <w:rStyle w:val="Hyperlink"/>
          </w:rPr>
          <w:t>https://www.servicii-sociale.gov.ro/ro/persoane-varstnice</w:t>
        </w:r>
      </w:hyperlink>
      <w:r w:rsidR="00394A37">
        <w:t>, consultat la</w:t>
      </w:r>
      <w:r w:rsidR="00842CA6">
        <w:t xml:space="preserve"> 4 noiembrie 2021</w:t>
      </w:r>
      <w:r w:rsidR="00394A37">
        <w:t xml:space="preserve"> </w:t>
      </w:r>
    </w:p>
    <w:p w14:paraId="3B13D81F" w14:textId="77777777" w:rsidR="00FA6154" w:rsidRPr="008B6E99" w:rsidRDefault="00FA6154">
      <w:pPr>
        <w:rPr>
          <w:rFonts w:ascii="Calibri" w:eastAsiaTheme="majorEastAsia" w:hAnsi="Calibri" w:cs="Calibri"/>
          <w:iCs/>
          <w:spacing w:val="-10"/>
          <w:kern w:val="28"/>
        </w:rPr>
      </w:pPr>
    </w:p>
    <w:p w14:paraId="70631A44" w14:textId="24F3A41B" w:rsidR="006C1C79" w:rsidRPr="00991E05" w:rsidRDefault="006C1C79">
      <w:pPr>
        <w:rPr>
          <w:rFonts w:ascii="Calibri" w:eastAsiaTheme="majorEastAsia" w:hAnsi="Calibri" w:cs="Calibri"/>
          <w:i/>
          <w:spacing w:val="-10"/>
          <w:kern w:val="28"/>
        </w:rPr>
      </w:pPr>
    </w:p>
    <w:p w14:paraId="43EFACB5" w14:textId="77777777" w:rsidR="00B8714C" w:rsidRPr="00991E05" w:rsidRDefault="00B8714C" w:rsidP="00DE0D08">
      <w:pPr>
        <w:spacing w:after="0"/>
        <w:jc w:val="center"/>
        <w:rPr>
          <w:rFonts w:ascii="Calibri" w:eastAsiaTheme="majorEastAsia" w:hAnsi="Calibri" w:cs="Calibri"/>
          <w:i/>
          <w:spacing w:val="-10"/>
          <w:kern w:val="28"/>
        </w:rPr>
      </w:pPr>
    </w:p>
    <w:p w14:paraId="15E9AFD0" w14:textId="77777777" w:rsidR="00C168DA" w:rsidRPr="00991E05" w:rsidRDefault="00C168DA" w:rsidP="00CB77E0">
      <w:pPr>
        <w:jc w:val="both"/>
        <w:rPr>
          <w:rFonts w:ascii="Calibri" w:hAnsi="Calibri" w:cs="Calibri"/>
          <w:noProof/>
        </w:rPr>
      </w:pPr>
      <w:bookmarkStart w:id="1" w:name="_Toc40867849"/>
      <w:bookmarkEnd w:id="1"/>
    </w:p>
    <w:sectPr w:rsidR="00C168DA" w:rsidRPr="00991E05" w:rsidSect="000B6683">
      <w:headerReference w:type="default" r:id="rId21"/>
      <w:footerReference w:type="default" r:id="rId22"/>
      <w:pgSz w:w="11906" w:h="16838" w:code="9"/>
      <w:pgMar w:top="1440" w:right="107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BF61" w14:textId="77777777" w:rsidR="00E92A66" w:rsidRDefault="00E92A66" w:rsidP="00FA5401">
      <w:pPr>
        <w:spacing w:after="0" w:line="240" w:lineRule="auto"/>
      </w:pPr>
      <w:r>
        <w:separator/>
      </w:r>
    </w:p>
  </w:endnote>
  <w:endnote w:type="continuationSeparator" w:id="0">
    <w:p w14:paraId="2A551C2B" w14:textId="77777777" w:rsidR="00E92A66" w:rsidRDefault="00E92A66" w:rsidP="00FA5401">
      <w:pPr>
        <w:spacing w:after="0" w:line="240" w:lineRule="auto"/>
      </w:pPr>
      <w:r>
        <w:continuationSeparator/>
      </w:r>
    </w:p>
  </w:endnote>
  <w:endnote w:type="continuationNotice" w:id="1">
    <w:p w14:paraId="4088EC2A" w14:textId="77777777" w:rsidR="00E92A66" w:rsidRDefault="00E92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33C6" w14:textId="6F60344E" w:rsidR="00B25AAF" w:rsidRPr="009F750F" w:rsidRDefault="00B25AAF" w:rsidP="00D36FE1">
    <w:pPr>
      <w:pBdr>
        <w:top w:val="single" w:sz="4" w:space="1" w:color="auto"/>
      </w:pBdr>
      <w:tabs>
        <w:tab w:val="left" w:pos="1843"/>
      </w:tabs>
      <w:ind w:right="-180"/>
      <w:jc w:val="both"/>
      <w:rPr>
        <w:color w:val="31849B"/>
        <w:sz w:val="16"/>
        <w:szCs w:val="16"/>
      </w:rPr>
    </w:pPr>
    <w:r w:rsidRPr="003847C8">
      <w:rPr>
        <w:rStyle w:val="Strong"/>
        <w:rFonts w:cs="Calibri"/>
        <w:b w:val="0"/>
        <w:i/>
        <w:color w:val="3CA1BC"/>
        <w:sz w:val="16"/>
      </w:rPr>
      <w:t>„Implementarea Planului de Evaluare a Programului Operațional Capital Um</w:t>
    </w:r>
    <w:r w:rsidRPr="00E14E33">
      <w:rPr>
        <w:rStyle w:val="Strong"/>
        <w:rFonts w:cs="Calibri"/>
        <w:b w:val="0"/>
        <w:i/>
        <w:color w:val="3CA1BC"/>
        <w:sz w:val="16"/>
      </w:rPr>
      <w:t xml:space="preserve">an 2014-2020 </w:t>
    </w:r>
    <w:r w:rsidR="00E14E33" w:rsidRPr="00E14E33">
      <w:rPr>
        <w:rStyle w:val="Strong"/>
        <w:rFonts w:cs="Calibri"/>
        <w:b w:val="0"/>
        <w:i/>
        <w:color w:val="007F8F" w:themeColor="accent2" w:themeShade="BF"/>
        <w:sz w:val="16"/>
        <w:szCs w:val="16"/>
      </w:rPr>
      <w:t>- Primul exercițiu de evaluare a Programului Operațional Capital Uman 2014-2020 ”, Contract nr. 36273 / 05.05.2020</w:t>
    </w:r>
    <w:r w:rsidR="00E14E33" w:rsidRPr="00E14E33">
      <w:rPr>
        <w:rStyle w:val="Strong"/>
        <w:rFonts w:cs="Calibri"/>
        <w:b w:val="0"/>
        <w:i/>
        <w:color w:val="007F8F" w:themeColor="accent2" w:themeShade="BF"/>
        <w:sz w:val="16"/>
        <w:szCs w:val="16"/>
      </w:rPr>
      <w:tab/>
    </w:r>
    <w:r w:rsidRPr="00E14E33">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sz w:val="16"/>
        <w:szCs w:val="16"/>
      </w:rPr>
      <w:fldChar w:fldCharType="begin"/>
    </w:r>
    <w:r w:rsidRPr="009F750F">
      <w:rPr>
        <w:sz w:val="16"/>
        <w:szCs w:val="16"/>
      </w:rPr>
      <w:instrText xml:space="preserve"> PAGE   \* MERGEFORMAT </w:instrText>
    </w:r>
    <w:r w:rsidRPr="009F750F">
      <w:rPr>
        <w:sz w:val="16"/>
        <w:szCs w:val="16"/>
      </w:rPr>
      <w:fldChar w:fldCharType="separate"/>
    </w:r>
    <w:r>
      <w:rPr>
        <w:noProof/>
        <w:sz w:val="16"/>
        <w:szCs w:val="16"/>
      </w:rPr>
      <w:t>24</w:t>
    </w:r>
    <w:r w:rsidRPr="009F750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7A5B" w14:textId="77777777" w:rsidR="00E92A66" w:rsidRDefault="00E92A66" w:rsidP="00FA5401">
      <w:pPr>
        <w:spacing w:after="0" w:line="240" w:lineRule="auto"/>
      </w:pPr>
      <w:bookmarkStart w:id="0" w:name="_Hlk59011357"/>
      <w:bookmarkEnd w:id="0"/>
      <w:r>
        <w:separator/>
      </w:r>
    </w:p>
  </w:footnote>
  <w:footnote w:type="continuationSeparator" w:id="0">
    <w:p w14:paraId="4AF34DD7" w14:textId="77777777" w:rsidR="00E92A66" w:rsidRDefault="00E92A66" w:rsidP="00FA5401">
      <w:pPr>
        <w:spacing w:after="0" w:line="240" w:lineRule="auto"/>
      </w:pPr>
      <w:r>
        <w:continuationSeparator/>
      </w:r>
    </w:p>
  </w:footnote>
  <w:footnote w:type="continuationNotice" w:id="1">
    <w:p w14:paraId="17B18F2F" w14:textId="77777777" w:rsidR="00E92A66" w:rsidRDefault="00E92A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0565" w14:textId="77777777" w:rsidR="00B25AAF" w:rsidRPr="006923CA" w:rsidRDefault="00B25AAF" w:rsidP="00F330B7">
    <w:pPr>
      <w:pStyle w:val="Header"/>
      <w:rPr>
        <w:lang w:val="en-GB"/>
      </w:rPr>
    </w:pPr>
    <w:r>
      <w:rPr>
        <w:noProof/>
        <w:lang w:val="en-US"/>
      </w:rPr>
      <w:drawing>
        <wp:inline distT="0" distB="0" distL="0" distR="0" wp14:anchorId="7682D7DE" wp14:editId="14A05A4F">
          <wp:extent cx="800100" cy="6705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66B54983" wp14:editId="53D20500">
          <wp:extent cx="670560" cy="640080"/>
          <wp:effectExtent l="0" t="0" r="0" b="762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3B16A5BF" wp14:editId="6EE15492">
          <wp:extent cx="693420" cy="69342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70BAAA82" w14:textId="77777777" w:rsidR="00B25AAF" w:rsidRPr="009F750F" w:rsidRDefault="00B25AAF" w:rsidP="009F7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0701"/>
    <w:multiLevelType w:val="hybridMultilevel"/>
    <w:tmpl w:val="A73C5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04921"/>
    <w:multiLevelType w:val="hybridMultilevel"/>
    <w:tmpl w:val="6A5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91F4E"/>
    <w:multiLevelType w:val="hybridMultilevel"/>
    <w:tmpl w:val="38AA4104"/>
    <w:lvl w:ilvl="0" w:tplc="C70A440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52903"/>
    <w:multiLevelType w:val="multilevel"/>
    <w:tmpl w:val="FD787E1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782" w:hanging="357"/>
      </w:pPr>
      <w:rPr>
        <w:rFonts w:hint="default"/>
      </w:rPr>
    </w:lvl>
    <w:lvl w:ilvl="3">
      <w:start w:val="1"/>
      <w:numFmt w:val="decimal"/>
      <w:pStyle w:val="headingno4"/>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3834700C"/>
    <w:multiLevelType w:val="hybridMultilevel"/>
    <w:tmpl w:val="64161F38"/>
    <w:lvl w:ilvl="0" w:tplc="FD0A18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C1B09"/>
    <w:multiLevelType w:val="multilevel"/>
    <w:tmpl w:val="FD787E10"/>
    <w:numStyleLink w:val="Headings"/>
  </w:abstractNum>
  <w:abstractNum w:abstractNumId="6" w15:restartNumberingAfterBreak="0">
    <w:nsid w:val="65E71EA5"/>
    <w:multiLevelType w:val="hybridMultilevel"/>
    <w:tmpl w:val="B1AEE96A"/>
    <w:styleLink w:val="WWOutlineListStyle5"/>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ED7AB1"/>
    <w:multiLevelType w:val="hybridMultilevel"/>
    <w:tmpl w:val="5622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lvl w:ilvl="0">
        <w:start w:val="1"/>
        <w:numFmt w:val="upperLetter"/>
        <w:pStyle w:val="Heading1"/>
        <w:lvlText w:val="%1."/>
        <w:lvlJc w:val="left"/>
        <w:pPr>
          <w:ind w:left="357" w:hanging="357"/>
        </w:pPr>
        <w:rPr>
          <w:rFonts w:hint="default"/>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782" w:hanging="357"/>
        </w:pPr>
        <w:rPr>
          <w:rFonts w:hint="default"/>
        </w:rPr>
      </w:lvl>
    </w:lvlOverride>
    <w:lvlOverride w:ilvl="3">
      <w:lvl w:ilvl="3">
        <w:start w:val="1"/>
        <w:numFmt w:val="decimal"/>
        <w:pStyle w:val="headingno4"/>
        <w:lvlText w:val="%1.%2.%3.%4."/>
        <w:lvlJc w:val="left"/>
        <w:pPr>
          <w:ind w:left="1634"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abstractNumId w:val="6"/>
  </w:num>
  <w:num w:numId="4">
    <w:abstractNumId w:val="4"/>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2"/>
  </w:num>
  <w:num w:numId="12">
    <w:abstractNumId w:val="2"/>
  </w:num>
  <w:num w:numId="13">
    <w:abstractNumId w:val="2"/>
  </w:num>
  <w:num w:numId="14">
    <w:abstractNumId w:val="0"/>
  </w:num>
  <w:num w:numId="15">
    <w:abstractNumId w:val="2"/>
  </w:num>
  <w:num w:numId="16">
    <w:abstractNumId w:val="2"/>
  </w:num>
  <w:num w:numId="17">
    <w:abstractNumId w:val="1"/>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WzsDAytTQxtDBT0lEKTi0uzszPAykwrgUAZA18ASwAAAA="/>
  </w:docVars>
  <w:rsids>
    <w:rsidRoot w:val="00F316D7"/>
    <w:rsid w:val="000033C4"/>
    <w:rsid w:val="00003E98"/>
    <w:rsid w:val="0000663E"/>
    <w:rsid w:val="00016D55"/>
    <w:rsid w:val="0002015C"/>
    <w:rsid w:val="0002092E"/>
    <w:rsid w:val="00023007"/>
    <w:rsid w:val="000232CE"/>
    <w:rsid w:val="0002369B"/>
    <w:rsid w:val="000261E3"/>
    <w:rsid w:val="0002750D"/>
    <w:rsid w:val="00035909"/>
    <w:rsid w:val="000400E6"/>
    <w:rsid w:val="00040AD7"/>
    <w:rsid w:val="00041444"/>
    <w:rsid w:val="00044E8A"/>
    <w:rsid w:val="00044F09"/>
    <w:rsid w:val="0004752F"/>
    <w:rsid w:val="000478E6"/>
    <w:rsid w:val="000524ED"/>
    <w:rsid w:val="00053C68"/>
    <w:rsid w:val="0005684D"/>
    <w:rsid w:val="00060042"/>
    <w:rsid w:val="00063250"/>
    <w:rsid w:val="00064A0E"/>
    <w:rsid w:val="00064DC6"/>
    <w:rsid w:val="00064F4D"/>
    <w:rsid w:val="000672E5"/>
    <w:rsid w:val="00070D91"/>
    <w:rsid w:val="00072CFF"/>
    <w:rsid w:val="0007384A"/>
    <w:rsid w:val="00080AF6"/>
    <w:rsid w:val="0008317F"/>
    <w:rsid w:val="00083D51"/>
    <w:rsid w:val="00090727"/>
    <w:rsid w:val="00090955"/>
    <w:rsid w:val="00093F67"/>
    <w:rsid w:val="00094475"/>
    <w:rsid w:val="00094F23"/>
    <w:rsid w:val="00095A87"/>
    <w:rsid w:val="00097CCA"/>
    <w:rsid w:val="00097F2E"/>
    <w:rsid w:val="000A1294"/>
    <w:rsid w:val="000A1E00"/>
    <w:rsid w:val="000A22A9"/>
    <w:rsid w:val="000A2307"/>
    <w:rsid w:val="000A2FFE"/>
    <w:rsid w:val="000A341A"/>
    <w:rsid w:val="000B1B7A"/>
    <w:rsid w:val="000B4BEF"/>
    <w:rsid w:val="000B5DEA"/>
    <w:rsid w:val="000B6683"/>
    <w:rsid w:val="000B6E5B"/>
    <w:rsid w:val="000B7B53"/>
    <w:rsid w:val="000C01A8"/>
    <w:rsid w:val="000C24D0"/>
    <w:rsid w:val="000C3CFD"/>
    <w:rsid w:val="000C435A"/>
    <w:rsid w:val="000C4A5A"/>
    <w:rsid w:val="000D21BD"/>
    <w:rsid w:val="000D3D51"/>
    <w:rsid w:val="000D601F"/>
    <w:rsid w:val="000E1B5B"/>
    <w:rsid w:val="000E2DCB"/>
    <w:rsid w:val="000E2EB9"/>
    <w:rsid w:val="000E3321"/>
    <w:rsid w:val="000E4BA4"/>
    <w:rsid w:val="000E7D66"/>
    <w:rsid w:val="000E7EBE"/>
    <w:rsid w:val="000F129D"/>
    <w:rsid w:val="000F2347"/>
    <w:rsid w:val="000F32B4"/>
    <w:rsid w:val="000F3AA0"/>
    <w:rsid w:val="000F57D4"/>
    <w:rsid w:val="0010030D"/>
    <w:rsid w:val="00100597"/>
    <w:rsid w:val="00100833"/>
    <w:rsid w:val="00100D61"/>
    <w:rsid w:val="0010290A"/>
    <w:rsid w:val="00102C2A"/>
    <w:rsid w:val="00104EEA"/>
    <w:rsid w:val="0011231E"/>
    <w:rsid w:val="00112549"/>
    <w:rsid w:val="0011657B"/>
    <w:rsid w:val="00116B81"/>
    <w:rsid w:val="00117097"/>
    <w:rsid w:val="001202B3"/>
    <w:rsid w:val="001228D7"/>
    <w:rsid w:val="0012428B"/>
    <w:rsid w:val="00125237"/>
    <w:rsid w:val="00126416"/>
    <w:rsid w:val="001273E3"/>
    <w:rsid w:val="0013185A"/>
    <w:rsid w:val="001332D2"/>
    <w:rsid w:val="00135817"/>
    <w:rsid w:val="00136F0D"/>
    <w:rsid w:val="00136F11"/>
    <w:rsid w:val="00137C9C"/>
    <w:rsid w:val="00141BFB"/>
    <w:rsid w:val="001424AD"/>
    <w:rsid w:val="0014642B"/>
    <w:rsid w:val="00157559"/>
    <w:rsid w:val="00162A7C"/>
    <w:rsid w:val="00162DE3"/>
    <w:rsid w:val="00164C5F"/>
    <w:rsid w:val="001661BB"/>
    <w:rsid w:val="00173047"/>
    <w:rsid w:val="00174A11"/>
    <w:rsid w:val="00176D2A"/>
    <w:rsid w:val="001809BC"/>
    <w:rsid w:val="001816E0"/>
    <w:rsid w:val="00186E6C"/>
    <w:rsid w:val="00187985"/>
    <w:rsid w:val="00192787"/>
    <w:rsid w:val="0019376B"/>
    <w:rsid w:val="00193C4C"/>
    <w:rsid w:val="0019672E"/>
    <w:rsid w:val="00197E35"/>
    <w:rsid w:val="001A0E3D"/>
    <w:rsid w:val="001A132C"/>
    <w:rsid w:val="001A6442"/>
    <w:rsid w:val="001A6557"/>
    <w:rsid w:val="001A7E38"/>
    <w:rsid w:val="001B0395"/>
    <w:rsid w:val="001B151D"/>
    <w:rsid w:val="001B72D7"/>
    <w:rsid w:val="001C1A29"/>
    <w:rsid w:val="001C305E"/>
    <w:rsid w:val="001C4B4F"/>
    <w:rsid w:val="001C5E02"/>
    <w:rsid w:val="001C68C6"/>
    <w:rsid w:val="001C75F9"/>
    <w:rsid w:val="001D1733"/>
    <w:rsid w:val="001D385D"/>
    <w:rsid w:val="001D5356"/>
    <w:rsid w:val="001D5CE2"/>
    <w:rsid w:val="001D734B"/>
    <w:rsid w:val="001E50C6"/>
    <w:rsid w:val="001E6108"/>
    <w:rsid w:val="001E66D1"/>
    <w:rsid w:val="001F056F"/>
    <w:rsid w:val="001F1A0D"/>
    <w:rsid w:val="001F250B"/>
    <w:rsid w:val="001F5901"/>
    <w:rsid w:val="002001B5"/>
    <w:rsid w:val="00206396"/>
    <w:rsid w:val="00207531"/>
    <w:rsid w:val="00210B60"/>
    <w:rsid w:val="00210F6F"/>
    <w:rsid w:val="00212746"/>
    <w:rsid w:val="00220476"/>
    <w:rsid w:val="00220C04"/>
    <w:rsid w:val="00220D83"/>
    <w:rsid w:val="00224FCA"/>
    <w:rsid w:val="00225763"/>
    <w:rsid w:val="00226216"/>
    <w:rsid w:val="0023485C"/>
    <w:rsid w:val="00237813"/>
    <w:rsid w:val="002400E2"/>
    <w:rsid w:val="00240A3F"/>
    <w:rsid w:val="00240DAE"/>
    <w:rsid w:val="002411A1"/>
    <w:rsid w:val="00241F7E"/>
    <w:rsid w:val="00243544"/>
    <w:rsid w:val="00245E2A"/>
    <w:rsid w:val="00246026"/>
    <w:rsid w:val="00250059"/>
    <w:rsid w:val="0025042F"/>
    <w:rsid w:val="00253D9D"/>
    <w:rsid w:val="00254346"/>
    <w:rsid w:val="00257CAC"/>
    <w:rsid w:val="0027002A"/>
    <w:rsid w:val="00270462"/>
    <w:rsid w:val="00274BF6"/>
    <w:rsid w:val="002755D3"/>
    <w:rsid w:val="00275C43"/>
    <w:rsid w:val="00277855"/>
    <w:rsid w:val="002812C8"/>
    <w:rsid w:val="00281804"/>
    <w:rsid w:val="0028574E"/>
    <w:rsid w:val="00287C6A"/>
    <w:rsid w:val="002906F0"/>
    <w:rsid w:val="002910C3"/>
    <w:rsid w:val="00291B67"/>
    <w:rsid w:val="002929AC"/>
    <w:rsid w:val="0029509D"/>
    <w:rsid w:val="002957C3"/>
    <w:rsid w:val="002965E0"/>
    <w:rsid w:val="002A0724"/>
    <w:rsid w:val="002A2C7A"/>
    <w:rsid w:val="002A5969"/>
    <w:rsid w:val="002A7B6F"/>
    <w:rsid w:val="002B328A"/>
    <w:rsid w:val="002B46D2"/>
    <w:rsid w:val="002B4AEB"/>
    <w:rsid w:val="002C1425"/>
    <w:rsid w:val="002C2E5E"/>
    <w:rsid w:val="002C3EE7"/>
    <w:rsid w:val="002C4A61"/>
    <w:rsid w:val="002C652B"/>
    <w:rsid w:val="002C68AB"/>
    <w:rsid w:val="002C7F36"/>
    <w:rsid w:val="002D0E7F"/>
    <w:rsid w:val="002D196E"/>
    <w:rsid w:val="002D56EF"/>
    <w:rsid w:val="002D6085"/>
    <w:rsid w:val="002D63BB"/>
    <w:rsid w:val="002E1AD7"/>
    <w:rsid w:val="002E30C8"/>
    <w:rsid w:val="002E4763"/>
    <w:rsid w:val="002E7D5A"/>
    <w:rsid w:val="002F4E55"/>
    <w:rsid w:val="002F5CC9"/>
    <w:rsid w:val="002F6335"/>
    <w:rsid w:val="00301DF4"/>
    <w:rsid w:val="00302685"/>
    <w:rsid w:val="00305077"/>
    <w:rsid w:val="003052FA"/>
    <w:rsid w:val="0030644B"/>
    <w:rsid w:val="00306509"/>
    <w:rsid w:val="00306DAC"/>
    <w:rsid w:val="003101DE"/>
    <w:rsid w:val="00311AC3"/>
    <w:rsid w:val="00312F10"/>
    <w:rsid w:val="00313CC4"/>
    <w:rsid w:val="003222B6"/>
    <w:rsid w:val="00323631"/>
    <w:rsid w:val="003241D8"/>
    <w:rsid w:val="003348C4"/>
    <w:rsid w:val="00335F89"/>
    <w:rsid w:val="00337556"/>
    <w:rsid w:val="0034007D"/>
    <w:rsid w:val="0034012F"/>
    <w:rsid w:val="003421C9"/>
    <w:rsid w:val="00342D9F"/>
    <w:rsid w:val="00344895"/>
    <w:rsid w:val="003468DC"/>
    <w:rsid w:val="0035076D"/>
    <w:rsid w:val="00351E7D"/>
    <w:rsid w:val="00354FF6"/>
    <w:rsid w:val="0035532A"/>
    <w:rsid w:val="00356DDD"/>
    <w:rsid w:val="00366E43"/>
    <w:rsid w:val="003724EB"/>
    <w:rsid w:val="00373958"/>
    <w:rsid w:val="00377DEA"/>
    <w:rsid w:val="00380660"/>
    <w:rsid w:val="003847C8"/>
    <w:rsid w:val="003860CF"/>
    <w:rsid w:val="00386869"/>
    <w:rsid w:val="003877F4"/>
    <w:rsid w:val="00394A37"/>
    <w:rsid w:val="00394DBB"/>
    <w:rsid w:val="00395E37"/>
    <w:rsid w:val="003A042A"/>
    <w:rsid w:val="003A342B"/>
    <w:rsid w:val="003A4EBD"/>
    <w:rsid w:val="003A5C5A"/>
    <w:rsid w:val="003A79BF"/>
    <w:rsid w:val="003B2060"/>
    <w:rsid w:val="003B6618"/>
    <w:rsid w:val="003C3019"/>
    <w:rsid w:val="003C3968"/>
    <w:rsid w:val="003C4B02"/>
    <w:rsid w:val="003C4EA1"/>
    <w:rsid w:val="003C57A3"/>
    <w:rsid w:val="003E0E72"/>
    <w:rsid w:val="003E2EA8"/>
    <w:rsid w:val="003E62CF"/>
    <w:rsid w:val="003E7437"/>
    <w:rsid w:val="003F1937"/>
    <w:rsid w:val="003F2E59"/>
    <w:rsid w:val="003F3208"/>
    <w:rsid w:val="003F390E"/>
    <w:rsid w:val="003F735D"/>
    <w:rsid w:val="004029FC"/>
    <w:rsid w:val="004035AC"/>
    <w:rsid w:val="004041E7"/>
    <w:rsid w:val="00407836"/>
    <w:rsid w:val="00407E0F"/>
    <w:rsid w:val="0041048B"/>
    <w:rsid w:val="00410B8A"/>
    <w:rsid w:val="00412F02"/>
    <w:rsid w:val="004131A1"/>
    <w:rsid w:val="00415BEA"/>
    <w:rsid w:val="00416713"/>
    <w:rsid w:val="00420551"/>
    <w:rsid w:val="00423347"/>
    <w:rsid w:val="00423509"/>
    <w:rsid w:val="004238C4"/>
    <w:rsid w:val="00423B26"/>
    <w:rsid w:val="0042625B"/>
    <w:rsid w:val="00432DD1"/>
    <w:rsid w:val="00432F2B"/>
    <w:rsid w:val="00433726"/>
    <w:rsid w:val="00437C7B"/>
    <w:rsid w:val="004420D7"/>
    <w:rsid w:val="00442168"/>
    <w:rsid w:val="00442277"/>
    <w:rsid w:val="004424A6"/>
    <w:rsid w:val="00442E9F"/>
    <w:rsid w:val="004462A6"/>
    <w:rsid w:val="004467E6"/>
    <w:rsid w:val="00446985"/>
    <w:rsid w:val="00446C7A"/>
    <w:rsid w:val="00450108"/>
    <w:rsid w:val="004517B0"/>
    <w:rsid w:val="0045521B"/>
    <w:rsid w:val="00455F9C"/>
    <w:rsid w:val="00456434"/>
    <w:rsid w:val="004662CC"/>
    <w:rsid w:val="00466F26"/>
    <w:rsid w:val="00466F61"/>
    <w:rsid w:val="00470C40"/>
    <w:rsid w:val="00474623"/>
    <w:rsid w:val="00474EDC"/>
    <w:rsid w:val="0047604E"/>
    <w:rsid w:val="004777A5"/>
    <w:rsid w:val="00481B6A"/>
    <w:rsid w:val="0048217E"/>
    <w:rsid w:val="004822DB"/>
    <w:rsid w:val="00484820"/>
    <w:rsid w:val="00484C93"/>
    <w:rsid w:val="00486DDA"/>
    <w:rsid w:val="00490903"/>
    <w:rsid w:val="00492368"/>
    <w:rsid w:val="004949C5"/>
    <w:rsid w:val="00494BD2"/>
    <w:rsid w:val="00495620"/>
    <w:rsid w:val="004975F2"/>
    <w:rsid w:val="004A2D65"/>
    <w:rsid w:val="004A4620"/>
    <w:rsid w:val="004A61F3"/>
    <w:rsid w:val="004B255B"/>
    <w:rsid w:val="004B2C10"/>
    <w:rsid w:val="004B7EC2"/>
    <w:rsid w:val="004C45AB"/>
    <w:rsid w:val="004C53B5"/>
    <w:rsid w:val="004D0C12"/>
    <w:rsid w:val="004D0D65"/>
    <w:rsid w:val="004D12F3"/>
    <w:rsid w:val="004D18AD"/>
    <w:rsid w:val="004D2197"/>
    <w:rsid w:val="004D4268"/>
    <w:rsid w:val="004D42A7"/>
    <w:rsid w:val="004D5566"/>
    <w:rsid w:val="004D5A74"/>
    <w:rsid w:val="004D6B1C"/>
    <w:rsid w:val="004D72AE"/>
    <w:rsid w:val="004D76C2"/>
    <w:rsid w:val="004E310E"/>
    <w:rsid w:val="004E3BFF"/>
    <w:rsid w:val="004E48C3"/>
    <w:rsid w:val="004E4B70"/>
    <w:rsid w:val="004F0335"/>
    <w:rsid w:val="004F2C80"/>
    <w:rsid w:val="004F5246"/>
    <w:rsid w:val="004F7980"/>
    <w:rsid w:val="004F7F28"/>
    <w:rsid w:val="005017E4"/>
    <w:rsid w:val="005074D5"/>
    <w:rsid w:val="00507984"/>
    <w:rsid w:val="00511815"/>
    <w:rsid w:val="005125D6"/>
    <w:rsid w:val="00513D68"/>
    <w:rsid w:val="00515C53"/>
    <w:rsid w:val="00515F36"/>
    <w:rsid w:val="00527342"/>
    <w:rsid w:val="00530568"/>
    <w:rsid w:val="00530E4F"/>
    <w:rsid w:val="00532FBA"/>
    <w:rsid w:val="00534887"/>
    <w:rsid w:val="005348B2"/>
    <w:rsid w:val="005356A7"/>
    <w:rsid w:val="00536D1E"/>
    <w:rsid w:val="005373B9"/>
    <w:rsid w:val="00540B29"/>
    <w:rsid w:val="00540D69"/>
    <w:rsid w:val="005414A8"/>
    <w:rsid w:val="00544AF1"/>
    <w:rsid w:val="005455FF"/>
    <w:rsid w:val="00547028"/>
    <w:rsid w:val="0054762E"/>
    <w:rsid w:val="005550E6"/>
    <w:rsid w:val="0055590E"/>
    <w:rsid w:val="00556C36"/>
    <w:rsid w:val="00561EF6"/>
    <w:rsid w:val="005622D8"/>
    <w:rsid w:val="0056354F"/>
    <w:rsid w:val="00573042"/>
    <w:rsid w:val="00574F10"/>
    <w:rsid w:val="00576644"/>
    <w:rsid w:val="00577BE9"/>
    <w:rsid w:val="005847E7"/>
    <w:rsid w:val="005848FA"/>
    <w:rsid w:val="00587472"/>
    <w:rsid w:val="0059041F"/>
    <w:rsid w:val="00594BF5"/>
    <w:rsid w:val="00596064"/>
    <w:rsid w:val="0059766B"/>
    <w:rsid w:val="005A183D"/>
    <w:rsid w:val="005A42B0"/>
    <w:rsid w:val="005A5A27"/>
    <w:rsid w:val="005A75BE"/>
    <w:rsid w:val="005B1823"/>
    <w:rsid w:val="005B254A"/>
    <w:rsid w:val="005B3C59"/>
    <w:rsid w:val="005B3DE9"/>
    <w:rsid w:val="005B45BB"/>
    <w:rsid w:val="005B65FB"/>
    <w:rsid w:val="005C0F94"/>
    <w:rsid w:val="005C1BC5"/>
    <w:rsid w:val="005C4EA4"/>
    <w:rsid w:val="005C64F2"/>
    <w:rsid w:val="005C692E"/>
    <w:rsid w:val="005D0771"/>
    <w:rsid w:val="005D1011"/>
    <w:rsid w:val="005D5188"/>
    <w:rsid w:val="005E2B0D"/>
    <w:rsid w:val="005E32AD"/>
    <w:rsid w:val="005E3904"/>
    <w:rsid w:val="005E41E2"/>
    <w:rsid w:val="005E60AC"/>
    <w:rsid w:val="005E721D"/>
    <w:rsid w:val="005F2217"/>
    <w:rsid w:val="005F2BA1"/>
    <w:rsid w:val="005F3F3B"/>
    <w:rsid w:val="005F4826"/>
    <w:rsid w:val="005F61D8"/>
    <w:rsid w:val="005F62ED"/>
    <w:rsid w:val="006019DC"/>
    <w:rsid w:val="006044FA"/>
    <w:rsid w:val="00606E7C"/>
    <w:rsid w:val="006073A8"/>
    <w:rsid w:val="00612211"/>
    <w:rsid w:val="00613FE9"/>
    <w:rsid w:val="0061530C"/>
    <w:rsid w:val="00633A55"/>
    <w:rsid w:val="0063489C"/>
    <w:rsid w:val="00640199"/>
    <w:rsid w:val="00640B00"/>
    <w:rsid w:val="00641199"/>
    <w:rsid w:val="00642EA8"/>
    <w:rsid w:val="006455C9"/>
    <w:rsid w:val="00647ABA"/>
    <w:rsid w:val="00647F28"/>
    <w:rsid w:val="006507AC"/>
    <w:rsid w:val="00657CCA"/>
    <w:rsid w:val="006603B4"/>
    <w:rsid w:val="006627D5"/>
    <w:rsid w:val="0066535A"/>
    <w:rsid w:val="006678CE"/>
    <w:rsid w:val="006712FF"/>
    <w:rsid w:val="006714FE"/>
    <w:rsid w:val="00677EE7"/>
    <w:rsid w:val="00684EEB"/>
    <w:rsid w:val="00685511"/>
    <w:rsid w:val="00685E9E"/>
    <w:rsid w:val="00686C63"/>
    <w:rsid w:val="00693D2C"/>
    <w:rsid w:val="00696100"/>
    <w:rsid w:val="006A143F"/>
    <w:rsid w:val="006A265D"/>
    <w:rsid w:val="006A2C92"/>
    <w:rsid w:val="006A3BAF"/>
    <w:rsid w:val="006A664C"/>
    <w:rsid w:val="006B3262"/>
    <w:rsid w:val="006B3D0F"/>
    <w:rsid w:val="006C1C79"/>
    <w:rsid w:val="006C1C8E"/>
    <w:rsid w:val="006C435E"/>
    <w:rsid w:val="006D2834"/>
    <w:rsid w:val="006D3048"/>
    <w:rsid w:val="006D4DF3"/>
    <w:rsid w:val="006D4EDB"/>
    <w:rsid w:val="006D74F9"/>
    <w:rsid w:val="006E2C71"/>
    <w:rsid w:val="006F2680"/>
    <w:rsid w:val="006F2927"/>
    <w:rsid w:val="006F2E21"/>
    <w:rsid w:val="006F35CF"/>
    <w:rsid w:val="006F51C9"/>
    <w:rsid w:val="00703C04"/>
    <w:rsid w:val="00704250"/>
    <w:rsid w:val="0070672E"/>
    <w:rsid w:val="00711849"/>
    <w:rsid w:val="00711F0E"/>
    <w:rsid w:val="00716466"/>
    <w:rsid w:val="007177BA"/>
    <w:rsid w:val="0072022E"/>
    <w:rsid w:val="00720CA7"/>
    <w:rsid w:val="00723BBF"/>
    <w:rsid w:val="0072423A"/>
    <w:rsid w:val="00725C0D"/>
    <w:rsid w:val="00727296"/>
    <w:rsid w:val="0073076A"/>
    <w:rsid w:val="00735111"/>
    <w:rsid w:val="00737D54"/>
    <w:rsid w:val="0074159A"/>
    <w:rsid w:val="00742334"/>
    <w:rsid w:val="00742F5D"/>
    <w:rsid w:val="00743D39"/>
    <w:rsid w:val="00745842"/>
    <w:rsid w:val="0074678C"/>
    <w:rsid w:val="007518F4"/>
    <w:rsid w:val="0075431A"/>
    <w:rsid w:val="00754E33"/>
    <w:rsid w:val="0075660C"/>
    <w:rsid w:val="00763CAC"/>
    <w:rsid w:val="00764BC5"/>
    <w:rsid w:val="00764E7D"/>
    <w:rsid w:val="0076745E"/>
    <w:rsid w:val="00771A68"/>
    <w:rsid w:val="007746EC"/>
    <w:rsid w:val="00774B43"/>
    <w:rsid w:val="007774FC"/>
    <w:rsid w:val="00777F4F"/>
    <w:rsid w:val="00782F2D"/>
    <w:rsid w:val="007864B8"/>
    <w:rsid w:val="00786DE1"/>
    <w:rsid w:val="0079105D"/>
    <w:rsid w:val="00791490"/>
    <w:rsid w:val="00793C37"/>
    <w:rsid w:val="00794069"/>
    <w:rsid w:val="007946F6"/>
    <w:rsid w:val="007A42CD"/>
    <w:rsid w:val="007A43F6"/>
    <w:rsid w:val="007A4671"/>
    <w:rsid w:val="007A472A"/>
    <w:rsid w:val="007A503D"/>
    <w:rsid w:val="007B628F"/>
    <w:rsid w:val="007C259E"/>
    <w:rsid w:val="007C34D2"/>
    <w:rsid w:val="007C4727"/>
    <w:rsid w:val="007D1993"/>
    <w:rsid w:val="007D383B"/>
    <w:rsid w:val="007D4C21"/>
    <w:rsid w:val="007D7EE9"/>
    <w:rsid w:val="007E2208"/>
    <w:rsid w:val="007E4D66"/>
    <w:rsid w:val="007E672F"/>
    <w:rsid w:val="007F05D4"/>
    <w:rsid w:val="007F1DFE"/>
    <w:rsid w:val="007F5058"/>
    <w:rsid w:val="007F51CA"/>
    <w:rsid w:val="007F715D"/>
    <w:rsid w:val="007F7A4D"/>
    <w:rsid w:val="008005B1"/>
    <w:rsid w:val="00804DA4"/>
    <w:rsid w:val="0080788E"/>
    <w:rsid w:val="00807B5B"/>
    <w:rsid w:val="00807D70"/>
    <w:rsid w:val="00811165"/>
    <w:rsid w:val="0081681D"/>
    <w:rsid w:val="0082177F"/>
    <w:rsid w:val="00822AE8"/>
    <w:rsid w:val="008233A7"/>
    <w:rsid w:val="008236E9"/>
    <w:rsid w:val="00826CED"/>
    <w:rsid w:val="0083027B"/>
    <w:rsid w:val="00830433"/>
    <w:rsid w:val="00831573"/>
    <w:rsid w:val="00835056"/>
    <w:rsid w:val="00836C69"/>
    <w:rsid w:val="0083793D"/>
    <w:rsid w:val="00837FC6"/>
    <w:rsid w:val="0084134C"/>
    <w:rsid w:val="0084159D"/>
    <w:rsid w:val="008416BF"/>
    <w:rsid w:val="008416C1"/>
    <w:rsid w:val="00842CA6"/>
    <w:rsid w:val="0084339A"/>
    <w:rsid w:val="00844E3A"/>
    <w:rsid w:val="00846B8E"/>
    <w:rsid w:val="008502ED"/>
    <w:rsid w:val="00851549"/>
    <w:rsid w:val="008534C5"/>
    <w:rsid w:val="00856636"/>
    <w:rsid w:val="00857E91"/>
    <w:rsid w:val="00866AC8"/>
    <w:rsid w:val="00871185"/>
    <w:rsid w:val="00872AAA"/>
    <w:rsid w:val="0087430B"/>
    <w:rsid w:val="00875389"/>
    <w:rsid w:val="00876D73"/>
    <w:rsid w:val="008810B9"/>
    <w:rsid w:val="00881951"/>
    <w:rsid w:val="008843F0"/>
    <w:rsid w:val="00890151"/>
    <w:rsid w:val="008925D1"/>
    <w:rsid w:val="00893121"/>
    <w:rsid w:val="00893745"/>
    <w:rsid w:val="0089417F"/>
    <w:rsid w:val="00897579"/>
    <w:rsid w:val="00897CA0"/>
    <w:rsid w:val="008A2009"/>
    <w:rsid w:val="008A32DA"/>
    <w:rsid w:val="008A60F4"/>
    <w:rsid w:val="008A6FB5"/>
    <w:rsid w:val="008B0E90"/>
    <w:rsid w:val="008B10E3"/>
    <w:rsid w:val="008B1D94"/>
    <w:rsid w:val="008B2433"/>
    <w:rsid w:val="008B4DB9"/>
    <w:rsid w:val="008B5DEC"/>
    <w:rsid w:val="008B6E99"/>
    <w:rsid w:val="008B7EB1"/>
    <w:rsid w:val="008C1610"/>
    <w:rsid w:val="008C3C77"/>
    <w:rsid w:val="008C5504"/>
    <w:rsid w:val="008C5863"/>
    <w:rsid w:val="008D3AED"/>
    <w:rsid w:val="008E0049"/>
    <w:rsid w:val="008E05EA"/>
    <w:rsid w:val="008E28F7"/>
    <w:rsid w:val="008E2956"/>
    <w:rsid w:val="008E4C79"/>
    <w:rsid w:val="008E76FD"/>
    <w:rsid w:val="008F0162"/>
    <w:rsid w:val="008F1EA3"/>
    <w:rsid w:val="008F2D19"/>
    <w:rsid w:val="008F4C54"/>
    <w:rsid w:val="008F6E0C"/>
    <w:rsid w:val="008F78AE"/>
    <w:rsid w:val="009023BA"/>
    <w:rsid w:val="00904795"/>
    <w:rsid w:val="00906FB8"/>
    <w:rsid w:val="009116A6"/>
    <w:rsid w:val="00912373"/>
    <w:rsid w:val="00913E47"/>
    <w:rsid w:val="00915D91"/>
    <w:rsid w:val="009162C0"/>
    <w:rsid w:val="00917032"/>
    <w:rsid w:val="00917F75"/>
    <w:rsid w:val="00920602"/>
    <w:rsid w:val="00924577"/>
    <w:rsid w:val="0092603B"/>
    <w:rsid w:val="00931878"/>
    <w:rsid w:val="00940EA0"/>
    <w:rsid w:val="00940EA8"/>
    <w:rsid w:val="0094340A"/>
    <w:rsid w:val="00943D90"/>
    <w:rsid w:val="00945151"/>
    <w:rsid w:val="00947C9E"/>
    <w:rsid w:val="00952953"/>
    <w:rsid w:val="00953460"/>
    <w:rsid w:val="0095347D"/>
    <w:rsid w:val="00955511"/>
    <w:rsid w:val="00955B8E"/>
    <w:rsid w:val="009561DA"/>
    <w:rsid w:val="009563BC"/>
    <w:rsid w:val="0095731F"/>
    <w:rsid w:val="009605C4"/>
    <w:rsid w:val="009648F7"/>
    <w:rsid w:val="00964B75"/>
    <w:rsid w:val="00966D6C"/>
    <w:rsid w:val="0097287C"/>
    <w:rsid w:val="009730D6"/>
    <w:rsid w:val="0097341C"/>
    <w:rsid w:val="00973D62"/>
    <w:rsid w:val="00974CF3"/>
    <w:rsid w:val="009768E9"/>
    <w:rsid w:val="00982754"/>
    <w:rsid w:val="00982B08"/>
    <w:rsid w:val="0098342D"/>
    <w:rsid w:val="00990BFF"/>
    <w:rsid w:val="009911F4"/>
    <w:rsid w:val="00991E05"/>
    <w:rsid w:val="009928EF"/>
    <w:rsid w:val="009956A0"/>
    <w:rsid w:val="0099600F"/>
    <w:rsid w:val="00996705"/>
    <w:rsid w:val="009975F4"/>
    <w:rsid w:val="00997E5D"/>
    <w:rsid w:val="009A3E0B"/>
    <w:rsid w:val="009A4939"/>
    <w:rsid w:val="009A59DE"/>
    <w:rsid w:val="009A5D89"/>
    <w:rsid w:val="009B06B4"/>
    <w:rsid w:val="009B1D43"/>
    <w:rsid w:val="009B46DD"/>
    <w:rsid w:val="009B544B"/>
    <w:rsid w:val="009B629A"/>
    <w:rsid w:val="009B66BB"/>
    <w:rsid w:val="009B6A30"/>
    <w:rsid w:val="009B6B34"/>
    <w:rsid w:val="009C0CFA"/>
    <w:rsid w:val="009C2953"/>
    <w:rsid w:val="009C3150"/>
    <w:rsid w:val="009C396E"/>
    <w:rsid w:val="009C3B61"/>
    <w:rsid w:val="009C703D"/>
    <w:rsid w:val="009C72B8"/>
    <w:rsid w:val="009D01B0"/>
    <w:rsid w:val="009D0415"/>
    <w:rsid w:val="009E0BAE"/>
    <w:rsid w:val="009E23FB"/>
    <w:rsid w:val="009E3C41"/>
    <w:rsid w:val="009E4B45"/>
    <w:rsid w:val="009E638F"/>
    <w:rsid w:val="009E736B"/>
    <w:rsid w:val="009F0BA0"/>
    <w:rsid w:val="009F10E2"/>
    <w:rsid w:val="009F2684"/>
    <w:rsid w:val="009F2782"/>
    <w:rsid w:val="009F750F"/>
    <w:rsid w:val="00A0252C"/>
    <w:rsid w:val="00A035B8"/>
    <w:rsid w:val="00A039DE"/>
    <w:rsid w:val="00A04051"/>
    <w:rsid w:val="00A115C7"/>
    <w:rsid w:val="00A12127"/>
    <w:rsid w:val="00A13850"/>
    <w:rsid w:val="00A138F1"/>
    <w:rsid w:val="00A149CB"/>
    <w:rsid w:val="00A174A3"/>
    <w:rsid w:val="00A21233"/>
    <w:rsid w:val="00A23BDD"/>
    <w:rsid w:val="00A24304"/>
    <w:rsid w:val="00A30010"/>
    <w:rsid w:val="00A312BF"/>
    <w:rsid w:val="00A329EF"/>
    <w:rsid w:val="00A357CF"/>
    <w:rsid w:val="00A375AD"/>
    <w:rsid w:val="00A51CFE"/>
    <w:rsid w:val="00A5278D"/>
    <w:rsid w:val="00A557FA"/>
    <w:rsid w:val="00A576CA"/>
    <w:rsid w:val="00A60D49"/>
    <w:rsid w:val="00A615BA"/>
    <w:rsid w:val="00A64926"/>
    <w:rsid w:val="00A6739D"/>
    <w:rsid w:val="00A703C6"/>
    <w:rsid w:val="00A73D12"/>
    <w:rsid w:val="00A74675"/>
    <w:rsid w:val="00A74E68"/>
    <w:rsid w:val="00A759E9"/>
    <w:rsid w:val="00A76B86"/>
    <w:rsid w:val="00A80E9B"/>
    <w:rsid w:val="00A81450"/>
    <w:rsid w:val="00A86B70"/>
    <w:rsid w:val="00A86F24"/>
    <w:rsid w:val="00A90CF7"/>
    <w:rsid w:val="00A90D6B"/>
    <w:rsid w:val="00A91AD8"/>
    <w:rsid w:val="00A97375"/>
    <w:rsid w:val="00AA2F2C"/>
    <w:rsid w:val="00AA7A2E"/>
    <w:rsid w:val="00AB1651"/>
    <w:rsid w:val="00AB25C8"/>
    <w:rsid w:val="00AB61EB"/>
    <w:rsid w:val="00AB641C"/>
    <w:rsid w:val="00AC2D94"/>
    <w:rsid w:val="00AC37ED"/>
    <w:rsid w:val="00AC47C7"/>
    <w:rsid w:val="00AC7A11"/>
    <w:rsid w:val="00AD2F9C"/>
    <w:rsid w:val="00AD4F34"/>
    <w:rsid w:val="00AD741D"/>
    <w:rsid w:val="00AE1EA2"/>
    <w:rsid w:val="00AE2DEC"/>
    <w:rsid w:val="00AE2E2A"/>
    <w:rsid w:val="00AE7BFD"/>
    <w:rsid w:val="00AF2F03"/>
    <w:rsid w:val="00AF38A8"/>
    <w:rsid w:val="00AF4EDF"/>
    <w:rsid w:val="00AF6911"/>
    <w:rsid w:val="00B00021"/>
    <w:rsid w:val="00B03AE9"/>
    <w:rsid w:val="00B043CA"/>
    <w:rsid w:val="00B04598"/>
    <w:rsid w:val="00B04864"/>
    <w:rsid w:val="00B05B86"/>
    <w:rsid w:val="00B06353"/>
    <w:rsid w:val="00B06A41"/>
    <w:rsid w:val="00B1076C"/>
    <w:rsid w:val="00B20902"/>
    <w:rsid w:val="00B22AD1"/>
    <w:rsid w:val="00B24413"/>
    <w:rsid w:val="00B25AAF"/>
    <w:rsid w:val="00B2747F"/>
    <w:rsid w:val="00B332C5"/>
    <w:rsid w:val="00B35785"/>
    <w:rsid w:val="00B35A04"/>
    <w:rsid w:val="00B35E8A"/>
    <w:rsid w:val="00B42680"/>
    <w:rsid w:val="00B4627F"/>
    <w:rsid w:val="00B46B56"/>
    <w:rsid w:val="00B46C68"/>
    <w:rsid w:val="00B47ABB"/>
    <w:rsid w:val="00B518D8"/>
    <w:rsid w:val="00B52BCD"/>
    <w:rsid w:val="00B55B31"/>
    <w:rsid w:val="00B62DE7"/>
    <w:rsid w:val="00B63409"/>
    <w:rsid w:val="00B648C4"/>
    <w:rsid w:val="00B656E5"/>
    <w:rsid w:val="00B65F76"/>
    <w:rsid w:val="00B70245"/>
    <w:rsid w:val="00B712B9"/>
    <w:rsid w:val="00B714A2"/>
    <w:rsid w:val="00B72E52"/>
    <w:rsid w:val="00B750CC"/>
    <w:rsid w:val="00B75BD4"/>
    <w:rsid w:val="00B775BC"/>
    <w:rsid w:val="00B82F74"/>
    <w:rsid w:val="00B83BBE"/>
    <w:rsid w:val="00B849C3"/>
    <w:rsid w:val="00B8714C"/>
    <w:rsid w:val="00B90877"/>
    <w:rsid w:val="00B93AE4"/>
    <w:rsid w:val="00BA099E"/>
    <w:rsid w:val="00BA11EC"/>
    <w:rsid w:val="00BA65BE"/>
    <w:rsid w:val="00BA75C6"/>
    <w:rsid w:val="00BB0569"/>
    <w:rsid w:val="00BB16CC"/>
    <w:rsid w:val="00BB175D"/>
    <w:rsid w:val="00BB51E7"/>
    <w:rsid w:val="00BB6831"/>
    <w:rsid w:val="00BB6CE3"/>
    <w:rsid w:val="00BB730F"/>
    <w:rsid w:val="00BB7827"/>
    <w:rsid w:val="00BC0C2A"/>
    <w:rsid w:val="00BC2D2C"/>
    <w:rsid w:val="00BC373B"/>
    <w:rsid w:val="00BC4742"/>
    <w:rsid w:val="00BD0E3C"/>
    <w:rsid w:val="00BD3BA9"/>
    <w:rsid w:val="00BD402D"/>
    <w:rsid w:val="00BE196A"/>
    <w:rsid w:val="00BE2A76"/>
    <w:rsid w:val="00BE4265"/>
    <w:rsid w:val="00BE5579"/>
    <w:rsid w:val="00BE5B65"/>
    <w:rsid w:val="00BF1101"/>
    <w:rsid w:val="00BF115B"/>
    <w:rsid w:val="00BF47C7"/>
    <w:rsid w:val="00C048EB"/>
    <w:rsid w:val="00C054CE"/>
    <w:rsid w:val="00C1043C"/>
    <w:rsid w:val="00C1106E"/>
    <w:rsid w:val="00C127EB"/>
    <w:rsid w:val="00C168DA"/>
    <w:rsid w:val="00C16E64"/>
    <w:rsid w:val="00C20294"/>
    <w:rsid w:val="00C210AF"/>
    <w:rsid w:val="00C210CD"/>
    <w:rsid w:val="00C23FAE"/>
    <w:rsid w:val="00C318F7"/>
    <w:rsid w:val="00C31AEC"/>
    <w:rsid w:val="00C341C1"/>
    <w:rsid w:val="00C350B3"/>
    <w:rsid w:val="00C456FD"/>
    <w:rsid w:val="00C46BBC"/>
    <w:rsid w:val="00C47F07"/>
    <w:rsid w:val="00C5149D"/>
    <w:rsid w:val="00C51526"/>
    <w:rsid w:val="00C5371C"/>
    <w:rsid w:val="00C53878"/>
    <w:rsid w:val="00C548CF"/>
    <w:rsid w:val="00C559AC"/>
    <w:rsid w:val="00C55C8E"/>
    <w:rsid w:val="00C57FE1"/>
    <w:rsid w:val="00C6165D"/>
    <w:rsid w:val="00C61E15"/>
    <w:rsid w:val="00C62958"/>
    <w:rsid w:val="00C63867"/>
    <w:rsid w:val="00C65022"/>
    <w:rsid w:val="00C6522A"/>
    <w:rsid w:val="00C6556F"/>
    <w:rsid w:val="00C66B56"/>
    <w:rsid w:val="00C67D43"/>
    <w:rsid w:val="00C76E96"/>
    <w:rsid w:val="00C776F7"/>
    <w:rsid w:val="00C813B5"/>
    <w:rsid w:val="00C81E36"/>
    <w:rsid w:val="00C82028"/>
    <w:rsid w:val="00C85281"/>
    <w:rsid w:val="00C9127B"/>
    <w:rsid w:val="00C9176F"/>
    <w:rsid w:val="00C944AC"/>
    <w:rsid w:val="00C94DFA"/>
    <w:rsid w:val="00CA1214"/>
    <w:rsid w:val="00CA4226"/>
    <w:rsid w:val="00CA62A4"/>
    <w:rsid w:val="00CA63F2"/>
    <w:rsid w:val="00CA654C"/>
    <w:rsid w:val="00CB113C"/>
    <w:rsid w:val="00CB2ACE"/>
    <w:rsid w:val="00CB2D84"/>
    <w:rsid w:val="00CB3442"/>
    <w:rsid w:val="00CB4142"/>
    <w:rsid w:val="00CB505C"/>
    <w:rsid w:val="00CB77E0"/>
    <w:rsid w:val="00CB786D"/>
    <w:rsid w:val="00CC0637"/>
    <w:rsid w:val="00CC3971"/>
    <w:rsid w:val="00CC6B5B"/>
    <w:rsid w:val="00CD01D0"/>
    <w:rsid w:val="00CD64A4"/>
    <w:rsid w:val="00CE20F9"/>
    <w:rsid w:val="00CE304D"/>
    <w:rsid w:val="00CE383F"/>
    <w:rsid w:val="00CE3B78"/>
    <w:rsid w:val="00CE67CE"/>
    <w:rsid w:val="00CE745A"/>
    <w:rsid w:val="00CF7046"/>
    <w:rsid w:val="00CF7C24"/>
    <w:rsid w:val="00D00A4A"/>
    <w:rsid w:val="00D00DF7"/>
    <w:rsid w:val="00D05AA0"/>
    <w:rsid w:val="00D06DB6"/>
    <w:rsid w:val="00D1413B"/>
    <w:rsid w:val="00D21950"/>
    <w:rsid w:val="00D243F1"/>
    <w:rsid w:val="00D269DB"/>
    <w:rsid w:val="00D26D43"/>
    <w:rsid w:val="00D32FC7"/>
    <w:rsid w:val="00D351F0"/>
    <w:rsid w:val="00D36607"/>
    <w:rsid w:val="00D36FE1"/>
    <w:rsid w:val="00D372FC"/>
    <w:rsid w:val="00D37773"/>
    <w:rsid w:val="00D41AA3"/>
    <w:rsid w:val="00D463A6"/>
    <w:rsid w:val="00D47DBA"/>
    <w:rsid w:val="00D503AD"/>
    <w:rsid w:val="00D510AA"/>
    <w:rsid w:val="00D5218B"/>
    <w:rsid w:val="00D52C9F"/>
    <w:rsid w:val="00D54CFA"/>
    <w:rsid w:val="00D600BD"/>
    <w:rsid w:val="00D60A60"/>
    <w:rsid w:val="00D61516"/>
    <w:rsid w:val="00D618B7"/>
    <w:rsid w:val="00D635ED"/>
    <w:rsid w:val="00D64551"/>
    <w:rsid w:val="00D70BD9"/>
    <w:rsid w:val="00D7316C"/>
    <w:rsid w:val="00D739B2"/>
    <w:rsid w:val="00D764FC"/>
    <w:rsid w:val="00D76544"/>
    <w:rsid w:val="00D76D8E"/>
    <w:rsid w:val="00D8029D"/>
    <w:rsid w:val="00D81F54"/>
    <w:rsid w:val="00D83272"/>
    <w:rsid w:val="00D8662A"/>
    <w:rsid w:val="00D8757D"/>
    <w:rsid w:val="00D93221"/>
    <w:rsid w:val="00D952DA"/>
    <w:rsid w:val="00D9541D"/>
    <w:rsid w:val="00D96562"/>
    <w:rsid w:val="00D97403"/>
    <w:rsid w:val="00DA3DAF"/>
    <w:rsid w:val="00DA7516"/>
    <w:rsid w:val="00DB0B6B"/>
    <w:rsid w:val="00DB3B32"/>
    <w:rsid w:val="00DB3BB5"/>
    <w:rsid w:val="00DB4D5E"/>
    <w:rsid w:val="00DB7283"/>
    <w:rsid w:val="00DC2464"/>
    <w:rsid w:val="00DC2EF4"/>
    <w:rsid w:val="00DC56E6"/>
    <w:rsid w:val="00DC5FE2"/>
    <w:rsid w:val="00DD1715"/>
    <w:rsid w:val="00DD2129"/>
    <w:rsid w:val="00DD59CB"/>
    <w:rsid w:val="00DD5D9E"/>
    <w:rsid w:val="00DE0626"/>
    <w:rsid w:val="00DE0D08"/>
    <w:rsid w:val="00DE4415"/>
    <w:rsid w:val="00DE5807"/>
    <w:rsid w:val="00DE5F51"/>
    <w:rsid w:val="00DE67FE"/>
    <w:rsid w:val="00DF1025"/>
    <w:rsid w:val="00DF3EEC"/>
    <w:rsid w:val="00DF5D22"/>
    <w:rsid w:val="00DF5E03"/>
    <w:rsid w:val="00DF6348"/>
    <w:rsid w:val="00DF6915"/>
    <w:rsid w:val="00DF6A50"/>
    <w:rsid w:val="00DF76C2"/>
    <w:rsid w:val="00E02E50"/>
    <w:rsid w:val="00E02FF8"/>
    <w:rsid w:val="00E064E1"/>
    <w:rsid w:val="00E1132F"/>
    <w:rsid w:val="00E116BD"/>
    <w:rsid w:val="00E11FBD"/>
    <w:rsid w:val="00E12B17"/>
    <w:rsid w:val="00E12BB4"/>
    <w:rsid w:val="00E13E02"/>
    <w:rsid w:val="00E14E33"/>
    <w:rsid w:val="00E16AEA"/>
    <w:rsid w:val="00E21762"/>
    <w:rsid w:val="00E22027"/>
    <w:rsid w:val="00E22D33"/>
    <w:rsid w:val="00E23F76"/>
    <w:rsid w:val="00E23FFB"/>
    <w:rsid w:val="00E242A2"/>
    <w:rsid w:val="00E26B5D"/>
    <w:rsid w:val="00E30507"/>
    <w:rsid w:val="00E31293"/>
    <w:rsid w:val="00E345D3"/>
    <w:rsid w:val="00E35C9C"/>
    <w:rsid w:val="00E36223"/>
    <w:rsid w:val="00E36AD6"/>
    <w:rsid w:val="00E37620"/>
    <w:rsid w:val="00E43CF3"/>
    <w:rsid w:val="00E45339"/>
    <w:rsid w:val="00E458B5"/>
    <w:rsid w:val="00E501A9"/>
    <w:rsid w:val="00E512B9"/>
    <w:rsid w:val="00E5308B"/>
    <w:rsid w:val="00E5712B"/>
    <w:rsid w:val="00E61F84"/>
    <w:rsid w:val="00E62AE1"/>
    <w:rsid w:val="00E64462"/>
    <w:rsid w:val="00E661DC"/>
    <w:rsid w:val="00E669D6"/>
    <w:rsid w:val="00E66C7F"/>
    <w:rsid w:val="00E7227A"/>
    <w:rsid w:val="00E73678"/>
    <w:rsid w:val="00E7512A"/>
    <w:rsid w:val="00E8271E"/>
    <w:rsid w:val="00E828F5"/>
    <w:rsid w:val="00E83498"/>
    <w:rsid w:val="00E83D66"/>
    <w:rsid w:val="00E84711"/>
    <w:rsid w:val="00E86168"/>
    <w:rsid w:val="00E92120"/>
    <w:rsid w:val="00E92A66"/>
    <w:rsid w:val="00E9358C"/>
    <w:rsid w:val="00E96196"/>
    <w:rsid w:val="00EA012D"/>
    <w:rsid w:val="00EA0232"/>
    <w:rsid w:val="00EA0268"/>
    <w:rsid w:val="00EA176F"/>
    <w:rsid w:val="00EA1D3B"/>
    <w:rsid w:val="00EA2691"/>
    <w:rsid w:val="00EA2D67"/>
    <w:rsid w:val="00EA4073"/>
    <w:rsid w:val="00EA660C"/>
    <w:rsid w:val="00EA77CA"/>
    <w:rsid w:val="00EB78ED"/>
    <w:rsid w:val="00EC1504"/>
    <w:rsid w:val="00EC7D92"/>
    <w:rsid w:val="00ED1E96"/>
    <w:rsid w:val="00ED3168"/>
    <w:rsid w:val="00EE07B4"/>
    <w:rsid w:val="00EE53A9"/>
    <w:rsid w:val="00EE622F"/>
    <w:rsid w:val="00EE650F"/>
    <w:rsid w:val="00EF0416"/>
    <w:rsid w:val="00EF0CD2"/>
    <w:rsid w:val="00EF14D1"/>
    <w:rsid w:val="00EF41AF"/>
    <w:rsid w:val="00EF4525"/>
    <w:rsid w:val="00EF6946"/>
    <w:rsid w:val="00F00DA9"/>
    <w:rsid w:val="00F012EE"/>
    <w:rsid w:val="00F028F1"/>
    <w:rsid w:val="00F062A2"/>
    <w:rsid w:val="00F10289"/>
    <w:rsid w:val="00F1549E"/>
    <w:rsid w:val="00F24D06"/>
    <w:rsid w:val="00F27592"/>
    <w:rsid w:val="00F316D7"/>
    <w:rsid w:val="00F31892"/>
    <w:rsid w:val="00F32095"/>
    <w:rsid w:val="00F330B7"/>
    <w:rsid w:val="00F33BF2"/>
    <w:rsid w:val="00F34242"/>
    <w:rsid w:val="00F378A8"/>
    <w:rsid w:val="00F418B2"/>
    <w:rsid w:val="00F41FDE"/>
    <w:rsid w:val="00F42A48"/>
    <w:rsid w:val="00F44982"/>
    <w:rsid w:val="00F53DBE"/>
    <w:rsid w:val="00F636B9"/>
    <w:rsid w:val="00F7642D"/>
    <w:rsid w:val="00F7715F"/>
    <w:rsid w:val="00F83BD2"/>
    <w:rsid w:val="00F841CE"/>
    <w:rsid w:val="00F86FAF"/>
    <w:rsid w:val="00FA5401"/>
    <w:rsid w:val="00FA6154"/>
    <w:rsid w:val="00FA6856"/>
    <w:rsid w:val="00FA78E0"/>
    <w:rsid w:val="00FB14D7"/>
    <w:rsid w:val="00FB253E"/>
    <w:rsid w:val="00FB3243"/>
    <w:rsid w:val="00FB5085"/>
    <w:rsid w:val="00FB5768"/>
    <w:rsid w:val="00FB655B"/>
    <w:rsid w:val="00FB693C"/>
    <w:rsid w:val="00FC1053"/>
    <w:rsid w:val="00FC3688"/>
    <w:rsid w:val="00FC3E7A"/>
    <w:rsid w:val="00FD2CD3"/>
    <w:rsid w:val="00FD31FB"/>
    <w:rsid w:val="00FD718C"/>
    <w:rsid w:val="00FE0353"/>
    <w:rsid w:val="00FE1722"/>
    <w:rsid w:val="00FE4E31"/>
    <w:rsid w:val="00FE5DE8"/>
    <w:rsid w:val="00FE7444"/>
    <w:rsid w:val="00FE7815"/>
    <w:rsid w:val="00FF0429"/>
    <w:rsid w:val="00FF1773"/>
    <w:rsid w:val="00FF1F15"/>
    <w:rsid w:val="00FF2EA6"/>
    <w:rsid w:val="00FF5DB5"/>
    <w:rsid w:val="00FF69CE"/>
    <w:rsid w:val="00FF6BA5"/>
    <w:rsid w:val="00FF72CC"/>
    <w:rsid w:val="00FF7809"/>
    <w:rsid w:val="0583FCF6"/>
    <w:rsid w:val="1FEC6327"/>
    <w:rsid w:val="215A7DA1"/>
    <w:rsid w:val="21B76DFD"/>
    <w:rsid w:val="3543F0B4"/>
    <w:rsid w:val="398E8B32"/>
    <w:rsid w:val="4051BB58"/>
    <w:rsid w:val="4434E7DD"/>
    <w:rsid w:val="451F68E4"/>
    <w:rsid w:val="49EC04EF"/>
    <w:rsid w:val="4B6034A3"/>
    <w:rsid w:val="588B76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671C2"/>
  <w15:chartTrackingRefBased/>
  <w15:docId w15:val="{29C89981-CE2B-449C-8627-88BA609B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2B0"/>
    <w:rPr>
      <w:sz w:val="20"/>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uiPriority w:val="9"/>
    <w:qFormat/>
    <w:rsid w:val="00DE0D08"/>
    <w:pPr>
      <w:keepNext/>
      <w:numPr>
        <w:numId w:val="2"/>
      </w:numPr>
      <w:spacing w:after="600" w:line="240" w:lineRule="auto"/>
      <w:outlineLvl w:val="0"/>
    </w:pPr>
    <w:rPr>
      <w:rFonts w:eastAsia="SimSun" w:cs="Cambria"/>
      <w:b/>
      <w:bCs/>
      <w:caps/>
      <w:color w:val="ABCD3A" w:themeColor="text2"/>
      <w:sz w:val="40"/>
      <w:szCs w:val="40"/>
      <w:lang w:val="lt-LT"/>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Heading1"/>
    <w:next w:val="Normal"/>
    <w:link w:val="Heading2Char"/>
    <w:uiPriority w:val="9"/>
    <w:qFormat/>
    <w:rsid w:val="00DE0D08"/>
    <w:pPr>
      <w:numPr>
        <w:ilvl w:val="1"/>
      </w:numPr>
      <w:spacing w:before="360" w:after="240"/>
      <w:outlineLvl w:val="1"/>
    </w:pPr>
    <w:rPr>
      <w:rFonts w:ascii="Trebuchet MS" w:hAnsi="Trebuchet MS"/>
      <w:color w:val="BFBFBF" w:themeColor="background2"/>
      <w:sz w:val="22"/>
      <w:szCs w:val="22"/>
      <w:lang w:val="ro-RO"/>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Heading2"/>
    <w:next w:val="Normal"/>
    <w:link w:val="Heading3Char"/>
    <w:uiPriority w:val="9"/>
    <w:qFormat/>
    <w:rsid w:val="00DE0D08"/>
    <w:pPr>
      <w:numPr>
        <w:ilvl w:val="2"/>
      </w:numPr>
      <w:spacing w:before="180" w:after="180"/>
      <w:outlineLvl w:val="2"/>
    </w:pPr>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C21"/>
    <w:rPr>
      <w:rFonts w:asciiTheme="majorHAnsi" w:eastAsiaTheme="majorEastAsia" w:hAnsiTheme="majorHAnsi" w:cstheme="majorBidi"/>
      <w:spacing w:val="-10"/>
      <w:kern w:val="28"/>
      <w:sz w:val="56"/>
      <w:szCs w:val="56"/>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autoRedefine/>
    <w:uiPriority w:val="34"/>
    <w:qFormat/>
    <w:rsid w:val="00C813B5"/>
    <w:pPr>
      <w:numPr>
        <w:numId w:val="11"/>
      </w:numPr>
      <w:spacing w:after="60" w:line="240" w:lineRule="auto"/>
      <w:jc w:val="both"/>
    </w:pPr>
    <w:rPr>
      <w:rFonts w:eastAsia="SimSun" w:cstheme="minorHAnsi"/>
      <w:color w:val="000000" w:themeColor="text1"/>
      <w:lang w:eastAsia="ro-RO" w:bidi="ne-NP"/>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C813B5"/>
    <w:rPr>
      <w:rFonts w:eastAsia="SimSun" w:cstheme="minorHAnsi"/>
      <w:color w:val="000000" w:themeColor="text1"/>
      <w:sz w:val="20"/>
      <w:lang w:val="ro-RO" w:eastAsia="ro-RO" w:bidi="ne-NP"/>
    </w:rPr>
  </w:style>
  <w:style w:type="paragraph" w:styleId="CommentText">
    <w:name w:val="annotation text"/>
    <w:basedOn w:val="Normal"/>
    <w:link w:val="CommentTextChar"/>
    <w:uiPriority w:val="99"/>
    <w:semiHidden/>
    <w:unhideWhenUsed/>
    <w:rsid w:val="00FB5768"/>
    <w:pPr>
      <w:spacing w:after="120" w:line="240" w:lineRule="auto"/>
      <w:jc w:val="both"/>
    </w:pPr>
    <w:rPr>
      <w:rFonts w:eastAsia="SimSun" w:cs="Cambria"/>
      <w:szCs w:val="20"/>
      <w:lang w:val="lt-LT"/>
    </w:rPr>
  </w:style>
  <w:style w:type="character" w:customStyle="1" w:styleId="CommentTextChar">
    <w:name w:val="Comment Text Char"/>
    <w:basedOn w:val="DefaultParagraphFont"/>
    <w:link w:val="CommentText"/>
    <w:uiPriority w:val="99"/>
    <w:rsid w:val="00FB5768"/>
    <w:rPr>
      <w:rFonts w:eastAsia="SimSun" w:cs="Cambria"/>
      <w:sz w:val="20"/>
      <w:szCs w:val="20"/>
      <w:lang w:val="lt-LT"/>
    </w:rPr>
  </w:style>
  <w:style w:type="table" w:styleId="TableGrid">
    <w:name w:val="Table Grid"/>
    <w:aliases w:val="ECORYS Tabela"/>
    <w:basedOn w:val="TableNormal"/>
    <w:uiPriority w:val="39"/>
    <w:rsid w:val="00FB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DE0D08"/>
    <w:rPr>
      <w:rFonts w:eastAsia="SimSun" w:cs="Cambria"/>
      <w:b/>
      <w:bCs/>
      <w:caps/>
      <w:color w:val="ABCD3A" w:themeColor="text2"/>
      <w:sz w:val="40"/>
      <w:szCs w:val="40"/>
      <w:lang w:val="lt-LT"/>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uiPriority w:val="9"/>
    <w:rsid w:val="00DE0D08"/>
    <w:rPr>
      <w:rFonts w:ascii="Trebuchet MS" w:eastAsia="SimSun" w:hAnsi="Trebuchet MS" w:cs="Cambria"/>
      <w:b/>
      <w:bCs/>
      <w:caps/>
      <w:color w:val="BFBFBF" w:themeColor="background2"/>
      <w:lang w:val="ro-RO"/>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DE0D08"/>
    <w:rPr>
      <w:rFonts w:ascii="Trebuchet MS" w:eastAsia="SimSun" w:hAnsi="Trebuchet MS" w:cs="Cambria"/>
      <w:b/>
      <w:caps/>
      <w:color w:val="BFBFBF" w:themeColor="background2"/>
      <w:sz w:val="20"/>
      <w:szCs w:val="20"/>
      <w:lang w:val="ro-RO"/>
    </w:rPr>
  </w:style>
  <w:style w:type="numbering" w:customStyle="1" w:styleId="Headings">
    <w:name w:val="Headings"/>
    <w:uiPriority w:val="99"/>
    <w:rsid w:val="00DE0D08"/>
    <w:pPr>
      <w:numPr>
        <w:numId w:val="1"/>
      </w:numPr>
    </w:pPr>
  </w:style>
  <w:style w:type="paragraph" w:customStyle="1" w:styleId="headingno4">
    <w:name w:val="heading no 4"/>
    <w:basedOn w:val="Heading3"/>
    <w:qFormat/>
    <w:rsid w:val="00DE0D08"/>
    <w:pPr>
      <w:numPr>
        <w:ilvl w:val="3"/>
      </w:numPr>
    </w:pPr>
    <w:rPr>
      <w:lang w:eastAsia="ro-RO" w:bidi="ne-NP"/>
    </w:rPr>
  </w:style>
  <w:style w:type="paragraph" w:styleId="BodyText">
    <w:name w:val="Body Text"/>
    <w:basedOn w:val="Normal"/>
    <w:link w:val="BodyTextChar"/>
    <w:semiHidden/>
    <w:rsid w:val="00410B8A"/>
    <w:pPr>
      <w:widowControl w:val="0"/>
      <w:suppressAutoHyphens/>
      <w:spacing w:after="120" w:line="240" w:lineRule="auto"/>
    </w:pPr>
    <w:rPr>
      <w:rFonts w:ascii="Times New Roman" w:eastAsia="SimSun" w:hAnsi="Times New Roman" w:cs="SimSun"/>
      <w:kern w:val="1"/>
      <w:sz w:val="24"/>
      <w:szCs w:val="24"/>
      <w:lang w:eastAsia="hi-IN" w:bidi="hi-IN"/>
    </w:rPr>
  </w:style>
  <w:style w:type="character" w:customStyle="1" w:styleId="BodyTextChar">
    <w:name w:val="Body Text Char"/>
    <w:basedOn w:val="DefaultParagraphFont"/>
    <w:link w:val="BodyText"/>
    <w:semiHidden/>
    <w:rsid w:val="00410B8A"/>
    <w:rPr>
      <w:rFonts w:ascii="Times New Roman" w:eastAsia="SimSun" w:hAnsi="Times New Roman" w:cs="SimSun"/>
      <w:kern w:val="1"/>
      <w:sz w:val="24"/>
      <w:szCs w:val="24"/>
      <w:lang w:eastAsia="hi-IN" w:bidi="hi-IN"/>
    </w:rPr>
  </w:style>
  <w:style w:type="paragraph" w:styleId="Header">
    <w:name w:val="header"/>
    <w:basedOn w:val="Normal"/>
    <w:link w:val="HeaderChar"/>
    <w:uiPriority w:val="99"/>
    <w:unhideWhenUsed/>
    <w:rsid w:val="00FA5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401"/>
  </w:style>
  <w:style w:type="paragraph" w:styleId="Footer">
    <w:name w:val="footer"/>
    <w:basedOn w:val="Normal"/>
    <w:link w:val="FooterChar"/>
    <w:uiPriority w:val="99"/>
    <w:unhideWhenUsed/>
    <w:rsid w:val="00FA5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401"/>
  </w:style>
  <w:style w:type="character" w:styleId="CommentReference">
    <w:name w:val="annotation reference"/>
    <w:basedOn w:val="DefaultParagraphFont"/>
    <w:uiPriority w:val="99"/>
    <w:semiHidden/>
    <w:unhideWhenUsed/>
    <w:rsid w:val="002957C3"/>
    <w:rPr>
      <w:sz w:val="16"/>
      <w:szCs w:val="16"/>
    </w:rPr>
  </w:style>
  <w:style w:type="paragraph" w:styleId="CommentSubject">
    <w:name w:val="annotation subject"/>
    <w:basedOn w:val="CommentText"/>
    <w:next w:val="CommentText"/>
    <w:link w:val="CommentSubjectChar"/>
    <w:uiPriority w:val="99"/>
    <w:semiHidden/>
    <w:unhideWhenUsed/>
    <w:rsid w:val="002957C3"/>
    <w:pPr>
      <w:spacing w:after="160"/>
      <w:jc w:val="left"/>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2957C3"/>
    <w:rPr>
      <w:rFonts w:eastAsia="SimSun" w:cs="Cambria"/>
      <w:b/>
      <w:bCs/>
      <w:sz w:val="20"/>
      <w:szCs w:val="20"/>
      <w:lang w:val="lt-LT"/>
    </w:rPr>
  </w:style>
  <w:style w:type="paragraph" w:styleId="BalloonText">
    <w:name w:val="Balloon Text"/>
    <w:basedOn w:val="Normal"/>
    <w:link w:val="BalloonTextChar"/>
    <w:uiPriority w:val="99"/>
    <w:semiHidden/>
    <w:unhideWhenUsed/>
    <w:rsid w:val="0029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C3"/>
    <w:rPr>
      <w:rFonts w:ascii="Segoe UI" w:hAnsi="Segoe UI" w:cs="Segoe UI"/>
      <w:sz w:val="18"/>
      <w:szCs w:val="18"/>
    </w:rPr>
  </w:style>
  <w:style w:type="paragraph" w:styleId="TOCHeading">
    <w:name w:val="TOC Heading"/>
    <w:basedOn w:val="Heading1"/>
    <w:next w:val="Normal"/>
    <w:uiPriority w:val="39"/>
    <w:unhideWhenUsed/>
    <w:qFormat/>
    <w:rsid w:val="00B8714C"/>
    <w:pPr>
      <w:keepLines/>
      <w:numPr>
        <w:numId w:val="0"/>
      </w:numPr>
      <w:spacing w:before="240" w:after="0" w:line="259" w:lineRule="auto"/>
      <w:outlineLvl w:val="9"/>
    </w:pPr>
    <w:rPr>
      <w:rFonts w:asciiTheme="majorHAnsi" w:eastAsiaTheme="majorEastAsia" w:hAnsiTheme="majorHAnsi" w:cstheme="majorBidi"/>
      <w:b w:val="0"/>
      <w:bCs w:val="0"/>
      <w:caps w:val="0"/>
      <w:color w:val="0E353E" w:themeColor="accent1" w:themeShade="BF"/>
      <w:sz w:val="32"/>
      <w:szCs w:val="32"/>
      <w:lang w:val="en-US"/>
    </w:rPr>
  </w:style>
  <w:style w:type="paragraph" w:styleId="TOC1">
    <w:name w:val="toc 1"/>
    <w:basedOn w:val="Normal"/>
    <w:next w:val="Normal"/>
    <w:autoRedefine/>
    <w:uiPriority w:val="39"/>
    <w:unhideWhenUsed/>
    <w:rsid w:val="00D37773"/>
    <w:pPr>
      <w:tabs>
        <w:tab w:val="left" w:pos="360"/>
        <w:tab w:val="right" w:leader="dot" w:pos="9016"/>
      </w:tabs>
      <w:spacing w:after="100"/>
    </w:pPr>
    <w:rPr>
      <w:rFonts w:eastAsia="Times New Roman" w:cstheme="minorHAnsi"/>
      <w:b/>
      <w:bCs/>
      <w:noProof/>
      <w:kern w:val="1"/>
      <w:lang w:eastAsia="ar-SA"/>
    </w:rPr>
  </w:style>
  <w:style w:type="character" w:styleId="Hyperlink">
    <w:name w:val="Hyperlink"/>
    <w:basedOn w:val="DefaultParagraphFont"/>
    <w:uiPriority w:val="99"/>
    <w:unhideWhenUsed/>
    <w:rsid w:val="00B8714C"/>
    <w:rPr>
      <w:color w:val="48B9D5" w:themeColor="hyperlink"/>
      <w:u w:val="single"/>
    </w:rPr>
  </w:style>
  <w:style w:type="paragraph" w:styleId="Subtitle">
    <w:name w:val="Subtitle"/>
    <w:basedOn w:val="Normal"/>
    <w:next w:val="Normal"/>
    <w:link w:val="SubtitleChar"/>
    <w:uiPriority w:val="11"/>
    <w:qFormat/>
    <w:rsid w:val="00B871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714C"/>
    <w:rPr>
      <w:rFonts w:eastAsiaTheme="minorEastAsia"/>
      <w:color w:val="5A5A5A" w:themeColor="text1" w:themeTint="A5"/>
      <w:spacing w:val="15"/>
    </w:rPr>
  </w:style>
  <w:style w:type="paragraph" w:customStyle="1" w:styleId="Bullet">
    <w:name w:val="Bullet"/>
    <w:basedOn w:val="ListParagraph"/>
    <w:link w:val="BulletChar"/>
    <w:qFormat/>
    <w:rsid w:val="00540B29"/>
    <w:pPr>
      <w:spacing w:line="276" w:lineRule="auto"/>
      <w:ind w:left="0"/>
    </w:pPr>
    <w:rPr>
      <w:rFonts w:ascii="Trebuchet MS" w:eastAsia="MS Gothic" w:hAnsi="Trebuchet MS"/>
      <w:bCs/>
      <w:szCs w:val="32"/>
      <w:lang w:eastAsia="en-GB"/>
    </w:rPr>
  </w:style>
  <w:style w:type="paragraph" w:customStyle="1" w:styleId="Textbullet">
    <w:name w:val="Text bullet"/>
    <w:basedOn w:val="Bullet"/>
    <w:link w:val="TextbulletChar"/>
    <w:qFormat/>
    <w:rsid w:val="00540B29"/>
  </w:style>
  <w:style w:type="character" w:customStyle="1" w:styleId="TextbulletChar">
    <w:name w:val="Text bullet Char"/>
    <w:basedOn w:val="DefaultParagraphFont"/>
    <w:link w:val="Textbullet"/>
    <w:rsid w:val="00540B29"/>
    <w:rPr>
      <w:rFonts w:ascii="Trebuchet MS" w:eastAsia="MS Gothic" w:hAnsi="Trebuchet MS" w:cstheme="minorHAnsi"/>
      <w:bCs/>
      <w:color w:val="000000" w:themeColor="text1"/>
      <w:szCs w:val="32"/>
      <w:lang w:val="ro-RO" w:eastAsia="en-GB" w:bidi="ne-NP"/>
    </w:rPr>
  </w:style>
  <w:style w:type="paragraph" w:customStyle="1" w:styleId="Default">
    <w:name w:val="Default"/>
    <w:rsid w:val="00C559AC"/>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C559AC"/>
    <w:pPr>
      <w:spacing w:after="0" w:line="240" w:lineRule="auto"/>
    </w:pPr>
    <w:rPr>
      <w:lang w:val="en-US"/>
    </w:rPr>
  </w:style>
  <w:style w:type="table" w:styleId="ListTable6Colorful-Accent1">
    <w:name w:val="List Table 6 Colorful Accent 1"/>
    <w:basedOn w:val="TableNormal"/>
    <w:uiPriority w:val="51"/>
    <w:rsid w:val="000B5DEA"/>
    <w:pPr>
      <w:spacing w:after="0" w:line="240" w:lineRule="auto"/>
      <w:jc w:val="both"/>
    </w:pPr>
    <w:rPr>
      <w:color w:val="0E353E" w:themeColor="accent1" w:themeShade="BF"/>
    </w:rPr>
    <w:tblPr>
      <w:tblStyleRowBandSize w:val="1"/>
      <w:tblStyleColBandSize w:val="1"/>
      <w:tblBorders>
        <w:top w:val="single" w:sz="4" w:space="0" w:color="134753" w:themeColor="accent1"/>
        <w:bottom w:val="single" w:sz="4" w:space="0" w:color="134753" w:themeColor="accent1"/>
      </w:tblBorders>
    </w:tblPr>
    <w:tblStylePr w:type="firstRow">
      <w:rPr>
        <w:b/>
        <w:bCs/>
      </w:rPr>
      <w:tblPr/>
      <w:tcPr>
        <w:tcBorders>
          <w:bottom w:val="single" w:sz="4" w:space="0" w:color="134753" w:themeColor="accent1"/>
        </w:tcBorders>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ListTable3-Accent1">
    <w:name w:val="List Table 3 Accent 1"/>
    <w:basedOn w:val="TableNormal"/>
    <w:uiPriority w:val="48"/>
    <w:rsid w:val="000B5DEA"/>
    <w:pPr>
      <w:spacing w:after="0" w:line="240" w:lineRule="auto"/>
    </w:pPr>
    <w:rPr>
      <w:lang w:val="ro-RO"/>
    </w:rPr>
    <w:tblPr>
      <w:tblStyleRowBandSize w:val="1"/>
      <w:tblStyleColBandSize w:val="1"/>
      <w:tblBorders>
        <w:top w:val="single" w:sz="4" w:space="0" w:color="134753" w:themeColor="accent1"/>
        <w:left w:val="single" w:sz="4" w:space="0" w:color="134753" w:themeColor="accent1"/>
        <w:bottom w:val="single" w:sz="4" w:space="0" w:color="134753" w:themeColor="accent1"/>
        <w:right w:val="single" w:sz="4" w:space="0" w:color="134753" w:themeColor="accent1"/>
      </w:tblBorders>
    </w:tblPr>
    <w:tblStylePr w:type="firstRow">
      <w:rPr>
        <w:b/>
        <w:bCs/>
        <w:color w:val="FFFFFF" w:themeColor="background1"/>
      </w:rPr>
      <w:tblPr/>
      <w:tcPr>
        <w:shd w:val="clear" w:color="auto" w:fill="134753" w:themeFill="accent1"/>
      </w:tcPr>
    </w:tblStylePr>
    <w:tblStylePr w:type="lastRow">
      <w:rPr>
        <w:b/>
        <w:bCs/>
      </w:rPr>
      <w:tblPr/>
      <w:tcPr>
        <w:tcBorders>
          <w:top w:val="double" w:sz="4" w:space="0" w:color="1347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4753" w:themeColor="accent1"/>
          <w:right w:val="single" w:sz="4" w:space="0" w:color="134753" w:themeColor="accent1"/>
        </w:tcBorders>
      </w:tcPr>
    </w:tblStylePr>
    <w:tblStylePr w:type="band1Horz">
      <w:tblPr/>
      <w:tcPr>
        <w:tcBorders>
          <w:top w:val="single" w:sz="4" w:space="0" w:color="134753" w:themeColor="accent1"/>
          <w:bottom w:val="single" w:sz="4" w:space="0" w:color="1347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themeColor="accent1"/>
          <w:left w:val="nil"/>
        </w:tcBorders>
      </w:tcPr>
    </w:tblStylePr>
    <w:tblStylePr w:type="swCell">
      <w:tblPr/>
      <w:tcPr>
        <w:tcBorders>
          <w:top w:val="double" w:sz="4" w:space="0" w:color="134753" w:themeColor="accent1"/>
          <w:right w:val="nil"/>
        </w:tcBorders>
      </w:tcPr>
    </w:tblStylePr>
  </w:style>
  <w:style w:type="table" w:styleId="GridTable6Colorful-Accent3">
    <w:name w:val="Grid Table 6 Colorful Accent 3"/>
    <w:basedOn w:val="TableNormal"/>
    <w:uiPriority w:val="51"/>
    <w:rsid w:val="001D385D"/>
    <w:pPr>
      <w:spacing w:after="0" w:line="240" w:lineRule="auto"/>
    </w:pPr>
    <w:rPr>
      <w:color w:val="5F5F5F" w:themeColor="accent3" w:themeShade="BF"/>
      <w:lang w:val="ro-RO"/>
    </w:r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1Light-Accent11">
    <w:name w:val="Grid Table 1 Light - Accent 11"/>
    <w:basedOn w:val="TableNormal"/>
    <w:uiPriority w:val="46"/>
    <w:rsid w:val="00B4627F"/>
    <w:pPr>
      <w:spacing w:after="0" w:line="240" w:lineRule="auto"/>
    </w:p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Strong">
    <w:name w:val="Strong"/>
    <w:aliases w:val="Bold"/>
    <w:qFormat/>
    <w:rsid w:val="009F750F"/>
    <w:rPr>
      <w:rFonts w:cs="Times New Roman"/>
      <w:b/>
    </w:rPr>
  </w:style>
  <w:style w:type="numbering" w:customStyle="1" w:styleId="WWOutlineListStyle5">
    <w:name w:val="WW_OutlineListStyle_5"/>
    <w:rsid w:val="00DF6348"/>
    <w:pPr>
      <w:numPr>
        <w:numId w:val="3"/>
      </w:numPr>
    </w:pPr>
  </w:style>
  <w:style w:type="table" w:styleId="GridTable4-Accent1">
    <w:name w:val="Grid Table 4 Accent 1"/>
    <w:basedOn w:val="TableNormal"/>
    <w:uiPriority w:val="49"/>
    <w:rsid w:val="00B04598"/>
    <w:pPr>
      <w:spacing w:after="0" w:line="240" w:lineRule="auto"/>
    </w:pPr>
    <w:rPr>
      <w:lang w:val="en-US"/>
    </w:r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customStyle="1" w:styleId="GridTable2-Accent11">
    <w:name w:val="Grid Table 2 - Accent 11"/>
    <w:basedOn w:val="TableNormal"/>
    <w:uiPriority w:val="47"/>
    <w:rsid w:val="006B3D0F"/>
    <w:pPr>
      <w:spacing w:after="0" w:line="240" w:lineRule="auto"/>
      <w:jc w:val="both"/>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character" w:customStyle="1" w:styleId="BulletChar">
    <w:name w:val="Bullet Char"/>
    <w:basedOn w:val="ListParagraphChar"/>
    <w:link w:val="Bullet"/>
    <w:rsid w:val="00FE4E31"/>
    <w:rPr>
      <w:rFonts w:ascii="Trebuchet MS" w:eastAsia="MS Gothic" w:hAnsi="Trebuchet MS" w:cstheme="minorHAnsi"/>
      <w:bCs/>
      <w:color w:val="000000" w:themeColor="text1"/>
      <w:sz w:val="20"/>
      <w:szCs w:val="32"/>
      <w:lang w:val="ro-RO" w:eastAsia="en-GB" w:bidi="ne-NP"/>
    </w:rPr>
  </w:style>
  <w:style w:type="paragraph" w:customStyle="1" w:styleId="Focus">
    <w:name w:val="Focus"/>
    <w:basedOn w:val="Normal"/>
    <w:link w:val="FocusChar"/>
    <w:qFormat/>
    <w:rsid w:val="00407836"/>
    <w:pPr>
      <w:keepNext/>
      <w:spacing w:after="120" w:line="240" w:lineRule="auto"/>
      <w:jc w:val="both"/>
    </w:pPr>
    <w:rPr>
      <w:rFonts w:eastAsia="SimSun" w:cs="Cambria"/>
      <w:b/>
      <w:caps/>
      <w:color w:val="ABCD3A" w:themeColor="text2"/>
      <w:lang w:val="lt-LT"/>
    </w:rPr>
  </w:style>
  <w:style w:type="character" w:customStyle="1" w:styleId="FocusChar">
    <w:name w:val="Focus Char"/>
    <w:basedOn w:val="DefaultParagraphFont"/>
    <w:link w:val="Focus"/>
    <w:rsid w:val="00407836"/>
    <w:rPr>
      <w:rFonts w:eastAsia="SimSun" w:cs="Cambria"/>
      <w:b/>
      <w:caps/>
      <w:color w:val="ABCD3A" w:themeColor="text2"/>
      <w:lang w:val="lt-LT"/>
    </w:rPr>
  </w:style>
  <w:style w:type="table" w:customStyle="1" w:styleId="Civittatable">
    <w:name w:val="Civitta table"/>
    <w:basedOn w:val="TableNormal"/>
    <w:uiPriority w:val="99"/>
    <w:rsid w:val="00D463A6"/>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ABCD3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LidPara">
    <w:name w:val="LidPara"/>
    <w:basedOn w:val="Normal"/>
    <w:link w:val="LidParaCaracter"/>
    <w:autoRedefine/>
    <w:qFormat/>
    <w:rsid w:val="00737D54"/>
    <w:pPr>
      <w:shd w:val="clear" w:color="auto" w:fill="F2F2F2" w:themeFill="accent5" w:themeFillTint="33"/>
      <w:spacing w:after="0" w:line="280" w:lineRule="atLeast"/>
    </w:pPr>
    <w:rPr>
      <w:rFonts w:ascii="Arial" w:hAnsi="Arial"/>
      <w:sz w:val="18"/>
      <w:lang w:val="en-GB"/>
    </w:rPr>
  </w:style>
  <w:style w:type="character" w:customStyle="1" w:styleId="LidParaCaracter">
    <w:name w:val="LidPara Caracter"/>
    <w:basedOn w:val="DefaultParagraphFont"/>
    <w:link w:val="LidPara"/>
    <w:rsid w:val="00737D54"/>
    <w:rPr>
      <w:rFonts w:ascii="Arial" w:hAnsi="Arial"/>
      <w:sz w:val="18"/>
      <w:shd w:val="clear" w:color="auto" w:fill="F2F2F2" w:themeFill="accent5" w:themeFillTint="33"/>
    </w:rPr>
  </w:style>
  <w:style w:type="table" w:styleId="PlainTable1">
    <w:name w:val="Plain Table 1"/>
    <w:basedOn w:val="TableNormal"/>
    <w:uiPriority w:val="41"/>
    <w:rsid w:val="00210F6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E9358C"/>
    <w:pPr>
      <w:spacing w:after="0" w:line="240" w:lineRule="auto"/>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GridTable1Light-Accent1">
    <w:name w:val="Grid Table 1 Light Accent 1"/>
    <w:basedOn w:val="TableNormal"/>
    <w:uiPriority w:val="46"/>
    <w:rsid w:val="00A557FA"/>
    <w:pPr>
      <w:spacing w:after="0" w:line="240" w:lineRule="auto"/>
    </w:pPr>
    <w:tblPr>
      <w:tblStyleRowBandSize w:val="1"/>
      <w:tblStyleColBandSize w:val="1"/>
      <w:tblBorders>
        <w:top w:val="single" w:sz="4" w:space="0" w:color="7ACDE0" w:themeColor="accent1" w:themeTint="66"/>
        <w:left w:val="single" w:sz="4" w:space="0" w:color="7ACDE0" w:themeColor="accent1" w:themeTint="66"/>
        <w:bottom w:val="single" w:sz="4" w:space="0" w:color="7ACDE0" w:themeColor="accent1" w:themeTint="66"/>
        <w:right w:val="single" w:sz="4" w:space="0" w:color="7ACDE0" w:themeColor="accent1" w:themeTint="66"/>
        <w:insideH w:val="single" w:sz="4" w:space="0" w:color="7ACDE0" w:themeColor="accent1" w:themeTint="66"/>
        <w:insideV w:val="single" w:sz="4" w:space="0" w:color="7ACDE0" w:themeColor="accent1" w:themeTint="66"/>
      </w:tblBorders>
    </w:tblPr>
    <w:tblStylePr w:type="firstRow">
      <w:rPr>
        <w:b/>
        <w:bCs/>
      </w:rPr>
      <w:tblPr/>
      <w:tcPr>
        <w:tcBorders>
          <w:bottom w:val="single" w:sz="12" w:space="0" w:color="37B4D1" w:themeColor="accent1" w:themeTint="99"/>
        </w:tcBorders>
      </w:tcPr>
    </w:tblStylePr>
    <w:tblStylePr w:type="lastRow">
      <w:rPr>
        <w:b/>
        <w:bCs/>
      </w:rPr>
      <w:tblPr/>
      <w:tcPr>
        <w:tcBorders>
          <w:top w:val="double" w:sz="2" w:space="0" w:color="37B4D1"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1F5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qFormat/>
    <w:rsid w:val="00CB77E0"/>
    <w:pPr>
      <w:spacing w:after="0" w:line="240" w:lineRule="auto"/>
      <w:jc w:val="both"/>
    </w:pPr>
    <w:rPr>
      <w:rFonts w:eastAsia="SimSun" w:cs="Cambria"/>
      <w:bCs/>
      <w:szCs w:val="20"/>
      <w:lang w:val="en-US" w:eastAsia="ja-JP"/>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CB77E0"/>
    <w:rPr>
      <w:rFonts w:eastAsia="SimSun" w:cs="Cambria"/>
      <w:bCs/>
      <w:sz w:val="20"/>
      <w:szCs w:val="20"/>
      <w:lang w:val="en-US" w:eastAsia="ja-JP"/>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
    <w:basedOn w:val="DefaultParagraphFont"/>
    <w:link w:val="FootnotesymbolCharCaracterChar"/>
    <w:uiPriority w:val="99"/>
    <w:qFormat/>
    <w:rsid w:val="00CB77E0"/>
    <w:rPr>
      <w:vertAlign w:val="superscript"/>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CB77E0"/>
    <w:pPr>
      <w:spacing w:line="240" w:lineRule="exact"/>
    </w:pPr>
    <w:rPr>
      <w:vertAlign w:val="superscript"/>
      <w:lang w:val="en-GB"/>
    </w:rPr>
  </w:style>
  <w:style w:type="paragraph" w:customStyle="1" w:styleId="demo-img">
    <w:name w:val="demo-img"/>
    <w:basedOn w:val="Normal"/>
    <w:rsid w:val="00CB77E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UnresolvedMention">
    <w:name w:val="Unresolved Mention"/>
    <w:basedOn w:val="DefaultParagraphFont"/>
    <w:uiPriority w:val="99"/>
    <w:semiHidden/>
    <w:unhideWhenUsed/>
    <w:rsid w:val="008B6E99"/>
    <w:rPr>
      <w:color w:val="605E5C"/>
      <w:shd w:val="clear" w:color="auto" w:fill="E1DFDD"/>
    </w:rPr>
  </w:style>
  <w:style w:type="paragraph" w:styleId="NormalWeb">
    <w:name w:val="Normal (Web)"/>
    <w:basedOn w:val="Normal"/>
    <w:uiPriority w:val="99"/>
    <w:semiHidden/>
    <w:unhideWhenUsed/>
    <w:rsid w:val="00711F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064E1"/>
    <w:rPr>
      <w:color w:val="134753" w:themeColor="followedHyperlink"/>
      <w:u w:val="single"/>
    </w:rPr>
  </w:style>
  <w:style w:type="paragraph" w:customStyle="1" w:styleId="yiv4170638939msonormal">
    <w:name w:val="yiv4170638939msonormal"/>
    <w:basedOn w:val="Normal"/>
    <w:rsid w:val="000A2307"/>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Text1">
    <w:name w:val="Text 1"/>
    <w:basedOn w:val="Normal"/>
    <w:link w:val="Text1Char"/>
    <w:rsid w:val="00CC6B5B"/>
    <w:pPr>
      <w:spacing w:before="120" w:after="120" w:line="240" w:lineRule="auto"/>
      <w:ind w:left="850"/>
      <w:jc w:val="both"/>
    </w:pPr>
    <w:rPr>
      <w:rFonts w:ascii="Times New Roman" w:eastAsia="Times New Roman" w:hAnsi="Times New Roman" w:cs="Times New Roman"/>
      <w:sz w:val="24"/>
      <w:szCs w:val="24"/>
      <w:lang w:val="en-GB"/>
    </w:rPr>
  </w:style>
  <w:style w:type="character" w:customStyle="1" w:styleId="Text1Char">
    <w:name w:val="Text 1 Char"/>
    <w:link w:val="Text1"/>
    <w:locked/>
    <w:rsid w:val="00CC6B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8739">
      <w:bodyDiv w:val="1"/>
      <w:marLeft w:val="0"/>
      <w:marRight w:val="0"/>
      <w:marTop w:val="0"/>
      <w:marBottom w:val="0"/>
      <w:divBdr>
        <w:top w:val="none" w:sz="0" w:space="0" w:color="auto"/>
        <w:left w:val="none" w:sz="0" w:space="0" w:color="auto"/>
        <w:bottom w:val="none" w:sz="0" w:space="0" w:color="auto"/>
        <w:right w:val="none" w:sz="0" w:space="0" w:color="auto"/>
      </w:divBdr>
      <w:divsChild>
        <w:div w:id="521282843">
          <w:marLeft w:val="0"/>
          <w:marRight w:val="0"/>
          <w:marTop w:val="0"/>
          <w:marBottom w:val="0"/>
          <w:divBdr>
            <w:top w:val="none" w:sz="0" w:space="0" w:color="auto"/>
            <w:left w:val="none" w:sz="0" w:space="0" w:color="auto"/>
            <w:bottom w:val="none" w:sz="0" w:space="0" w:color="auto"/>
            <w:right w:val="none" w:sz="0" w:space="0" w:color="auto"/>
          </w:divBdr>
        </w:div>
      </w:divsChild>
    </w:div>
    <w:div w:id="339546278">
      <w:bodyDiv w:val="1"/>
      <w:marLeft w:val="0"/>
      <w:marRight w:val="0"/>
      <w:marTop w:val="0"/>
      <w:marBottom w:val="0"/>
      <w:divBdr>
        <w:top w:val="none" w:sz="0" w:space="0" w:color="auto"/>
        <w:left w:val="none" w:sz="0" w:space="0" w:color="auto"/>
        <w:bottom w:val="none" w:sz="0" w:space="0" w:color="auto"/>
        <w:right w:val="none" w:sz="0" w:space="0" w:color="auto"/>
      </w:divBdr>
    </w:div>
    <w:div w:id="518356187">
      <w:bodyDiv w:val="1"/>
      <w:marLeft w:val="0"/>
      <w:marRight w:val="0"/>
      <w:marTop w:val="0"/>
      <w:marBottom w:val="0"/>
      <w:divBdr>
        <w:top w:val="none" w:sz="0" w:space="0" w:color="auto"/>
        <w:left w:val="none" w:sz="0" w:space="0" w:color="auto"/>
        <w:bottom w:val="none" w:sz="0" w:space="0" w:color="auto"/>
        <w:right w:val="none" w:sz="0" w:space="0" w:color="auto"/>
      </w:divBdr>
    </w:div>
    <w:div w:id="587033545">
      <w:bodyDiv w:val="1"/>
      <w:marLeft w:val="0"/>
      <w:marRight w:val="0"/>
      <w:marTop w:val="0"/>
      <w:marBottom w:val="0"/>
      <w:divBdr>
        <w:top w:val="none" w:sz="0" w:space="0" w:color="auto"/>
        <w:left w:val="none" w:sz="0" w:space="0" w:color="auto"/>
        <w:bottom w:val="none" w:sz="0" w:space="0" w:color="auto"/>
        <w:right w:val="none" w:sz="0" w:space="0" w:color="auto"/>
      </w:divBdr>
      <w:divsChild>
        <w:div w:id="1910537419">
          <w:marLeft w:val="0"/>
          <w:marRight w:val="0"/>
          <w:marTop w:val="0"/>
          <w:marBottom w:val="0"/>
          <w:divBdr>
            <w:top w:val="none" w:sz="0" w:space="0" w:color="auto"/>
            <w:left w:val="none" w:sz="0" w:space="0" w:color="auto"/>
            <w:bottom w:val="none" w:sz="0" w:space="0" w:color="auto"/>
            <w:right w:val="none" w:sz="0" w:space="0" w:color="auto"/>
          </w:divBdr>
        </w:div>
      </w:divsChild>
    </w:div>
    <w:div w:id="726610154">
      <w:bodyDiv w:val="1"/>
      <w:marLeft w:val="0"/>
      <w:marRight w:val="0"/>
      <w:marTop w:val="0"/>
      <w:marBottom w:val="0"/>
      <w:divBdr>
        <w:top w:val="none" w:sz="0" w:space="0" w:color="auto"/>
        <w:left w:val="none" w:sz="0" w:space="0" w:color="auto"/>
        <w:bottom w:val="none" w:sz="0" w:space="0" w:color="auto"/>
        <w:right w:val="none" w:sz="0" w:space="0" w:color="auto"/>
      </w:divBdr>
      <w:divsChild>
        <w:div w:id="391583503">
          <w:marLeft w:val="0"/>
          <w:marRight w:val="0"/>
          <w:marTop w:val="0"/>
          <w:marBottom w:val="0"/>
          <w:divBdr>
            <w:top w:val="none" w:sz="0" w:space="0" w:color="auto"/>
            <w:left w:val="none" w:sz="0" w:space="0" w:color="auto"/>
            <w:bottom w:val="none" w:sz="0" w:space="0" w:color="auto"/>
            <w:right w:val="none" w:sz="0" w:space="0" w:color="auto"/>
          </w:divBdr>
        </w:div>
        <w:div w:id="596712042">
          <w:marLeft w:val="0"/>
          <w:marRight w:val="0"/>
          <w:marTop w:val="0"/>
          <w:marBottom w:val="0"/>
          <w:divBdr>
            <w:top w:val="none" w:sz="0" w:space="0" w:color="auto"/>
            <w:left w:val="none" w:sz="0" w:space="0" w:color="auto"/>
            <w:bottom w:val="none" w:sz="0" w:space="0" w:color="auto"/>
            <w:right w:val="none" w:sz="0" w:space="0" w:color="auto"/>
          </w:divBdr>
        </w:div>
        <w:div w:id="1576553757">
          <w:marLeft w:val="0"/>
          <w:marRight w:val="0"/>
          <w:marTop w:val="0"/>
          <w:marBottom w:val="0"/>
          <w:divBdr>
            <w:top w:val="none" w:sz="0" w:space="0" w:color="auto"/>
            <w:left w:val="none" w:sz="0" w:space="0" w:color="auto"/>
            <w:bottom w:val="none" w:sz="0" w:space="0" w:color="auto"/>
            <w:right w:val="none" w:sz="0" w:space="0" w:color="auto"/>
          </w:divBdr>
        </w:div>
        <w:div w:id="1941908594">
          <w:marLeft w:val="0"/>
          <w:marRight w:val="0"/>
          <w:marTop w:val="0"/>
          <w:marBottom w:val="0"/>
          <w:divBdr>
            <w:top w:val="none" w:sz="0" w:space="0" w:color="auto"/>
            <w:left w:val="none" w:sz="0" w:space="0" w:color="auto"/>
            <w:bottom w:val="none" w:sz="0" w:space="0" w:color="auto"/>
            <w:right w:val="none" w:sz="0" w:space="0" w:color="auto"/>
          </w:divBdr>
        </w:div>
        <w:div w:id="699940645">
          <w:marLeft w:val="0"/>
          <w:marRight w:val="0"/>
          <w:marTop w:val="0"/>
          <w:marBottom w:val="0"/>
          <w:divBdr>
            <w:top w:val="none" w:sz="0" w:space="0" w:color="auto"/>
            <w:left w:val="none" w:sz="0" w:space="0" w:color="auto"/>
            <w:bottom w:val="none" w:sz="0" w:space="0" w:color="auto"/>
            <w:right w:val="none" w:sz="0" w:space="0" w:color="auto"/>
          </w:divBdr>
        </w:div>
        <w:div w:id="1982807776">
          <w:marLeft w:val="0"/>
          <w:marRight w:val="0"/>
          <w:marTop w:val="0"/>
          <w:marBottom w:val="0"/>
          <w:divBdr>
            <w:top w:val="none" w:sz="0" w:space="0" w:color="auto"/>
            <w:left w:val="none" w:sz="0" w:space="0" w:color="auto"/>
            <w:bottom w:val="none" w:sz="0" w:space="0" w:color="auto"/>
            <w:right w:val="none" w:sz="0" w:space="0" w:color="auto"/>
          </w:divBdr>
        </w:div>
      </w:divsChild>
    </w:div>
    <w:div w:id="1001931917">
      <w:bodyDiv w:val="1"/>
      <w:marLeft w:val="0"/>
      <w:marRight w:val="0"/>
      <w:marTop w:val="0"/>
      <w:marBottom w:val="0"/>
      <w:divBdr>
        <w:top w:val="none" w:sz="0" w:space="0" w:color="auto"/>
        <w:left w:val="none" w:sz="0" w:space="0" w:color="auto"/>
        <w:bottom w:val="none" w:sz="0" w:space="0" w:color="auto"/>
        <w:right w:val="none" w:sz="0" w:space="0" w:color="auto"/>
      </w:divBdr>
    </w:div>
    <w:div w:id="1068188308">
      <w:bodyDiv w:val="1"/>
      <w:marLeft w:val="0"/>
      <w:marRight w:val="0"/>
      <w:marTop w:val="0"/>
      <w:marBottom w:val="0"/>
      <w:divBdr>
        <w:top w:val="none" w:sz="0" w:space="0" w:color="auto"/>
        <w:left w:val="none" w:sz="0" w:space="0" w:color="auto"/>
        <w:bottom w:val="none" w:sz="0" w:space="0" w:color="auto"/>
        <w:right w:val="none" w:sz="0" w:space="0" w:color="auto"/>
      </w:divBdr>
    </w:div>
    <w:div w:id="1112894804">
      <w:bodyDiv w:val="1"/>
      <w:marLeft w:val="0"/>
      <w:marRight w:val="0"/>
      <w:marTop w:val="0"/>
      <w:marBottom w:val="0"/>
      <w:divBdr>
        <w:top w:val="none" w:sz="0" w:space="0" w:color="auto"/>
        <w:left w:val="none" w:sz="0" w:space="0" w:color="auto"/>
        <w:bottom w:val="none" w:sz="0" w:space="0" w:color="auto"/>
        <w:right w:val="none" w:sz="0" w:space="0" w:color="auto"/>
      </w:divBdr>
      <w:divsChild>
        <w:div w:id="863061432">
          <w:marLeft w:val="0"/>
          <w:marRight w:val="0"/>
          <w:marTop w:val="0"/>
          <w:marBottom w:val="0"/>
          <w:divBdr>
            <w:top w:val="none" w:sz="0" w:space="0" w:color="auto"/>
            <w:left w:val="none" w:sz="0" w:space="0" w:color="auto"/>
            <w:bottom w:val="none" w:sz="0" w:space="0" w:color="auto"/>
            <w:right w:val="none" w:sz="0" w:space="0" w:color="auto"/>
          </w:divBdr>
        </w:div>
        <w:div w:id="1146236546">
          <w:marLeft w:val="0"/>
          <w:marRight w:val="0"/>
          <w:marTop w:val="0"/>
          <w:marBottom w:val="0"/>
          <w:divBdr>
            <w:top w:val="none" w:sz="0" w:space="0" w:color="auto"/>
            <w:left w:val="none" w:sz="0" w:space="0" w:color="auto"/>
            <w:bottom w:val="none" w:sz="0" w:space="0" w:color="auto"/>
            <w:right w:val="none" w:sz="0" w:space="0" w:color="auto"/>
          </w:divBdr>
        </w:div>
      </w:divsChild>
    </w:div>
    <w:div w:id="1502350121">
      <w:bodyDiv w:val="1"/>
      <w:marLeft w:val="0"/>
      <w:marRight w:val="0"/>
      <w:marTop w:val="0"/>
      <w:marBottom w:val="0"/>
      <w:divBdr>
        <w:top w:val="none" w:sz="0" w:space="0" w:color="auto"/>
        <w:left w:val="none" w:sz="0" w:space="0" w:color="auto"/>
        <w:bottom w:val="none" w:sz="0" w:space="0" w:color="auto"/>
        <w:right w:val="none" w:sz="0" w:space="0" w:color="auto"/>
      </w:divBdr>
    </w:div>
    <w:div w:id="1640501710">
      <w:bodyDiv w:val="1"/>
      <w:marLeft w:val="0"/>
      <w:marRight w:val="0"/>
      <w:marTop w:val="0"/>
      <w:marBottom w:val="0"/>
      <w:divBdr>
        <w:top w:val="none" w:sz="0" w:space="0" w:color="auto"/>
        <w:left w:val="none" w:sz="0" w:space="0" w:color="auto"/>
        <w:bottom w:val="none" w:sz="0" w:space="0" w:color="auto"/>
        <w:right w:val="none" w:sz="0" w:space="0" w:color="auto"/>
      </w:divBdr>
    </w:div>
    <w:div w:id="1653832986">
      <w:bodyDiv w:val="1"/>
      <w:marLeft w:val="0"/>
      <w:marRight w:val="0"/>
      <w:marTop w:val="0"/>
      <w:marBottom w:val="0"/>
      <w:divBdr>
        <w:top w:val="none" w:sz="0" w:space="0" w:color="auto"/>
        <w:left w:val="none" w:sz="0" w:space="0" w:color="auto"/>
        <w:bottom w:val="none" w:sz="0" w:space="0" w:color="auto"/>
        <w:right w:val="none" w:sz="0" w:space="0" w:color="auto"/>
      </w:divBdr>
    </w:div>
    <w:div w:id="1810173514">
      <w:bodyDiv w:val="1"/>
      <w:marLeft w:val="0"/>
      <w:marRight w:val="0"/>
      <w:marTop w:val="0"/>
      <w:marBottom w:val="0"/>
      <w:divBdr>
        <w:top w:val="none" w:sz="0" w:space="0" w:color="auto"/>
        <w:left w:val="none" w:sz="0" w:space="0" w:color="auto"/>
        <w:bottom w:val="none" w:sz="0" w:space="0" w:color="auto"/>
        <w:right w:val="none" w:sz="0" w:space="0" w:color="auto"/>
      </w:divBdr>
    </w:div>
    <w:div w:id="1956061701">
      <w:bodyDiv w:val="1"/>
      <w:marLeft w:val="0"/>
      <w:marRight w:val="0"/>
      <w:marTop w:val="0"/>
      <w:marBottom w:val="0"/>
      <w:divBdr>
        <w:top w:val="none" w:sz="0" w:space="0" w:color="auto"/>
        <w:left w:val="none" w:sz="0" w:space="0" w:color="auto"/>
        <w:bottom w:val="none" w:sz="0" w:space="0" w:color="auto"/>
        <w:right w:val="none" w:sz="0" w:space="0" w:color="auto"/>
      </w:divBdr>
    </w:div>
    <w:div w:id="20004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168046253e" TargetMode="External"/><Relationship Id="rId18" Type="http://schemas.openxmlformats.org/officeDocument/2006/relationships/hyperlink" Target="https://anes.gov.ro/wp-content/uploads/2021/05/Studiu-privind-prevalenta-formelor-de-violenta-impotriva-femeilor.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oi.org/10.1186/s12877-016-0395-y" TargetMode="External"/><Relationship Id="rId17" Type="http://schemas.openxmlformats.org/officeDocument/2006/relationships/hyperlink" Target="https://ec.europa.eu/eurostat/documents/3217494/11478057/KS-02-20-655-EN-N.pdf/9b09606c-d4e8-4c33-63d2-3b20d5c19c91" TargetMode="External"/><Relationship Id="rId2" Type="http://schemas.openxmlformats.org/officeDocument/2006/relationships/customXml" Target="../customXml/item2.xml"/><Relationship Id="rId16" Type="http://schemas.openxmlformats.org/officeDocument/2006/relationships/hyperlink" Target="https://www.ecdc.europa.eu/sites/default/files/documents/Increase-fatal-cases-of-COVID-19-among-long-term-care-facility-residents.pdf" TargetMode="External"/><Relationship Id="rId20" Type="http://schemas.openxmlformats.org/officeDocument/2006/relationships/hyperlink" Target="https://www.servicii-sociale.gov.ro/ro/persoane-varstn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who.int/en/media-centre/sections/statements/2020/statement-invest-in-the-overlooked-and-unsung-build-sustainable-people-centred-long-term-care-in-the-wake-of-covid-1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urofound.europa.eu/publications/blog/protecting-access-to-healthcare-during-covid-19-and-beyond?&amp;utm_campaign=living-conditions-and-quality-of-life&amp;utm_content=ef21014&amp;utm_source=facebook&amp;utm_medium=social-network&amp;fbclid=IwAR0akJmu_uKrauzn6J21QzeoXRlYkdHJgSoB2dcpHbE9AcSDrNysNjNVXP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uro.who.int/__data/assets/pdf_file/0008/426383/LTC-Romani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User1/Downloads/2016.5491_mh0416665enn_pdfweb_20170215100610%20(1).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ți un document nou." ma:contentTypeScope="" ma:versionID="b769ce894ac0beba22d2c81baf63d661">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306a387333dc4cf87562f8c6051b78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33805-CCC5-4766-90EC-9E20C8C51A51}">
  <ds:schemaRefs>
    <ds:schemaRef ds:uri="http://schemas.microsoft.com/office/2006/metadata/properties"/>
    <ds:schemaRef ds:uri="http://www.w3.org/XML/1998/namespace"/>
    <ds:schemaRef ds:uri="025c4d69-e2cb-41d0-b1d7-b41d2bc2d5ce"/>
    <ds:schemaRef ds:uri="http://schemas.microsoft.com/office/2006/documentManagement/types"/>
    <ds:schemaRef ds:uri="http://schemas.openxmlformats.org/package/2006/metadata/core-properties"/>
    <ds:schemaRef ds:uri="bb03434f-1c44-4812-8878-7288edb94d38"/>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C9998761-F7D5-4EF8-9236-D05211706B6B}">
  <ds:schemaRefs>
    <ds:schemaRef ds:uri="http://schemas.microsoft.com/sharepoint/v3/contenttype/forms"/>
  </ds:schemaRefs>
</ds:datastoreItem>
</file>

<file path=customXml/itemProps3.xml><?xml version="1.0" encoding="utf-8"?>
<ds:datastoreItem xmlns:ds="http://schemas.openxmlformats.org/officeDocument/2006/customXml" ds:itemID="{253D55EA-8DB5-42C0-8B76-9FEFC32C57B7}">
  <ds:schemaRefs>
    <ds:schemaRef ds:uri="http://schemas.openxmlformats.org/officeDocument/2006/bibliography"/>
  </ds:schemaRefs>
</ds:datastoreItem>
</file>

<file path=customXml/itemProps4.xml><?xml version="1.0" encoding="utf-8"?>
<ds:datastoreItem xmlns:ds="http://schemas.openxmlformats.org/officeDocument/2006/customXml" ds:itemID="{B7D4D35F-2B55-4EA8-80B8-AA16C3564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8</Pages>
  <Words>3929</Words>
  <Characters>22397</Characters>
  <Application>Microsoft Office Word</Application>
  <DocSecurity>0</DocSecurity>
  <Lines>186</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26274</CharactersWithSpaces>
  <SharedDoc>false</SharedDoc>
  <HLinks>
    <vt:vector size="144" baseType="variant">
      <vt:variant>
        <vt:i4>3997727</vt:i4>
      </vt:variant>
      <vt:variant>
        <vt:i4>141</vt:i4>
      </vt:variant>
      <vt:variant>
        <vt:i4>0</vt:i4>
      </vt:variant>
      <vt:variant>
        <vt:i4>5</vt:i4>
      </vt:variant>
      <vt:variant>
        <vt:lpwstr>mailto:gdpr@lideea.eu</vt:lpwstr>
      </vt:variant>
      <vt:variant>
        <vt:lpwstr/>
      </vt:variant>
      <vt:variant>
        <vt:i4>1572915</vt:i4>
      </vt:variant>
      <vt:variant>
        <vt:i4>134</vt:i4>
      </vt:variant>
      <vt:variant>
        <vt:i4>0</vt:i4>
      </vt:variant>
      <vt:variant>
        <vt:i4>5</vt:i4>
      </vt:variant>
      <vt:variant>
        <vt:lpwstr/>
      </vt:variant>
      <vt:variant>
        <vt:lpwstr>_Toc65493320</vt:lpwstr>
      </vt:variant>
      <vt:variant>
        <vt:i4>1114160</vt:i4>
      </vt:variant>
      <vt:variant>
        <vt:i4>128</vt:i4>
      </vt:variant>
      <vt:variant>
        <vt:i4>0</vt:i4>
      </vt:variant>
      <vt:variant>
        <vt:i4>5</vt:i4>
      </vt:variant>
      <vt:variant>
        <vt:lpwstr/>
      </vt:variant>
      <vt:variant>
        <vt:lpwstr>_Toc65493319</vt:lpwstr>
      </vt:variant>
      <vt:variant>
        <vt:i4>1048624</vt:i4>
      </vt:variant>
      <vt:variant>
        <vt:i4>122</vt:i4>
      </vt:variant>
      <vt:variant>
        <vt:i4>0</vt:i4>
      </vt:variant>
      <vt:variant>
        <vt:i4>5</vt:i4>
      </vt:variant>
      <vt:variant>
        <vt:lpwstr/>
      </vt:variant>
      <vt:variant>
        <vt:lpwstr>_Toc65493318</vt:lpwstr>
      </vt:variant>
      <vt:variant>
        <vt:i4>2031664</vt:i4>
      </vt:variant>
      <vt:variant>
        <vt:i4>116</vt:i4>
      </vt:variant>
      <vt:variant>
        <vt:i4>0</vt:i4>
      </vt:variant>
      <vt:variant>
        <vt:i4>5</vt:i4>
      </vt:variant>
      <vt:variant>
        <vt:lpwstr/>
      </vt:variant>
      <vt:variant>
        <vt:lpwstr>_Toc65493317</vt:lpwstr>
      </vt:variant>
      <vt:variant>
        <vt:i4>1966128</vt:i4>
      </vt:variant>
      <vt:variant>
        <vt:i4>110</vt:i4>
      </vt:variant>
      <vt:variant>
        <vt:i4>0</vt:i4>
      </vt:variant>
      <vt:variant>
        <vt:i4>5</vt:i4>
      </vt:variant>
      <vt:variant>
        <vt:lpwstr/>
      </vt:variant>
      <vt:variant>
        <vt:lpwstr>_Toc65493316</vt:lpwstr>
      </vt:variant>
      <vt:variant>
        <vt:i4>1900592</vt:i4>
      </vt:variant>
      <vt:variant>
        <vt:i4>104</vt:i4>
      </vt:variant>
      <vt:variant>
        <vt:i4>0</vt:i4>
      </vt:variant>
      <vt:variant>
        <vt:i4>5</vt:i4>
      </vt:variant>
      <vt:variant>
        <vt:lpwstr/>
      </vt:variant>
      <vt:variant>
        <vt:lpwstr>_Toc65493315</vt:lpwstr>
      </vt:variant>
      <vt:variant>
        <vt:i4>1835056</vt:i4>
      </vt:variant>
      <vt:variant>
        <vt:i4>98</vt:i4>
      </vt:variant>
      <vt:variant>
        <vt:i4>0</vt:i4>
      </vt:variant>
      <vt:variant>
        <vt:i4>5</vt:i4>
      </vt:variant>
      <vt:variant>
        <vt:lpwstr/>
      </vt:variant>
      <vt:variant>
        <vt:lpwstr>_Toc65493314</vt:lpwstr>
      </vt:variant>
      <vt:variant>
        <vt:i4>1769520</vt:i4>
      </vt:variant>
      <vt:variant>
        <vt:i4>92</vt:i4>
      </vt:variant>
      <vt:variant>
        <vt:i4>0</vt:i4>
      </vt:variant>
      <vt:variant>
        <vt:i4>5</vt:i4>
      </vt:variant>
      <vt:variant>
        <vt:lpwstr/>
      </vt:variant>
      <vt:variant>
        <vt:lpwstr>_Toc65493313</vt:lpwstr>
      </vt:variant>
      <vt:variant>
        <vt:i4>1703984</vt:i4>
      </vt:variant>
      <vt:variant>
        <vt:i4>86</vt:i4>
      </vt:variant>
      <vt:variant>
        <vt:i4>0</vt:i4>
      </vt:variant>
      <vt:variant>
        <vt:i4>5</vt:i4>
      </vt:variant>
      <vt:variant>
        <vt:lpwstr/>
      </vt:variant>
      <vt:variant>
        <vt:lpwstr>_Toc65493312</vt:lpwstr>
      </vt:variant>
      <vt:variant>
        <vt:i4>1638448</vt:i4>
      </vt:variant>
      <vt:variant>
        <vt:i4>80</vt:i4>
      </vt:variant>
      <vt:variant>
        <vt:i4>0</vt:i4>
      </vt:variant>
      <vt:variant>
        <vt:i4>5</vt:i4>
      </vt:variant>
      <vt:variant>
        <vt:lpwstr/>
      </vt:variant>
      <vt:variant>
        <vt:lpwstr>_Toc65493311</vt:lpwstr>
      </vt:variant>
      <vt:variant>
        <vt:i4>1572912</vt:i4>
      </vt:variant>
      <vt:variant>
        <vt:i4>74</vt:i4>
      </vt:variant>
      <vt:variant>
        <vt:i4>0</vt:i4>
      </vt:variant>
      <vt:variant>
        <vt:i4>5</vt:i4>
      </vt:variant>
      <vt:variant>
        <vt:lpwstr/>
      </vt:variant>
      <vt:variant>
        <vt:lpwstr>_Toc65493310</vt:lpwstr>
      </vt:variant>
      <vt:variant>
        <vt:i4>1114161</vt:i4>
      </vt:variant>
      <vt:variant>
        <vt:i4>68</vt:i4>
      </vt:variant>
      <vt:variant>
        <vt:i4>0</vt:i4>
      </vt:variant>
      <vt:variant>
        <vt:i4>5</vt:i4>
      </vt:variant>
      <vt:variant>
        <vt:lpwstr/>
      </vt:variant>
      <vt:variant>
        <vt:lpwstr>_Toc65493309</vt:lpwstr>
      </vt:variant>
      <vt:variant>
        <vt:i4>1048625</vt:i4>
      </vt:variant>
      <vt:variant>
        <vt:i4>62</vt:i4>
      </vt:variant>
      <vt:variant>
        <vt:i4>0</vt:i4>
      </vt:variant>
      <vt:variant>
        <vt:i4>5</vt:i4>
      </vt:variant>
      <vt:variant>
        <vt:lpwstr/>
      </vt:variant>
      <vt:variant>
        <vt:lpwstr>_Toc65493308</vt:lpwstr>
      </vt:variant>
      <vt:variant>
        <vt:i4>2031665</vt:i4>
      </vt:variant>
      <vt:variant>
        <vt:i4>56</vt:i4>
      </vt:variant>
      <vt:variant>
        <vt:i4>0</vt:i4>
      </vt:variant>
      <vt:variant>
        <vt:i4>5</vt:i4>
      </vt:variant>
      <vt:variant>
        <vt:lpwstr/>
      </vt:variant>
      <vt:variant>
        <vt:lpwstr>_Toc65493307</vt:lpwstr>
      </vt:variant>
      <vt:variant>
        <vt:i4>1966129</vt:i4>
      </vt:variant>
      <vt:variant>
        <vt:i4>50</vt:i4>
      </vt:variant>
      <vt:variant>
        <vt:i4>0</vt:i4>
      </vt:variant>
      <vt:variant>
        <vt:i4>5</vt:i4>
      </vt:variant>
      <vt:variant>
        <vt:lpwstr/>
      </vt:variant>
      <vt:variant>
        <vt:lpwstr>_Toc65493306</vt:lpwstr>
      </vt:variant>
      <vt:variant>
        <vt:i4>1900593</vt:i4>
      </vt:variant>
      <vt:variant>
        <vt:i4>44</vt:i4>
      </vt:variant>
      <vt:variant>
        <vt:i4>0</vt:i4>
      </vt:variant>
      <vt:variant>
        <vt:i4>5</vt:i4>
      </vt:variant>
      <vt:variant>
        <vt:lpwstr/>
      </vt:variant>
      <vt:variant>
        <vt:lpwstr>_Toc65493305</vt:lpwstr>
      </vt:variant>
      <vt:variant>
        <vt:i4>1835057</vt:i4>
      </vt:variant>
      <vt:variant>
        <vt:i4>38</vt:i4>
      </vt:variant>
      <vt:variant>
        <vt:i4>0</vt:i4>
      </vt:variant>
      <vt:variant>
        <vt:i4>5</vt:i4>
      </vt:variant>
      <vt:variant>
        <vt:lpwstr/>
      </vt:variant>
      <vt:variant>
        <vt:lpwstr>_Toc65493304</vt:lpwstr>
      </vt:variant>
      <vt:variant>
        <vt:i4>1769521</vt:i4>
      </vt:variant>
      <vt:variant>
        <vt:i4>32</vt:i4>
      </vt:variant>
      <vt:variant>
        <vt:i4>0</vt:i4>
      </vt:variant>
      <vt:variant>
        <vt:i4>5</vt:i4>
      </vt:variant>
      <vt:variant>
        <vt:lpwstr/>
      </vt:variant>
      <vt:variant>
        <vt:lpwstr>_Toc65493303</vt:lpwstr>
      </vt:variant>
      <vt:variant>
        <vt:i4>1703985</vt:i4>
      </vt:variant>
      <vt:variant>
        <vt:i4>26</vt:i4>
      </vt:variant>
      <vt:variant>
        <vt:i4>0</vt:i4>
      </vt:variant>
      <vt:variant>
        <vt:i4>5</vt:i4>
      </vt:variant>
      <vt:variant>
        <vt:lpwstr/>
      </vt:variant>
      <vt:variant>
        <vt:lpwstr>_Toc65493302</vt:lpwstr>
      </vt:variant>
      <vt:variant>
        <vt:i4>1638449</vt:i4>
      </vt:variant>
      <vt:variant>
        <vt:i4>20</vt:i4>
      </vt:variant>
      <vt:variant>
        <vt:i4>0</vt:i4>
      </vt:variant>
      <vt:variant>
        <vt:i4>5</vt:i4>
      </vt:variant>
      <vt:variant>
        <vt:lpwstr/>
      </vt:variant>
      <vt:variant>
        <vt:lpwstr>_Toc65493301</vt:lpwstr>
      </vt:variant>
      <vt:variant>
        <vt:i4>1572913</vt:i4>
      </vt:variant>
      <vt:variant>
        <vt:i4>14</vt:i4>
      </vt:variant>
      <vt:variant>
        <vt:i4>0</vt:i4>
      </vt:variant>
      <vt:variant>
        <vt:i4>5</vt:i4>
      </vt:variant>
      <vt:variant>
        <vt:lpwstr/>
      </vt:variant>
      <vt:variant>
        <vt:lpwstr>_Toc65493300</vt:lpwstr>
      </vt:variant>
      <vt:variant>
        <vt:i4>1048632</vt:i4>
      </vt:variant>
      <vt:variant>
        <vt:i4>8</vt:i4>
      </vt:variant>
      <vt:variant>
        <vt:i4>0</vt:i4>
      </vt:variant>
      <vt:variant>
        <vt:i4>5</vt:i4>
      </vt:variant>
      <vt:variant>
        <vt:lpwstr/>
      </vt:variant>
      <vt:variant>
        <vt:lpwstr>_Toc65493299</vt:lpwstr>
      </vt:variant>
      <vt:variant>
        <vt:i4>1114168</vt:i4>
      </vt:variant>
      <vt:variant>
        <vt:i4>2</vt:i4>
      </vt:variant>
      <vt:variant>
        <vt:i4>0</vt:i4>
      </vt:variant>
      <vt:variant>
        <vt:i4>5</vt:i4>
      </vt:variant>
      <vt:variant>
        <vt:lpwstr/>
      </vt:variant>
      <vt:variant>
        <vt:lpwstr>_Toc65493298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Alexandra Salcudean</cp:lastModifiedBy>
  <cp:revision>282</cp:revision>
  <cp:lastPrinted>2020-07-29T06:16:00Z</cp:lastPrinted>
  <dcterms:created xsi:type="dcterms:W3CDTF">2021-03-03T06:21:00Z</dcterms:created>
  <dcterms:modified xsi:type="dcterms:W3CDTF">2022-01-05T06:34:00Z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