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6182" w14:textId="77777777" w:rsidR="009F750F" w:rsidRPr="00991E05" w:rsidRDefault="009F750F" w:rsidP="009F750F">
      <w:pPr>
        <w:ind w:right="-2"/>
        <w:jc w:val="center"/>
        <w:rPr>
          <w:rFonts w:ascii="Calibri" w:eastAsia="Calibri" w:hAnsi="Calibri" w:cs="Calibri"/>
          <w:b/>
          <w:color w:val="000000"/>
        </w:rPr>
      </w:pPr>
    </w:p>
    <w:p w14:paraId="7704894C" w14:textId="77777777" w:rsidR="009F750F" w:rsidRPr="00991E05" w:rsidRDefault="009F750F" w:rsidP="009F750F">
      <w:pPr>
        <w:ind w:right="-2"/>
        <w:jc w:val="center"/>
        <w:rPr>
          <w:rFonts w:ascii="Calibri" w:eastAsia="Calibri" w:hAnsi="Calibri" w:cs="Calibri"/>
          <w:b/>
          <w:color w:val="000000"/>
        </w:rPr>
      </w:pPr>
    </w:p>
    <w:p w14:paraId="041416FC" w14:textId="77777777" w:rsidR="009F750F" w:rsidRPr="00991E05" w:rsidRDefault="009F750F" w:rsidP="009F750F">
      <w:pPr>
        <w:ind w:right="-2"/>
        <w:jc w:val="center"/>
        <w:rPr>
          <w:rFonts w:ascii="Calibri" w:eastAsia="Calibri" w:hAnsi="Calibri" w:cs="Calibri"/>
          <w:b/>
          <w:color w:val="000000"/>
        </w:rPr>
      </w:pPr>
    </w:p>
    <w:p w14:paraId="11C26418" w14:textId="77777777" w:rsidR="009F750F" w:rsidRPr="00991E05" w:rsidRDefault="009F750F" w:rsidP="009F750F">
      <w:pPr>
        <w:ind w:right="-2"/>
        <w:jc w:val="center"/>
        <w:rPr>
          <w:rFonts w:ascii="Calibri" w:eastAsia="Calibri" w:hAnsi="Calibri" w:cs="Calibri"/>
          <w:b/>
          <w:color w:val="000000"/>
        </w:rPr>
      </w:pPr>
    </w:p>
    <w:p w14:paraId="69869614" w14:textId="77777777" w:rsidR="009F750F" w:rsidRPr="00991E05" w:rsidRDefault="009F750F" w:rsidP="009F750F">
      <w:pPr>
        <w:ind w:right="-2"/>
        <w:jc w:val="center"/>
        <w:rPr>
          <w:rFonts w:ascii="Calibri" w:eastAsia="Calibri" w:hAnsi="Calibri" w:cs="Calibri"/>
          <w:b/>
          <w:color w:val="000000"/>
        </w:rPr>
      </w:pPr>
    </w:p>
    <w:p w14:paraId="6B38614B" w14:textId="77777777" w:rsidR="009F750F" w:rsidRPr="00991E05" w:rsidRDefault="009F750F" w:rsidP="451F68E4">
      <w:pPr>
        <w:ind w:right="-2"/>
        <w:jc w:val="center"/>
        <w:rPr>
          <w:rFonts w:ascii="Calibri" w:eastAsia="Calibri" w:hAnsi="Calibri" w:cs="Calibri"/>
          <w:b/>
          <w:bCs/>
          <w:color w:val="000000"/>
          <w:sz w:val="32"/>
          <w:szCs w:val="32"/>
        </w:rPr>
      </w:pPr>
    </w:p>
    <w:p w14:paraId="6CF966E4" w14:textId="77777777" w:rsidR="009F750F" w:rsidRPr="00991E05" w:rsidRDefault="009F750F" w:rsidP="451F68E4">
      <w:pPr>
        <w:ind w:right="-2"/>
        <w:jc w:val="center"/>
        <w:rPr>
          <w:rFonts w:ascii="Calibri" w:eastAsia="Calibri" w:hAnsi="Calibri" w:cs="Calibri"/>
          <w:b/>
          <w:bCs/>
          <w:color w:val="000000"/>
          <w:sz w:val="32"/>
          <w:szCs w:val="32"/>
        </w:rPr>
      </w:pPr>
    </w:p>
    <w:p w14:paraId="36ED215B" w14:textId="77777777" w:rsidR="009F750F" w:rsidRPr="00991E05" w:rsidRDefault="009F750F" w:rsidP="451F68E4">
      <w:pPr>
        <w:ind w:right="-2"/>
        <w:jc w:val="center"/>
        <w:rPr>
          <w:rFonts w:ascii="Calibri" w:eastAsia="Calibri" w:hAnsi="Calibri" w:cs="Calibri"/>
          <w:b/>
          <w:bCs/>
          <w:color w:val="000000"/>
          <w:sz w:val="32"/>
          <w:szCs w:val="32"/>
        </w:rPr>
      </w:pPr>
    </w:p>
    <w:p w14:paraId="42256285" w14:textId="77777777" w:rsidR="009F750F" w:rsidRPr="00991E05" w:rsidRDefault="009F750F" w:rsidP="451F68E4">
      <w:pPr>
        <w:ind w:right="-2"/>
        <w:jc w:val="center"/>
        <w:rPr>
          <w:rFonts w:ascii="Calibri" w:eastAsia="Calibri" w:hAnsi="Calibri" w:cs="Calibri"/>
          <w:b/>
          <w:bCs/>
          <w:color w:val="000000"/>
          <w:sz w:val="32"/>
          <w:szCs w:val="32"/>
        </w:rPr>
      </w:pPr>
    </w:p>
    <w:p w14:paraId="2F416694" w14:textId="71BB45D7" w:rsidR="009F750F" w:rsidRPr="00991E05"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991E05">
        <w:rPr>
          <w:rFonts w:ascii="Calibri" w:eastAsia="Times New Roman" w:hAnsi="Calibri" w:cs="Calibri"/>
          <w:b/>
          <w:bCs/>
          <w:sz w:val="32"/>
          <w:szCs w:val="32"/>
        </w:rPr>
        <w:t>Evaluarea intervențiilor PO</w:t>
      </w:r>
      <w:r w:rsidR="00B90F55">
        <w:rPr>
          <w:rFonts w:ascii="Calibri" w:eastAsia="Times New Roman" w:hAnsi="Calibri" w:cs="Calibri"/>
          <w:b/>
          <w:bCs/>
          <w:sz w:val="32"/>
          <w:szCs w:val="32"/>
        </w:rPr>
        <w:t>CU</w:t>
      </w:r>
      <w:r w:rsidRPr="00991E05">
        <w:rPr>
          <w:rFonts w:ascii="Calibri" w:eastAsia="Times New Roman" w:hAnsi="Calibri" w:cs="Calibri"/>
          <w:b/>
          <w:bCs/>
          <w:sz w:val="32"/>
          <w:szCs w:val="32"/>
        </w:rPr>
        <w:t xml:space="preserve"> în domeniul incluziunii sociale</w:t>
      </w:r>
    </w:p>
    <w:p w14:paraId="27B80102" w14:textId="6C0AB5BB" w:rsidR="00FD718C" w:rsidRPr="00991E05"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991E05">
        <w:rPr>
          <w:rFonts w:ascii="Calibri" w:eastAsia="Calibri" w:hAnsi="Calibri" w:cs="Calibri"/>
          <w:b/>
          <w:bCs/>
          <w:color w:val="3CA1BC"/>
          <w:sz w:val="32"/>
          <w:szCs w:val="32"/>
          <w:lang w:eastAsia="ar-SA"/>
        </w:rPr>
        <w:t>(</w:t>
      </w:r>
      <w:r w:rsidR="00B90F55">
        <w:rPr>
          <w:rFonts w:ascii="Calibri" w:eastAsia="Calibri" w:hAnsi="Calibri" w:cs="Calibri"/>
          <w:b/>
          <w:bCs/>
          <w:color w:val="3CA1BC"/>
          <w:sz w:val="32"/>
          <w:szCs w:val="32"/>
          <w:lang w:eastAsia="ar-SA"/>
        </w:rPr>
        <w:t>TE 4</w:t>
      </w:r>
      <w:r w:rsidRPr="00991E05">
        <w:rPr>
          <w:rFonts w:ascii="Calibri" w:eastAsia="Calibri" w:hAnsi="Calibri" w:cs="Calibri"/>
          <w:b/>
          <w:bCs/>
          <w:color w:val="3CA1BC"/>
          <w:sz w:val="32"/>
          <w:szCs w:val="32"/>
          <w:lang w:eastAsia="ar-SA"/>
        </w:rPr>
        <w:t>)</w:t>
      </w:r>
      <w:r w:rsidR="00DF5D22" w:rsidRPr="00991E05">
        <w:rPr>
          <w:rFonts w:ascii="Calibri" w:eastAsia="Calibri" w:hAnsi="Calibri" w:cs="Calibri"/>
          <w:b/>
          <w:bCs/>
          <w:color w:val="3CA1BC"/>
          <w:sz w:val="32"/>
          <w:szCs w:val="32"/>
          <w:lang w:eastAsia="ar-SA"/>
        </w:rPr>
        <w:t xml:space="preserve"> </w:t>
      </w:r>
      <w:r w:rsidR="00E227AF">
        <w:rPr>
          <w:rFonts w:ascii="Calibri" w:eastAsia="Calibri" w:hAnsi="Calibri" w:cs="Calibri"/>
          <w:b/>
          <w:bCs/>
          <w:color w:val="3CA1BC"/>
          <w:sz w:val="32"/>
          <w:szCs w:val="32"/>
          <w:lang w:eastAsia="ar-SA"/>
        </w:rPr>
        <w:t>A</w:t>
      </w:r>
      <w:r w:rsidR="00E227AF" w:rsidRPr="00991E05">
        <w:rPr>
          <w:rFonts w:ascii="Calibri" w:eastAsia="Calibri" w:hAnsi="Calibri" w:cs="Calibri"/>
          <w:b/>
          <w:bCs/>
          <w:color w:val="3CA1BC"/>
          <w:sz w:val="32"/>
          <w:szCs w:val="32"/>
          <w:lang w:eastAsia="ar-SA"/>
        </w:rPr>
        <w:t xml:space="preserve">nexa </w:t>
      </w:r>
      <w:r w:rsidR="00044731">
        <w:rPr>
          <w:rFonts w:ascii="Calibri" w:eastAsia="Calibri" w:hAnsi="Calibri" w:cs="Calibri"/>
          <w:b/>
          <w:bCs/>
          <w:color w:val="3CA1BC"/>
          <w:sz w:val="32"/>
          <w:szCs w:val="32"/>
          <w:lang w:eastAsia="ar-SA"/>
        </w:rPr>
        <w:t>1</w:t>
      </w:r>
      <w:r w:rsidR="00C020DD">
        <w:rPr>
          <w:rFonts w:ascii="Calibri" w:eastAsia="Calibri" w:hAnsi="Calibri" w:cs="Calibri"/>
          <w:b/>
          <w:bCs/>
          <w:color w:val="3CA1BC"/>
          <w:sz w:val="32"/>
          <w:szCs w:val="32"/>
          <w:lang w:eastAsia="ar-SA"/>
        </w:rPr>
        <w:t>0</w:t>
      </w:r>
      <w:r w:rsidR="006C1C8E" w:rsidRPr="00991E05">
        <w:rPr>
          <w:rFonts w:ascii="Calibri" w:eastAsia="Calibri" w:hAnsi="Calibri" w:cs="Calibri"/>
          <w:b/>
          <w:bCs/>
          <w:color w:val="3CA1BC"/>
          <w:sz w:val="32"/>
          <w:szCs w:val="32"/>
          <w:lang w:eastAsia="ar-SA"/>
        </w:rPr>
        <w:t>.</w:t>
      </w:r>
      <w:r w:rsidR="009F750F" w:rsidRPr="00991E05">
        <w:rPr>
          <w:rFonts w:ascii="Calibri" w:eastAsia="Calibri" w:hAnsi="Calibri" w:cs="Calibri"/>
          <w:b/>
          <w:bCs/>
          <w:color w:val="3CA1BC"/>
          <w:sz w:val="32"/>
          <w:szCs w:val="32"/>
          <w:lang w:eastAsia="ar-SA"/>
        </w:rPr>
        <w:t xml:space="preserve"> </w:t>
      </w:r>
      <w:r w:rsidR="00E227AF" w:rsidRPr="00857CC2">
        <w:rPr>
          <w:rFonts w:ascii="Calibri" w:eastAsia="Calibri" w:hAnsi="Calibri" w:cs="Calibri"/>
          <w:b/>
          <w:bCs/>
          <w:color w:val="3CA1BC"/>
          <w:sz w:val="32"/>
          <w:szCs w:val="32"/>
          <w:lang w:eastAsia="ar-SA"/>
        </w:rPr>
        <w:t xml:space="preserve">Tabel de corelare </w:t>
      </w:r>
      <w:r w:rsidR="00E227AF">
        <w:rPr>
          <w:rFonts w:ascii="Calibri" w:eastAsia="Calibri" w:hAnsi="Calibri" w:cs="Calibri"/>
          <w:b/>
          <w:bCs/>
          <w:color w:val="3CA1BC"/>
          <w:sz w:val="32"/>
          <w:szCs w:val="32"/>
          <w:lang w:eastAsia="ar-SA"/>
        </w:rPr>
        <w:t>C</w:t>
      </w:r>
      <w:r w:rsidR="00E227AF" w:rsidRPr="00857CC2">
        <w:rPr>
          <w:rFonts w:ascii="Calibri" w:eastAsia="Calibri" w:hAnsi="Calibri" w:cs="Calibri"/>
          <w:b/>
          <w:bCs/>
          <w:color w:val="3CA1BC"/>
          <w:sz w:val="32"/>
          <w:szCs w:val="32"/>
          <w:lang w:eastAsia="ar-SA"/>
        </w:rPr>
        <w:t>onstatări-</w:t>
      </w:r>
      <w:r w:rsidR="00E227AF">
        <w:rPr>
          <w:rFonts w:ascii="Calibri" w:eastAsia="Calibri" w:hAnsi="Calibri" w:cs="Calibri"/>
          <w:b/>
          <w:bCs/>
          <w:color w:val="3CA1BC"/>
          <w:sz w:val="32"/>
          <w:szCs w:val="32"/>
          <w:lang w:eastAsia="ar-SA"/>
        </w:rPr>
        <w:t>C</w:t>
      </w:r>
      <w:r w:rsidR="00E227AF" w:rsidRPr="00857CC2">
        <w:rPr>
          <w:rFonts w:ascii="Calibri" w:eastAsia="Calibri" w:hAnsi="Calibri" w:cs="Calibri"/>
          <w:b/>
          <w:bCs/>
          <w:color w:val="3CA1BC"/>
          <w:sz w:val="32"/>
          <w:szCs w:val="32"/>
          <w:lang w:eastAsia="ar-SA"/>
        </w:rPr>
        <w:t>oncluzii-</w:t>
      </w:r>
      <w:r w:rsidR="00E227AF">
        <w:rPr>
          <w:rFonts w:ascii="Calibri" w:eastAsia="Calibri" w:hAnsi="Calibri" w:cs="Calibri"/>
          <w:b/>
          <w:bCs/>
          <w:color w:val="3CA1BC"/>
          <w:sz w:val="32"/>
          <w:szCs w:val="32"/>
          <w:lang w:eastAsia="ar-SA"/>
        </w:rPr>
        <w:t>R</w:t>
      </w:r>
      <w:r w:rsidR="00E227AF" w:rsidRPr="00857CC2">
        <w:rPr>
          <w:rFonts w:ascii="Calibri" w:eastAsia="Calibri" w:hAnsi="Calibri" w:cs="Calibri"/>
          <w:b/>
          <w:bCs/>
          <w:color w:val="3CA1BC"/>
          <w:sz w:val="32"/>
          <w:szCs w:val="32"/>
          <w:lang w:eastAsia="ar-SA"/>
        </w:rPr>
        <w:t>ecomandări</w:t>
      </w:r>
    </w:p>
    <w:p w14:paraId="0D3D8D98" w14:textId="6C18DA2D" w:rsidR="00B8714C" w:rsidRPr="00991E05" w:rsidRDefault="00B8714C">
      <w:pPr>
        <w:rPr>
          <w:rFonts w:ascii="Calibri" w:eastAsiaTheme="majorEastAsia" w:hAnsi="Calibri" w:cs="Calibri"/>
          <w:i/>
          <w:spacing w:val="-10"/>
          <w:kern w:val="28"/>
        </w:rPr>
      </w:pPr>
    </w:p>
    <w:p w14:paraId="1076D129" w14:textId="3942B915" w:rsidR="00846B8E" w:rsidRPr="00991E05" w:rsidRDefault="00846B8E">
      <w:pPr>
        <w:rPr>
          <w:rFonts w:ascii="Calibri" w:eastAsiaTheme="majorEastAsia" w:hAnsi="Calibri" w:cs="Calibri"/>
          <w:i/>
          <w:spacing w:val="-10"/>
          <w:kern w:val="28"/>
        </w:rPr>
      </w:pPr>
    </w:p>
    <w:p w14:paraId="4FC33464" w14:textId="0EBDD166" w:rsidR="00846B8E" w:rsidRPr="00991E05" w:rsidRDefault="00846B8E">
      <w:pPr>
        <w:rPr>
          <w:rFonts w:ascii="Calibri" w:eastAsiaTheme="majorEastAsia" w:hAnsi="Calibri" w:cs="Calibri"/>
          <w:i/>
          <w:spacing w:val="-10"/>
          <w:kern w:val="28"/>
        </w:rPr>
      </w:pPr>
    </w:p>
    <w:p w14:paraId="2316ED34" w14:textId="6DEED161" w:rsidR="00846B8E" w:rsidRPr="00991E05" w:rsidRDefault="00846B8E">
      <w:pPr>
        <w:rPr>
          <w:rFonts w:ascii="Calibri" w:eastAsiaTheme="majorEastAsia" w:hAnsi="Calibri" w:cs="Calibri"/>
          <w:i/>
          <w:spacing w:val="-10"/>
          <w:kern w:val="28"/>
        </w:rPr>
      </w:pPr>
    </w:p>
    <w:p w14:paraId="7DE363DB" w14:textId="177ABEE0" w:rsidR="006C1C79" w:rsidRPr="00991E05" w:rsidRDefault="006C1C79">
      <w:pPr>
        <w:rPr>
          <w:rFonts w:ascii="Calibri" w:eastAsiaTheme="majorEastAsia" w:hAnsi="Calibri" w:cs="Calibri"/>
          <w:i/>
          <w:spacing w:val="-10"/>
          <w:kern w:val="28"/>
        </w:rPr>
      </w:pPr>
    </w:p>
    <w:p w14:paraId="5AF943A8" w14:textId="27A56B49" w:rsidR="006C1C79" w:rsidRPr="00991E05" w:rsidRDefault="006C1C79">
      <w:pPr>
        <w:rPr>
          <w:rFonts w:ascii="Calibri" w:eastAsiaTheme="majorEastAsia" w:hAnsi="Calibri" w:cs="Calibri"/>
          <w:i/>
          <w:spacing w:val="-10"/>
          <w:kern w:val="28"/>
        </w:rPr>
      </w:pPr>
    </w:p>
    <w:p w14:paraId="10118E8A" w14:textId="4AC37F68" w:rsidR="006C1C79" w:rsidRPr="00991E05" w:rsidRDefault="006C1C79">
      <w:pPr>
        <w:rPr>
          <w:rFonts w:ascii="Calibri" w:eastAsiaTheme="majorEastAsia" w:hAnsi="Calibri" w:cs="Calibri"/>
          <w:i/>
          <w:spacing w:val="-10"/>
          <w:kern w:val="28"/>
        </w:rPr>
      </w:pPr>
    </w:p>
    <w:p w14:paraId="48FB8F8C" w14:textId="75BED4BC" w:rsidR="0056354F" w:rsidRPr="00991E05" w:rsidRDefault="0056354F">
      <w:pPr>
        <w:rPr>
          <w:rFonts w:ascii="Calibri" w:eastAsiaTheme="majorEastAsia" w:hAnsi="Calibri" w:cs="Calibri"/>
          <w:i/>
          <w:spacing w:val="-10"/>
          <w:kern w:val="28"/>
        </w:rPr>
      </w:pPr>
    </w:p>
    <w:p w14:paraId="34F41933" w14:textId="77777777" w:rsidR="0056354F" w:rsidRPr="00991E05" w:rsidRDefault="0056354F">
      <w:pPr>
        <w:rPr>
          <w:rFonts w:ascii="Calibri" w:eastAsiaTheme="majorEastAsia" w:hAnsi="Calibri" w:cs="Calibri"/>
          <w:i/>
          <w:spacing w:val="-10"/>
          <w:kern w:val="28"/>
        </w:rPr>
      </w:pPr>
    </w:p>
    <w:p w14:paraId="6EE75D40" w14:textId="3CF141CF" w:rsidR="006C1C79" w:rsidRPr="00991E05" w:rsidRDefault="006C1C79">
      <w:pPr>
        <w:rPr>
          <w:rFonts w:ascii="Calibri" w:eastAsiaTheme="majorEastAsia" w:hAnsi="Calibri" w:cs="Calibri"/>
          <w:i/>
          <w:spacing w:val="-10"/>
          <w:kern w:val="28"/>
        </w:rPr>
      </w:pPr>
    </w:p>
    <w:p w14:paraId="0E7668DC" w14:textId="6FA17E69" w:rsidR="006C1C79" w:rsidRPr="00991E05" w:rsidRDefault="006C1C79">
      <w:pPr>
        <w:rPr>
          <w:rFonts w:ascii="Calibri" w:eastAsiaTheme="majorEastAsia" w:hAnsi="Calibri" w:cs="Calibri"/>
          <w:i/>
          <w:spacing w:val="-10"/>
          <w:kern w:val="28"/>
        </w:rPr>
      </w:pPr>
    </w:p>
    <w:p w14:paraId="217B6EB8" w14:textId="175343F7" w:rsidR="006C1C79" w:rsidRPr="00991E05" w:rsidRDefault="006C1C79">
      <w:pPr>
        <w:rPr>
          <w:rFonts w:ascii="Calibri" w:eastAsiaTheme="majorEastAsia" w:hAnsi="Calibri" w:cs="Calibri"/>
          <w:i/>
          <w:spacing w:val="-10"/>
          <w:kern w:val="28"/>
        </w:rPr>
      </w:pPr>
    </w:p>
    <w:p w14:paraId="70631A44" w14:textId="24F3A41B" w:rsidR="006C1C79" w:rsidRPr="00991E05" w:rsidRDefault="006C1C79">
      <w:pPr>
        <w:rPr>
          <w:rFonts w:ascii="Calibri" w:eastAsiaTheme="majorEastAsia" w:hAnsi="Calibri" w:cs="Calibri"/>
          <w:i/>
          <w:spacing w:val="-10"/>
          <w:kern w:val="28"/>
        </w:rPr>
      </w:pPr>
    </w:p>
    <w:p w14:paraId="43EFACB5" w14:textId="77777777" w:rsidR="00B8714C" w:rsidRPr="00991E05" w:rsidRDefault="00B8714C" w:rsidP="00DE0D08">
      <w:pPr>
        <w:spacing w:after="0"/>
        <w:jc w:val="center"/>
        <w:rPr>
          <w:rFonts w:ascii="Calibri" w:eastAsiaTheme="majorEastAsia" w:hAnsi="Calibri" w:cs="Calibri"/>
          <w:i/>
          <w:spacing w:val="-10"/>
          <w:kern w:val="28"/>
        </w:rPr>
      </w:pPr>
    </w:p>
    <w:p w14:paraId="15E9AFD0" w14:textId="357C9F72" w:rsidR="00C168DA" w:rsidRDefault="00C168DA" w:rsidP="00CB77E0">
      <w:pPr>
        <w:jc w:val="both"/>
        <w:rPr>
          <w:rFonts w:ascii="Calibri" w:hAnsi="Calibri" w:cs="Calibri"/>
          <w:noProof/>
        </w:rPr>
      </w:pPr>
      <w:bookmarkStart w:id="1" w:name="_Toc40867849"/>
    </w:p>
    <w:p w14:paraId="3FCA4A5B" w14:textId="77777777" w:rsidR="005A6A10" w:rsidRDefault="005A6A10" w:rsidP="00CB77E0">
      <w:pPr>
        <w:jc w:val="both"/>
        <w:rPr>
          <w:rFonts w:ascii="Calibri" w:hAnsi="Calibri"/>
          <w:b/>
        </w:rPr>
        <w:sectPr w:rsidR="005A6A10" w:rsidSect="000B6683">
          <w:headerReference w:type="default" r:id="rId11"/>
          <w:footerReference w:type="default" r:id="rId12"/>
          <w:pgSz w:w="11906" w:h="16838" w:code="9"/>
          <w:pgMar w:top="1440" w:right="1077" w:bottom="1440" w:left="1440" w:header="709" w:footer="709" w:gutter="0"/>
          <w:cols w:space="708"/>
          <w:docGrid w:linePitch="360"/>
        </w:sectPr>
      </w:pPr>
    </w:p>
    <w:tbl>
      <w:tblPr>
        <w:tblStyle w:val="GridTable4-Accent1"/>
        <w:tblW w:w="14820" w:type="dxa"/>
        <w:jc w:val="center"/>
        <w:tblLook w:val="04A0" w:firstRow="1" w:lastRow="0" w:firstColumn="1" w:lastColumn="0" w:noHBand="0" w:noVBand="1"/>
      </w:tblPr>
      <w:tblGrid>
        <w:gridCol w:w="4790"/>
        <w:gridCol w:w="5128"/>
        <w:gridCol w:w="1792"/>
        <w:gridCol w:w="1458"/>
        <w:gridCol w:w="1652"/>
      </w:tblGrid>
      <w:tr w:rsidR="00551329" w:rsidRPr="00C51500" w14:paraId="41DB064D" w14:textId="77777777" w:rsidTr="004422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252BC90B" w14:textId="3FB139F2" w:rsidR="00551329" w:rsidRPr="00C51500" w:rsidRDefault="00551329" w:rsidP="00A16C96">
            <w:pPr>
              <w:jc w:val="center"/>
              <w:rPr>
                <w:rFonts w:ascii="Calibri" w:hAnsi="Calibri" w:cs="Calibri"/>
                <w:b w:val="0"/>
                <w:sz w:val="18"/>
                <w:szCs w:val="18"/>
              </w:rPr>
            </w:pPr>
            <w:r w:rsidRPr="00C51500">
              <w:rPr>
                <w:rFonts w:ascii="Calibri" w:hAnsi="Calibri" w:cs="Calibri"/>
                <w:sz w:val="18"/>
                <w:szCs w:val="18"/>
              </w:rPr>
              <w:lastRenderedPageBreak/>
              <w:t>Recomandări</w:t>
            </w:r>
            <w:r w:rsidR="00CA0980" w:rsidRPr="00C51500">
              <w:rPr>
                <w:rFonts w:ascii="Calibri" w:hAnsi="Calibri" w:cs="Calibri"/>
                <w:sz w:val="18"/>
                <w:szCs w:val="18"/>
              </w:rPr>
              <w:t xml:space="preserve"> TE 4</w:t>
            </w:r>
          </w:p>
        </w:tc>
        <w:tc>
          <w:tcPr>
            <w:tcW w:w="5128" w:type="dxa"/>
            <w:vAlign w:val="center"/>
          </w:tcPr>
          <w:p w14:paraId="1BCC624C" w14:textId="77777777" w:rsidR="00551329" w:rsidRPr="00C51500" w:rsidRDefault="00551329"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C51500">
              <w:rPr>
                <w:rFonts w:ascii="Calibri" w:hAnsi="Calibri" w:cs="Calibri"/>
                <w:sz w:val="18"/>
                <w:szCs w:val="18"/>
              </w:rPr>
              <w:t>Concluzii</w:t>
            </w:r>
          </w:p>
        </w:tc>
        <w:tc>
          <w:tcPr>
            <w:tcW w:w="1792" w:type="dxa"/>
            <w:vAlign w:val="center"/>
          </w:tcPr>
          <w:p w14:paraId="0AE3B309" w14:textId="6C181BBB" w:rsidR="00551329" w:rsidRPr="00C51500" w:rsidRDefault="00A16C96"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C51500">
              <w:rPr>
                <w:rFonts w:ascii="Calibri" w:hAnsi="Calibri" w:cs="Calibri"/>
                <w:sz w:val="18"/>
                <w:szCs w:val="18"/>
              </w:rPr>
              <w:t>Constatări</w:t>
            </w:r>
          </w:p>
        </w:tc>
        <w:tc>
          <w:tcPr>
            <w:tcW w:w="1458" w:type="dxa"/>
            <w:vAlign w:val="center"/>
          </w:tcPr>
          <w:p w14:paraId="5C58274D" w14:textId="77777777" w:rsidR="00551329" w:rsidRPr="00C51500" w:rsidRDefault="00551329"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C51500">
              <w:rPr>
                <w:rFonts w:ascii="Calibri" w:hAnsi="Calibri" w:cs="Calibri"/>
                <w:sz w:val="18"/>
                <w:szCs w:val="18"/>
              </w:rPr>
              <w:t>Responsabil</w:t>
            </w:r>
          </w:p>
        </w:tc>
        <w:tc>
          <w:tcPr>
            <w:tcW w:w="1652" w:type="dxa"/>
            <w:vAlign w:val="center"/>
          </w:tcPr>
          <w:p w14:paraId="3CE8964E" w14:textId="77777777" w:rsidR="00551329" w:rsidRPr="00C51500" w:rsidRDefault="00551329" w:rsidP="00A16C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C51500">
              <w:rPr>
                <w:rFonts w:ascii="Calibri" w:hAnsi="Calibri" w:cs="Calibri"/>
                <w:sz w:val="18"/>
                <w:szCs w:val="18"/>
              </w:rPr>
              <w:t>Termen</w:t>
            </w:r>
          </w:p>
        </w:tc>
      </w:tr>
      <w:tr w:rsidR="00551329" w:rsidRPr="00C51500" w14:paraId="5E125789" w14:textId="77777777" w:rsidTr="004422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shd w:val="clear" w:color="auto" w:fill="134753" w:themeFill="accent1"/>
            <w:vAlign w:val="center"/>
          </w:tcPr>
          <w:p w14:paraId="10E09F35" w14:textId="77777777" w:rsidR="00551329" w:rsidRPr="00C51500" w:rsidRDefault="00551329" w:rsidP="004422D4">
            <w:pPr>
              <w:jc w:val="both"/>
              <w:rPr>
                <w:rFonts w:ascii="Calibri" w:hAnsi="Calibri" w:cs="Calibri"/>
                <w:b w:val="0"/>
                <w:kern w:val="12"/>
                <w:sz w:val="18"/>
                <w:szCs w:val="18"/>
              </w:rPr>
            </w:pPr>
            <w:r w:rsidRPr="00C51500">
              <w:rPr>
                <w:rFonts w:ascii="Calibri" w:hAnsi="Calibri" w:cs="Calibri"/>
                <w:kern w:val="12"/>
                <w:sz w:val="18"/>
                <w:szCs w:val="18"/>
              </w:rPr>
              <w:t>La nivel de program</w:t>
            </w:r>
          </w:p>
        </w:tc>
        <w:tc>
          <w:tcPr>
            <w:tcW w:w="5128" w:type="dxa"/>
            <w:shd w:val="clear" w:color="auto" w:fill="134753" w:themeFill="accent1"/>
            <w:vAlign w:val="center"/>
          </w:tcPr>
          <w:p w14:paraId="1448627D" w14:textId="77777777" w:rsidR="00551329" w:rsidRPr="00C51500" w:rsidRDefault="00551329" w:rsidP="004422D4">
            <w:pPr>
              <w:tabs>
                <w:tab w:val="left" w:pos="360"/>
              </w:tabs>
              <w:jc w:val="both"/>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rPr>
            </w:pPr>
          </w:p>
        </w:tc>
        <w:tc>
          <w:tcPr>
            <w:tcW w:w="1792" w:type="dxa"/>
            <w:shd w:val="clear" w:color="auto" w:fill="134753" w:themeFill="accent1"/>
            <w:vAlign w:val="center"/>
          </w:tcPr>
          <w:p w14:paraId="37F70BA9" w14:textId="77777777" w:rsidR="00551329" w:rsidRPr="00C51500"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highlight w:val="yellow"/>
              </w:rPr>
            </w:pPr>
          </w:p>
        </w:tc>
        <w:tc>
          <w:tcPr>
            <w:tcW w:w="1458" w:type="dxa"/>
            <w:shd w:val="clear" w:color="auto" w:fill="134753" w:themeFill="accent1"/>
            <w:vAlign w:val="center"/>
          </w:tcPr>
          <w:p w14:paraId="1B87195B" w14:textId="77777777" w:rsidR="00551329" w:rsidRPr="00C51500"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highlight w:val="yellow"/>
              </w:rPr>
            </w:pPr>
          </w:p>
        </w:tc>
        <w:tc>
          <w:tcPr>
            <w:tcW w:w="1652" w:type="dxa"/>
            <w:shd w:val="clear" w:color="auto" w:fill="134753" w:themeFill="accent1"/>
            <w:vAlign w:val="center"/>
          </w:tcPr>
          <w:p w14:paraId="28E46C10" w14:textId="77777777" w:rsidR="00551329" w:rsidRPr="00C51500" w:rsidRDefault="00551329"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
                <w:kern w:val="12"/>
                <w:sz w:val="18"/>
                <w:szCs w:val="18"/>
                <w:highlight w:val="yellow"/>
              </w:rPr>
            </w:pPr>
          </w:p>
        </w:tc>
      </w:tr>
      <w:tr w:rsidR="00551329" w:rsidRPr="00C51500" w14:paraId="7D467D5A" w14:textId="77777777" w:rsidTr="004422D4">
        <w:trPr>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5DFC6E47" w14:textId="1516B7E0" w:rsidR="00551329" w:rsidRPr="00C51500" w:rsidRDefault="77E00B69" w:rsidP="6A8AE304">
            <w:pPr>
              <w:jc w:val="both"/>
              <w:rPr>
                <w:rFonts w:ascii="Calibri" w:eastAsia="Calibri" w:hAnsi="Calibri" w:cs="Calibri"/>
                <w:b w:val="0"/>
                <w:bCs w:val="0"/>
                <w:sz w:val="18"/>
                <w:szCs w:val="18"/>
              </w:rPr>
            </w:pPr>
            <w:r w:rsidRPr="00C51500">
              <w:rPr>
                <w:rFonts w:ascii="Calibri" w:eastAsia="Calibri" w:hAnsi="Calibri" w:cs="Calibri"/>
                <w:b w:val="0"/>
                <w:bCs w:val="0"/>
                <w:sz w:val="18"/>
                <w:szCs w:val="18"/>
              </w:rPr>
              <w:t>R1. Pentru perioada rămasă de implementare acțiunile AM si OIRuri trebuie îndreptate spre accelerarea implementării proiectelor contractate, vizând reducerea termenelor de răspuns, avizare, aprobare a documentelor beneficiarilor și efectuarea plăților.</w:t>
            </w:r>
          </w:p>
          <w:p w14:paraId="3BA78EB2" w14:textId="0386F543" w:rsidR="00551329" w:rsidRPr="00C51500" w:rsidRDefault="00551329" w:rsidP="004422D4">
            <w:pPr>
              <w:jc w:val="both"/>
              <w:rPr>
                <w:rFonts w:ascii="Calibri" w:hAnsi="Calibri" w:cs="Calibri"/>
                <w:b w:val="0"/>
                <w:sz w:val="18"/>
                <w:szCs w:val="18"/>
              </w:rPr>
            </w:pPr>
          </w:p>
        </w:tc>
        <w:tc>
          <w:tcPr>
            <w:tcW w:w="5128" w:type="dxa"/>
            <w:vAlign w:val="center"/>
          </w:tcPr>
          <w:p w14:paraId="5CCD6343" w14:textId="44E7BA4B" w:rsidR="00551329" w:rsidRPr="00C51500" w:rsidRDefault="00794865" w:rsidP="6A8AE304">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C51500">
              <w:rPr>
                <w:rFonts w:ascii="Calibri" w:eastAsia="Calibri" w:hAnsi="Calibri" w:cs="Calibri"/>
                <w:sz w:val="18"/>
                <w:szCs w:val="18"/>
              </w:rPr>
              <w:t>C1. Intervențiile OS 4.4  au un progres limitat  și un grad de îndeplinire a indicatorilor de realizare și rezultat modest, chiar foarte scăzut în cazul rezultatelor.</w:t>
            </w:r>
          </w:p>
          <w:p w14:paraId="261A1C22" w14:textId="40A29AE1" w:rsidR="00551329" w:rsidRPr="00C51500" w:rsidRDefault="00551329" w:rsidP="004422D4">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792" w:type="dxa"/>
            <w:vAlign w:val="center"/>
          </w:tcPr>
          <w:p w14:paraId="32CFD104" w14:textId="192EB996" w:rsidR="007E3B49" w:rsidRPr="00C51500" w:rsidRDefault="00B84489"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51500">
              <w:rPr>
                <w:rFonts w:ascii="Calibri" w:hAnsi="Calibri" w:cs="Calibri"/>
                <w:sz w:val="18"/>
                <w:szCs w:val="18"/>
              </w:rPr>
              <w:t>Cap 1.2.1  descrierea</w:t>
            </w:r>
            <w:r w:rsidR="002505EB" w:rsidRPr="00C51500">
              <w:rPr>
                <w:rFonts w:ascii="Calibri" w:hAnsi="Calibri" w:cs="Calibri"/>
                <w:sz w:val="18"/>
                <w:szCs w:val="18"/>
              </w:rPr>
              <w:t xml:space="preserve"> TE 4 </w:t>
            </w:r>
          </w:p>
          <w:p w14:paraId="52B5FEA5" w14:textId="1DD62B15" w:rsidR="00551329" w:rsidRPr="00C51500" w:rsidRDefault="00F92587"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51500">
              <w:rPr>
                <w:rFonts w:ascii="Calibri" w:hAnsi="Calibri" w:cs="Calibri"/>
                <w:sz w:val="18"/>
                <w:szCs w:val="18"/>
              </w:rPr>
              <w:t xml:space="preserve">Cap 2.6. </w:t>
            </w:r>
          </w:p>
        </w:tc>
        <w:tc>
          <w:tcPr>
            <w:tcW w:w="1458" w:type="dxa"/>
            <w:vAlign w:val="center"/>
          </w:tcPr>
          <w:p w14:paraId="13A55788" w14:textId="77777777" w:rsidR="00551329" w:rsidRPr="00C51500" w:rsidRDefault="00450BC3"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 xml:space="preserve">AM POCU </w:t>
            </w:r>
          </w:p>
          <w:p w14:paraId="5CDF4A60" w14:textId="7FA7C9B4" w:rsidR="00551329" w:rsidRPr="00C51500" w:rsidRDefault="00450BC3"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OIR</w:t>
            </w:r>
          </w:p>
        </w:tc>
        <w:tc>
          <w:tcPr>
            <w:tcW w:w="1652" w:type="dxa"/>
            <w:vAlign w:val="center"/>
          </w:tcPr>
          <w:p w14:paraId="7D353530" w14:textId="2C4DF191" w:rsidR="00551329" w:rsidRPr="00C51500" w:rsidRDefault="00F758B7"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Iunie  2022</w:t>
            </w:r>
          </w:p>
        </w:tc>
      </w:tr>
      <w:tr w:rsidR="00C3045C" w:rsidRPr="00C51500" w14:paraId="2EE9D47A" w14:textId="77777777" w:rsidTr="004422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4BFA4D98" w14:textId="77777777" w:rsidR="00D859BE" w:rsidRPr="00C51500" w:rsidRDefault="00D859BE" w:rsidP="00D859BE">
            <w:pPr>
              <w:suppressAutoHyphens/>
              <w:spacing w:before="120" w:after="240"/>
              <w:rPr>
                <w:b w:val="0"/>
                <w:bCs w:val="0"/>
                <w:sz w:val="18"/>
                <w:szCs w:val="18"/>
              </w:rPr>
            </w:pPr>
            <w:r w:rsidRPr="00C51500">
              <w:rPr>
                <w:b w:val="0"/>
                <w:bCs w:val="0"/>
                <w:iCs/>
                <w:sz w:val="18"/>
                <w:szCs w:val="18"/>
              </w:rPr>
              <w:t xml:space="preserve">R2. </w:t>
            </w:r>
            <w:r w:rsidRPr="00C51500">
              <w:rPr>
                <w:b w:val="0"/>
                <w:bCs w:val="0"/>
                <w:sz w:val="18"/>
                <w:szCs w:val="18"/>
              </w:rPr>
              <w:t>Revizuirea planurilor de implementare, inclusiv formularea unei viziuni clare privind perioada rămasă , alocări, realocări de resurse dacă este cazul, în corelare cu implementarea POIDS, și împărtășirea lor tuturor actorilor pentru a oferi o imagine clară și de încredere privind disponibilitatea finanțărilor pentru serviciile sociale ce vor fi sprijinite.</w:t>
            </w:r>
          </w:p>
          <w:p w14:paraId="45B1E7D3" w14:textId="3578BDC6" w:rsidR="00C3045C" w:rsidRPr="00C51500" w:rsidRDefault="00C3045C" w:rsidP="004422D4">
            <w:pPr>
              <w:jc w:val="both"/>
              <w:rPr>
                <w:rFonts w:ascii="Calibri" w:hAnsi="Calibri" w:cs="Calibri"/>
                <w:sz w:val="18"/>
                <w:szCs w:val="18"/>
              </w:rPr>
            </w:pPr>
          </w:p>
        </w:tc>
        <w:tc>
          <w:tcPr>
            <w:tcW w:w="5128" w:type="dxa"/>
            <w:vAlign w:val="center"/>
          </w:tcPr>
          <w:p w14:paraId="55175135" w14:textId="696D2FDD" w:rsidR="00C3045C" w:rsidRPr="00C51500" w:rsidRDefault="00580BF0" w:rsidP="00FE62DF">
            <w:pPr>
              <w:suppressAutoHyphens/>
              <w:spacing w:before="120" w:after="240"/>
              <w:jc w:val="both"/>
              <w:cnfStyle w:val="000000100000" w:firstRow="0" w:lastRow="0" w:firstColumn="0" w:lastColumn="0" w:oddVBand="0" w:evenVBand="0" w:oddHBand="1" w:evenHBand="0" w:firstRowFirstColumn="0" w:firstRowLastColumn="0" w:lastRowFirstColumn="0" w:lastRowLastColumn="0"/>
              <w:rPr>
                <w:sz w:val="18"/>
                <w:szCs w:val="18"/>
              </w:rPr>
            </w:pPr>
            <w:r w:rsidRPr="00C51500">
              <w:rPr>
                <w:iCs/>
                <w:sz w:val="18"/>
                <w:szCs w:val="18"/>
              </w:rPr>
              <w:t>C3. Implementarea s-a limitat doar la câteva grupuri vulnerabile din paleta largă a OS, adresându-se persoanelor vârstnice, victimelor violenței domestice și persoanelor afectate de pandemia COVID. Evaluarea nu a identificat dovezi privind o abordare strategică de limitare a focalizării pe aceste grupuri vulnerabile și nici viziunea până la finalizarea programului.</w:t>
            </w:r>
          </w:p>
        </w:tc>
        <w:tc>
          <w:tcPr>
            <w:tcW w:w="1792" w:type="dxa"/>
            <w:vAlign w:val="center"/>
          </w:tcPr>
          <w:p w14:paraId="3B3413D1" w14:textId="77777777" w:rsidR="00673198" w:rsidRPr="00C51500" w:rsidRDefault="00673198" w:rsidP="00673198">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C51500">
              <w:rPr>
                <w:rFonts w:ascii="Calibri" w:hAnsi="Calibri" w:cs="Calibri"/>
                <w:sz w:val="18"/>
                <w:szCs w:val="18"/>
              </w:rPr>
              <w:t xml:space="preserve">Cap 1.2.1  descrierea TE 4 </w:t>
            </w:r>
          </w:p>
          <w:p w14:paraId="7A9349FF" w14:textId="195BEA60" w:rsidR="00C3045C" w:rsidRPr="00C51500" w:rsidRDefault="00C3045C" w:rsidP="00A16C96">
            <w:pPr>
              <w:tabs>
                <w:tab w:val="left" w:pos="360"/>
              </w:tabs>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458" w:type="dxa"/>
            <w:vAlign w:val="center"/>
          </w:tcPr>
          <w:p w14:paraId="242F64F3" w14:textId="5CBDFEE8" w:rsidR="00491ABE" w:rsidRPr="00C51500" w:rsidRDefault="00491ABE" w:rsidP="00C51500">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AM POCU</w:t>
            </w:r>
          </w:p>
          <w:p w14:paraId="7F8AC37A" w14:textId="494075E0" w:rsidR="00C3045C" w:rsidRPr="00C51500" w:rsidRDefault="00491ABE" w:rsidP="00C51500">
            <w:pPr>
              <w:tabs>
                <w:tab w:val="left" w:pos="360"/>
              </w:tabs>
              <w:suppressAutoHyphens/>
              <w:spacing w:before="120"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C51500">
              <w:rPr>
                <w:rFonts w:ascii="Calibri" w:hAnsi="Calibri" w:cs="Calibri"/>
                <w:bCs/>
                <w:kern w:val="12"/>
                <w:sz w:val="18"/>
                <w:szCs w:val="18"/>
              </w:rPr>
              <w:t>OIR</w:t>
            </w:r>
          </w:p>
        </w:tc>
        <w:tc>
          <w:tcPr>
            <w:tcW w:w="1652" w:type="dxa"/>
            <w:vAlign w:val="center"/>
          </w:tcPr>
          <w:p w14:paraId="097A2BAA" w14:textId="767F4122" w:rsidR="00C3045C" w:rsidRPr="00C51500" w:rsidRDefault="00F758B7" w:rsidP="00776EFA">
            <w:pPr>
              <w:tabs>
                <w:tab w:val="left" w:pos="360"/>
              </w:tabs>
              <w:suppressAutoHyphens/>
              <w:spacing w:before="120" w:after="240"/>
              <w:jc w:val="center"/>
              <w:cnfStyle w:val="000000100000" w:firstRow="0" w:lastRow="0" w:firstColumn="0" w:lastColumn="0" w:oddVBand="0" w:evenVBand="0" w:oddHBand="1" w:evenHBand="0" w:firstRowFirstColumn="0" w:firstRowLastColumn="0" w:lastRowFirstColumn="0" w:lastRowLastColumn="0"/>
              <w:rPr>
                <w:sz w:val="18"/>
                <w:szCs w:val="18"/>
              </w:rPr>
            </w:pPr>
            <w:r w:rsidRPr="00C51500">
              <w:rPr>
                <w:rFonts w:ascii="Calibri" w:hAnsi="Calibri" w:cs="Calibri"/>
                <w:bCs/>
                <w:kern w:val="12"/>
                <w:sz w:val="18"/>
                <w:szCs w:val="18"/>
              </w:rPr>
              <w:t>Iunie 2022</w:t>
            </w:r>
          </w:p>
        </w:tc>
      </w:tr>
      <w:tr w:rsidR="00551329" w:rsidRPr="00C51500" w14:paraId="0C2FB4A9" w14:textId="77777777" w:rsidTr="004422D4">
        <w:trPr>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0A7E89D3" w14:textId="47C1D6C0" w:rsidR="00551329" w:rsidRPr="00C51500" w:rsidRDefault="00B75025" w:rsidP="004422D4">
            <w:pPr>
              <w:jc w:val="both"/>
              <w:rPr>
                <w:rFonts w:ascii="Calibri" w:hAnsi="Calibri" w:cs="Calibri"/>
                <w:b w:val="0"/>
                <w:bCs w:val="0"/>
                <w:sz w:val="18"/>
                <w:szCs w:val="18"/>
              </w:rPr>
            </w:pPr>
            <w:r w:rsidRPr="00C51500">
              <w:rPr>
                <w:rFonts w:ascii="Calibri" w:hAnsi="Calibri" w:cs="Calibri"/>
                <w:b w:val="0"/>
                <w:bCs w:val="0"/>
                <w:sz w:val="18"/>
                <w:szCs w:val="18"/>
              </w:rPr>
              <w:t>R3. Demararea unui amplu proces de simplificare a implementării programului actual și POIDS. Conceptualizarea procesului de simplificare poate fi obiectul unei evaluări ad-hoc, prin care să se asigure o abordare sistematică cu focalizare pe aspectele cheie, critice pentru succesul simplificării. Metodologia de analiza si rezolvarea a problemelor trebuie sa aibă in vedere implicarea părților interesate, sensibilizarea lor pentru a pregăti implementarea soluțiilor, înțelegerea intereselor și atitudinilor pentru găsirea soluțiilor adecvate.</w:t>
            </w:r>
          </w:p>
        </w:tc>
        <w:tc>
          <w:tcPr>
            <w:tcW w:w="5128" w:type="dxa"/>
            <w:vAlign w:val="center"/>
          </w:tcPr>
          <w:p w14:paraId="6E2F3AA6" w14:textId="1F0482A0" w:rsidR="00551329" w:rsidRPr="00C51500" w:rsidRDefault="00BD53A1" w:rsidP="00A16C96">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C51500">
              <w:rPr>
                <w:rFonts w:ascii="Calibri" w:hAnsi="Calibri" w:cs="Calibri"/>
                <w:bCs/>
                <w:sz w:val="18"/>
                <w:szCs w:val="18"/>
              </w:rPr>
              <w:t>C7. Nevoia de simplificare a proceselor de implementare apare ca o trăsătură esențială a implementării programului, persistentă de la un ciclu de finanțare la altul. Evaluarea relevă o diferență de percepții între autoritățile programului și beneficiari privind nivelul birocrației, pe de o parte perceput ca excesiv de beneficiari, pe de altă parte necesar pentru nivelul de control dorit de către autorități. Simplificarea vizează cerințele de justificare și raportare, eficacitatea și adecvarea instrumentelor de implementare. Cu toate că există dovezi privind simplificarea POCU față de POSDRU, problema rămâne stringentă beneficiarii manifestându-și dezamăgirea privind progresul insuficient. Simplificarea implementării programelor operaționale este o responsabilitate pentru toți actorii implicați pentru a stopa o risipă națională de resurse ce se cumulează la nivelul unui număr foarte mare de proiecte și de-a lungul unei lungi perioade de timp</w:t>
            </w:r>
            <w:r w:rsidR="00FE62DF">
              <w:rPr>
                <w:rFonts w:ascii="Calibri" w:hAnsi="Calibri" w:cs="Calibri"/>
                <w:bCs/>
                <w:sz w:val="18"/>
                <w:szCs w:val="18"/>
              </w:rPr>
              <w:t>.</w:t>
            </w:r>
          </w:p>
        </w:tc>
        <w:tc>
          <w:tcPr>
            <w:tcW w:w="1792" w:type="dxa"/>
            <w:vAlign w:val="center"/>
          </w:tcPr>
          <w:p w14:paraId="0AAE1787" w14:textId="77777777" w:rsidR="0004097B" w:rsidRPr="00C51500" w:rsidRDefault="00032700"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Cap 2.</w:t>
            </w:r>
            <w:r w:rsidR="0004097B" w:rsidRPr="00C51500">
              <w:rPr>
                <w:rFonts w:ascii="Calibri" w:hAnsi="Calibri" w:cs="Calibri"/>
                <w:bCs/>
                <w:kern w:val="12"/>
                <w:sz w:val="18"/>
                <w:szCs w:val="18"/>
              </w:rPr>
              <w:t xml:space="preserve">6 </w:t>
            </w:r>
          </w:p>
          <w:p w14:paraId="24E9E566" w14:textId="3C1848D0" w:rsidR="00551329" w:rsidRPr="00C51500" w:rsidRDefault="0004097B"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 xml:space="preserve">Cap 2.8 </w:t>
            </w:r>
          </w:p>
        </w:tc>
        <w:tc>
          <w:tcPr>
            <w:tcW w:w="1458" w:type="dxa"/>
            <w:vAlign w:val="center"/>
          </w:tcPr>
          <w:p w14:paraId="72989D36" w14:textId="77777777" w:rsidR="00491ABE" w:rsidRPr="00C51500" w:rsidRDefault="00491ABE" w:rsidP="00491ABE">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 xml:space="preserve">MIPE </w:t>
            </w:r>
          </w:p>
          <w:p w14:paraId="71B9CC48" w14:textId="383F61D3" w:rsidR="00491ABE" w:rsidRPr="00C51500" w:rsidRDefault="00491ABE" w:rsidP="00491ABE">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 xml:space="preserve">AM POCU </w:t>
            </w:r>
          </w:p>
          <w:p w14:paraId="3C122D88" w14:textId="7FDED5B9" w:rsidR="00551329" w:rsidRPr="00C51500" w:rsidRDefault="00491ABE"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OIR</w:t>
            </w:r>
          </w:p>
        </w:tc>
        <w:tc>
          <w:tcPr>
            <w:tcW w:w="1652" w:type="dxa"/>
            <w:vAlign w:val="center"/>
          </w:tcPr>
          <w:p w14:paraId="20698C15" w14:textId="77224F43" w:rsidR="00551329" w:rsidRPr="00C51500" w:rsidRDefault="00F758B7"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Iunie 2022</w:t>
            </w:r>
          </w:p>
        </w:tc>
      </w:tr>
      <w:tr w:rsidR="00FB3508" w:rsidRPr="00C51500" w14:paraId="26CF6A21" w14:textId="77777777" w:rsidTr="6A8AE3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Merge w:val="restart"/>
            <w:vAlign w:val="center"/>
          </w:tcPr>
          <w:p w14:paraId="52BFED49" w14:textId="6FE3DD3C" w:rsidR="00873C9E" w:rsidRPr="00C51500" w:rsidRDefault="00FB3508" w:rsidP="00F758B7">
            <w:pPr>
              <w:widowControl w:val="0"/>
              <w:suppressAutoHyphens/>
              <w:spacing w:after="240"/>
              <w:rPr>
                <w:rFonts w:ascii="Calibri" w:hAnsi="Calibri"/>
                <w:sz w:val="18"/>
                <w:szCs w:val="18"/>
              </w:rPr>
            </w:pPr>
            <w:r w:rsidRPr="00C51500">
              <w:rPr>
                <w:rFonts w:ascii="Calibri" w:hAnsi="Calibri" w:cs="Calibri"/>
                <w:sz w:val="18"/>
                <w:szCs w:val="18"/>
              </w:rPr>
              <w:t>R</w:t>
            </w:r>
            <w:r w:rsidR="00F758B7" w:rsidRPr="00C51500">
              <w:rPr>
                <w:rFonts w:ascii="Calibri" w:hAnsi="Calibri" w:cs="Calibri"/>
                <w:sz w:val="18"/>
                <w:szCs w:val="18"/>
              </w:rPr>
              <w:t>4</w:t>
            </w:r>
            <w:r w:rsidRPr="00C51500">
              <w:rPr>
                <w:rFonts w:ascii="Calibri" w:hAnsi="Calibri" w:cs="Calibri"/>
                <w:sz w:val="18"/>
                <w:szCs w:val="18"/>
              </w:rPr>
              <w:t xml:space="preserve">. </w:t>
            </w:r>
            <w:r w:rsidR="00873C9E" w:rsidRPr="00C51500">
              <w:rPr>
                <w:b w:val="0"/>
                <w:bCs w:val="0"/>
                <w:iCs/>
                <w:sz w:val="18"/>
                <w:szCs w:val="18"/>
              </w:rPr>
              <w:t>Preluarea practicilor eficace din experiența acumulată până in prezent, adaptarea si transpunerea lor în viitoarele măsuri finanțate prin POCU si POIDS</w:t>
            </w:r>
          </w:p>
          <w:p w14:paraId="654B9833" w14:textId="27FEF4F8" w:rsidR="00FB3508" w:rsidRPr="00C51500" w:rsidRDefault="00FB3508" w:rsidP="00DB5401">
            <w:pPr>
              <w:jc w:val="both"/>
              <w:rPr>
                <w:rFonts w:ascii="Calibri" w:hAnsi="Calibri" w:cs="Calibri"/>
                <w:sz w:val="18"/>
                <w:szCs w:val="18"/>
              </w:rPr>
            </w:pPr>
          </w:p>
        </w:tc>
        <w:tc>
          <w:tcPr>
            <w:tcW w:w="5128" w:type="dxa"/>
            <w:vAlign w:val="center"/>
          </w:tcPr>
          <w:p w14:paraId="201ACB6C" w14:textId="0B13EF66" w:rsidR="00FB3508" w:rsidRPr="00C51500" w:rsidRDefault="00FB3508" w:rsidP="00DB540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51500">
              <w:rPr>
                <w:rFonts w:ascii="Calibri" w:hAnsi="Calibri" w:cs="Calibri"/>
                <w:bCs/>
                <w:sz w:val="18"/>
                <w:szCs w:val="18"/>
              </w:rPr>
              <w:t xml:space="preserve">C8. Abordările și măsurile care au avut cea mai bună eficacitate includ, dar fără a se limita la acestea: abordarea integrată a multiplelor dimensiuni ale vulnerabilității, implicarea comunității, implicarea UAT-urilor  și asumarea responsabilității pentru accesul la servicii, flexibilitate privind modalitățile de desfășurare a  activităților (îndeosebi în contextul pandemic), capacitatea </w:t>
            </w:r>
            <w:r w:rsidRPr="00C51500">
              <w:rPr>
                <w:rFonts w:ascii="Calibri" w:hAnsi="Calibri" w:cs="Calibri"/>
                <w:bCs/>
                <w:sz w:val="18"/>
                <w:szCs w:val="18"/>
              </w:rPr>
              <w:lastRenderedPageBreak/>
              <w:t>beneficiarilor de finanțare de a furniza complementar alte măsuri de sprijin fața de sprijinul eligibil prin POCU</w:t>
            </w:r>
            <w:r w:rsidR="00FE62DF">
              <w:rPr>
                <w:rFonts w:ascii="Calibri" w:hAnsi="Calibri" w:cs="Calibri"/>
                <w:bCs/>
                <w:sz w:val="18"/>
                <w:szCs w:val="18"/>
              </w:rPr>
              <w:t>.</w:t>
            </w:r>
          </w:p>
        </w:tc>
        <w:tc>
          <w:tcPr>
            <w:tcW w:w="1792" w:type="dxa"/>
            <w:vAlign w:val="center"/>
          </w:tcPr>
          <w:p w14:paraId="03A1CE87"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lastRenderedPageBreak/>
              <w:t xml:space="preserve">Cap 2.2, </w:t>
            </w:r>
          </w:p>
          <w:p w14:paraId="717CB2C2"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Cap 2.6</w:t>
            </w:r>
          </w:p>
          <w:p w14:paraId="57E2B2A3"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Cap 2.8</w:t>
            </w:r>
          </w:p>
          <w:p w14:paraId="3EFAC17B"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c>
          <w:tcPr>
            <w:tcW w:w="1458" w:type="dxa"/>
            <w:vAlign w:val="center"/>
          </w:tcPr>
          <w:p w14:paraId="2EEC024A"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 xml:space="preserve">AM POCU </w:t>
            </w:r>
          </w:p>
          <w:p w14:paraId="34DD5DF5" w14:textId="2F209A04"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OIR</w:t>
            </w:r>
          </w:p>
        </w:tc>
        <w:tc>
          <w:tcPr>
            <w:tcW w:w="1652" w:type="dxa"/>
            <w:vAlign w:val="center"/>
          </w:tcPr>
          <w:p w14:paraId="2B6A446A" w14:textId="079CEFCA" w:rsidR="00FB3508" w:rsidRPr="00C51500" w:rsidRDefault="00CA0980"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Etapizat 2022- 2023</w:t>
            </w:r>
          </w:p>
        </w:tc>
      </w:tr>
      <w:tr w:rsidR="00FB3508" w:rsidRPr="00C51500" w14:paraId="06E6638A" w14:textId="77777777" w:rsidTr="6A8AE304">
        <w:trPr>
          <w:jc w:val="center"/>
        </w:trPr>
        <w:tc>
          <w:tcPr>
            <w:cnfStyle w:val="001000000000" w:firstRow="0" w:lastRow="0" w:firstColumn="1" w:lastColumn="0" w:oddVBand="0" w:evenVBand="0" w:oddHBand="0" w:evenHBand="0" w:firstRowFirstColumn="0" w:firstRowLastColumn="0" w:lastRowFirstColumn="0" w:lastRowLastColumn="0"/>
            <w:tcW w:w="4790" w:type="dxa"/>
            <w:vMerge/>
            <w:vAlign w:val="center"/>
          </w:tcPr>
          <w:p w14:paraId="1CAA00FA" w14:textId="77777777" w:rsidR="00FB3508" w:rsidRPr="00C51500" w:rsidRDefault="00FB3508" w:rsidP="00DB5401">
            <w:pPr>
              <w:jc w:val="both"/>
              <w:rPr>
                <w:rFonts w:ascii="Calibri" w:hAnsi="Calibri" w:cs="Calibri"/>
                <w:sz w:val="18"/>
                <w:szCs w:val="18"/>
              </w:rPr>
            </w:pPr>
          </w:p>
        </w:tc>
        <w:tc>
          <w:tcPr>
            <w:tcW w:w="5128" w:type="dxa"/>
            <w:vAlign w:val="center"/>
          </w:tcPr>
          <w:p w14:paraId="40F434A3" w14:textId="0A66A63F" w:rsidR="00FB3508" w:rsidRPr="00C51500" w:rsidRDefault="00FB3508" w:rsidP="00DB540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C51500">
              <w:rPr>
                <w:rFonts w:ascii="Calibri" w:hAnsi="Calibri" w:cs="Calibri"/>
                <w:bCs/>
                <w:sz w:val="18"/>
                <w:szCs w:val="18"/>
              </w:rPr>
              <w:t>C9. Evaluarea oferă numeroase lecții învățate, experiențe ce trebuie multiplicate sau probleme ce trebuie evitate. Factorii care condiționează succesul intervențiilor cel puțin sub aspectul eficacității impactului și sustenabilității sunt: (1) implicarea UAT ca actor cheie pentru dezvoltarea serviciilor sociale și integrarea lor în comunitate, (2) atragerea de resurse umane competente, atragerea furnizorilor cu capacitate adecvată, atragerea resurselor financiare si coordonarea tuturor resurselor, (3) o alocare a resurselor programului predictibilă pentru a acoperi nevoile de furnizare de servicii, a permite furnizorilor planificarea activităților și minimizarea riscurilor de blocaje financiare</w:t>
            </w:r>
            <w:r w:rsidR="00FE62DF">
              <w:rPr>
                <w:rFonts w:ascii="Calibri" w:hAnsi="Calibri" w:cs="Calibri"/>
                <w:bCs/>
                <w:sz w:val="18"/>
                <w:szCs w:val="18"/>
              </w:rPr>
              <w:t>.</w:t>
            </w:r>
          </w:p>
        </w:tc>
        <w:tc>
          <w:tcPr>
            <w:tcW w:w="1792" w:type="dxa"/>
            <w:vAlign w:val="center"/>
          </w:tcPr>
          <w:p w14:paraId="7394256E" w14:textId="6235EF82" w:rsidR="00FB3508" w:rsidRPr="00C51500" w:rsidRDefault="00FB3508" w:rsidP="00DB5401">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Cap 2.9</w:t>
            </w:r>
          </w:p>
        </w:tc>
        <w:tc>
          <w:tcPr>
            <w:tcW w:w="1458" w:type="dxa"/>
            <w:vAlign w:val="center"/>
          </w:tcPr>
          <w:p w14:paraId="2BA15583" w14:textId="77777777" w:rsidR="00F758B7" w:rsidRPr="00C51500" w:rsidRDefault="00F758B7" w:rsidP="00F758B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 xml:space="preserve">AM POCU </w:t>
            </w:r>
          </w:p>
          <w:p w14:paraId="156CF376" w14:textId="675A5323" w:rsidR="00FB3508" w:rsidRPr="00C51500" w:rsidRDefault="00F758B7" w:rsidP="00F758B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OIR</w:t>
            </w:r>
          </w:p>
        </w:tc>
        <w:tc>
          <w:tcPr>
            <w:tcW w:w="1652" w:type="dxa"/>
            <w:vAlign w:val="center"/>
          </w:tcPr>
          <w:p w14:paraId="0FC4AB25" w14:textId="27E69C61" w:rsidR="00FB3508" w:rsidRPr="00C51500" w:rsidRDefault="00CA0980" w:rsidP="00DB5401">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Etapizat 2022- 2023</w:t>
            </w:r>
          </w:p>
        </w:tc>
      </w:tr>
      <w:tr w:rsidR="00FB3508" w:rsidRPr="00C51500" w14:paraId="680024F5" w14:textId="77777777" w:rsidTr="6A8AE3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vMerge/>
            <w:vAlign w:val="center"/>
          </w:tcPr>
          <w:p w14:paraId="07B7E92E" w14:textId="77777777" w:rsidR="00FB3508" w:rsidRPr="00C51500" w:rsidRDefault="00FB3508" w:rsidP="00DB5401">
            <w:pPr>
              <w:jc w:val="both"/>
              <w:rPr>
                <w:rFonts w:ascii="Calibri" w:hAnsi="Calibri" w:cs="Calibri"/>
                <w:sz w:val="18"/>
                <w:szCs w:val="18"/>
              </w:rPr>
            </w:pPr>
          </w:p>
        </w:tc>
        <w:tc>
          <w:tcPr>
            <w:tcW w:w="5128" w:type="dxa"/>
            <w:vAlign w:val="center"/>
          </w:tcPr>
          <w:p w14:paraId="35793924" w14:textId="4A323BFF" w:rsidR="00FB3508" w:rsidRPr="00C51500" w:rsidRDefault="00FB3508" w:rsidP="00DB540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C51500">
              <w:rPr>
                <w:rFonts w:ascii="Calibri" w:hAnsi="Calibri" w:cs="Calibri"/>
                <w:bCs/>
                <w:sz w:val="18"/>
                <w:szCs w:val="18"/>
              </w:rPr>
              <w:t>C4. Intervențiile au avut efecte pozitive asupra beneficiarilor finali, înregistrându-se o îmbunătățire a calității vieții în cazul vârstnicilor, a victimelor violenței cu premise de a avea o viață independentă. Finanțarea POCU este esențială pentru a acoperi deficitul de servicii sociale, a asigura accesul la servicii sociale pentru două grupuri vulnerabile ce au făcut obiectul programului inițial si a contracara efectele pandemiei COVID. Fără finanțarea POCU nu ar fi fost posibil sprijinul oferit grupului țintă. Există evidențe ale impactului la nivelul grupului de beneficiari, însă la nivelul întregii categorii de persoane vulnerabile beneficiile sunt încă nesemnificative prin raportare la dimensiunea obiectivului specific, datorită stadiului de implementare. Intervențiile au potențialul de produce beneficii economice, specifice fiecărui grup țintă fie prin economii de costuri legate de servicii medicale de urgență sau de spitalizare ce nu mai sunt necesare datorita îngrijirii și supravegherii vârstnicilor, venituri generate prin ocuparea persoanelor asistate.</w:t>
            </w:r>
          </w:p>
        </w:tc>
        <w:tc>
          <w:tcPr>
            <w:tcW w:w="1792" w:type="dxa"/>
            <w:vAlign w:val="center"/>
          </w:tcPr>
          <w:p w14:paraId="04348373"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Cap 2.2</w:t>
            </w:r>
          </w:p>
          <w:p w14:paraId="6DA39623"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Cap 2.3</w:t>
            </w:r>
          </w:p>
          <w:p w14:paraId="37C3A1DE"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Cap 2.4</w:t>
            </w:r>
          </w:p>
          <w:p w14:paraId="6725A3E1"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p w14:paraId="2A0CCD99"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p w14:paraId="48383EC6"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p w14:paraId="30CD03C1"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p w14:paraId="4415C414"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p w14:paraId="120FF940"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p w14:paraId="09D9D8C1" w14:textId="77777777"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p w14:paraId="0691F319" w14:textId="055D290D" w:rsidR="00FB3508" w:rsidRPr="00C51500" w:rsidRDefault="00FB3508"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Cap 2.7.</w:t>
            </w:r>
          </w:p>
        </w:tc>
        <w:tc>
          <w:tcPr>
            <w:tcW w:w="1458" w:type="dxa"/>
            <w:vAlign w:val="center"/>
          </w:tcPr>
          <w:p w14:paraId="3DCED975" w14:textId="77777777" w:rsidR="00F758B7" w:rsidRPr="00C51500" w:rsidRDefault="00F758B7" w:rsidP="00F758B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 xml:space="preserve">AM POCU </w:t>
            </w:r>
          </w:p>
          <w:p w14:paraId="2827B178" w14:textId="43792CB4" w:rsidR="00FB3508" w:rsidRPr="00C51500" w:rsidRDefault="00F758B7" w:rsidP="00F758B7">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OIR</w:t>
            </w:r>
          </w:p>
        </w:tc>
        <w:tc>
          <w:tcPr>
            <w:tcW w:w="1652" w:type="dxa"/>
            <w:vAlign w:val="center"/>
          </w:tcPr>
          <w:p w14:paraId="15D00297" w14:textId="22289DA5" w:rsidR="00FB3508" w:rsidRPr="00C51500" w:rsidRDefault="00CA0980"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Etapizat 2022- 2023</w:t>
            </w:r>
          </w:p>
        </w:tc>
      </w:tr>
      <w:tr w:rsidR="00FB3508" w:rsidRPr="00C51500" w14:paraId="1741162F" w14:textId="77777777" w:rsidTr="6A8AE304">
        <w:trPr>
          <w:jc w:val="center"/>
        </w:trPr>
        <w:tc>
          <w:tcPr>
            <w:cnfStyle w:val="001000000000" w:firstRow="0" w:lastRow="0" w:firstColumn="1" w:lastColumn="0" w:oddVBand="0" w:evenVBand="0" w:oddHBand="0" w:evenHBand="0" w:firstRowFirstColumn="0" w:firstRowLastColumn="0" w:lastRowFirstColumn="0" w:lastRowLastColumn="0"/>
            <w:tcW w:w="4790" w:type="dxa"/>
            <w:vMerge/>
            <w:vAlign w:val="center"/>
          </w:tcPr>
          <w:p w14:paraId="54CD5341" w14:textId="77777777" w:rsidR="00FB3508" w:rsidRPr="00C51500" w:rsidRDefault="00FB3508" w:rsidP="00DB5401">
            <w:pPr>
              <w:jc w:val="both"/>
              <w:rPr>
                <w:rFonts w:ascii="Calibri" w:hAnsi="Calibri" w:cs="Calibri"/>
                <w:sz w:val="18"/>
                <w:szCs w:val="18"/>
              </w:rPr>
            </w:pPr>
          </w:p>
        </w:tc>
        <w:tc>
          <w:tcPr>
            <w:tcW w:w="5128" w:type="dxa"/>
            <w:vAlign w:val="center"/>
          </w:tcPr>
          <w:p w14:paraId="63FFC44B" w14:textId="695559E5" w:rsidR="00FB3508" w:rsidRPr="00C51500" w:rsidRDefault="00FB3508" w:rsidP="00DB5401">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sidRPr="00C51500">
              <w:rPr>
                <w:rFonts w:ascii="Calibri" w:hAnsi="Calibri" w:cs="Calibri"/>
                <w:bCs/>
                <w:sz w:val="18"/>
                <w:szCs w:val="18"/>
              </w:rPr>
              <w:t xml:space="preserve">C5. Ocuparea persoanelor vulnerabile apare în mecanismul intervenției logice ca un element ce potențează impactul intervențiilor chiar și atunci când intervențiile nu sunt adresate specific măsurilor de ocupare. Analiza contrafactuală a impactului măsurilor de sprijin pentru ocupare (POCU 2007-2013) arată că aceste măsuri oferă grupurilor vulnerabile  o oportunitate de a intra pe piața forței de muncă însă calitatea ocupării este limitată. Atât sub aspectul veniturilor cât și al continuității și duratei muncii </w:t>
            </w:r>
            <w:r w:rsidRPr="00C51500">
              <w:rPr>
                <w:rFonts w:ascii="Calibri" w:hAnsi="Calibri" w:cs="Calibri"/>
                <w:bCs/>
                <w:sz w:val="18"/>
                <w:szCs w:val="18"/>
              </w:rPr>
              <w:lastRenderedPageBreak/>
              <w:t>persoanele sprijinite unt in dezavantaj față de persoanele ocupate fără sprijin.  Măsuri complementare de sprijin, post intervenție sunt necesare pentru creșterea calității ocupării sub următoarele aspecte: sustenabilitate reflectată în continuitatea contractelor de muncă, tipul de contract normă întreagă, nivelul salarial în creștere peste nivelul salariului minim</w:t>
            </w:r>
            <w:r w:rsidR="00FE62DF">
              <w:rPr>
                <w:rFonts w:ascii="Calibri" w:hAnsi="Calibri" w:cs="Calibri"/>
                <w:bCs/>
                <w:sz w:val="18"/>
                <w:szCs w:val="18"/>
              </w:rPr>
              <w:t>.</w:t>
            </w:r>
          </w:p>
        </w:tc>
        <w:tc>
          <w:tcPr>
            <w:tcW w:w="1792" w:type="dxa"/>
            <w:vAlign w:val="center"/>
          </w:tcPr>
          <w:p w14:paraId="3115EDF5" w14:textId="77777777" w:rsidR="00FB3508" w:rsidRPr="00C51500" w:rsidRDefault="00FB3508" w:rsidP="00DB5401">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lastRenderedPageBreak/>
              <w:t>Cap 2.2</w:t>
            </w:r>
          </w:p>
          <w:p w14:paraId="661A6FB9" w14:textId="3156A8CC" w:rsidR="00FB3508" w:rsidRPr="00C51500" w:rsidRDefault="00FB3508" w:rsidP="00DB5401">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Cap 2.6</w:t>
            </w:r>
          </w:p>
        </w:tc>
        <w:tc>
          <w:tcPr>
            <w:tcW w:w="1458" w:type="dxa"/>
            <w:vAlign w:val="center"/>
          </w:tcPr>
          <w:p w14:paraId="6AAC811A" w14:textId="77777777" w:rsidR="00F758B7" w:rsidRPr="00C51500" w:rsidRDefault="00F758B7" w:rsidP="00F758B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 xml:space="preserve">AM POCU </w:t>
            </w:r>
          </w:p>
          <w:p w14:paraId="1F3CFD6D" w14:textId="76E1B6A8" w:rsidR="00FB3508" w:rsidRPr="00C51500" w:rsidRDefault="00F758B7" w:rsidP="00F758B7">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OIR</w:t>
            </w:r>
          </w:p>
        </w:tc>
        <w:tc>
          <w:tcPr>
            <w:tcW w:w="1652" w:type="dxa"/>
            <w:vAlign w:val="center"/>
          </w:tcPr>
          <w:p w14:paraId="01D303B0" w14:textId="152DDE53" w:rsidR="00FB3508" w:rsidRPr="00C51500" w:rsidRDefault="00CA0980" w:rsidP="00DB5401">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Etapizat 2022- 2023</w:t>
            </w:r>
          </w:p>
        </w:tc>
      </w:tr>
      <w:tr w:rsidR="00DB5401" w:rsidRPr="00C51500" w14:paraId="405790D6" w14:textId="77777777" w:rsidTr="00F758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90" w:type="dxa"/>
            <w:shd w:val="clear" w:color="auto" w:fill="0E353E" w:themeFill="accent1" w:themeFillShade="BF"/>
            <w:vAlign w:val="center"/>
          </w:tcPr>
          <w:p w14:paraId="1BE80B96" w14:textId="4782A074" w:rsidR="00DB5401" w:rsidRPr="00C51500" w:rsidRDefault="00DB5401" w:rsidP="00DB5401">
            <w:pPr>
              <w:jc w:val="both"/>
              <w:rPr>
                <w:rFonts w:ascii="Calibri" w:hAnsi="Calibri" w:cs="Calibri"/>
                <w:sz w:val="18"/>
                <w:szCs w:val="18"/>
              </w:rPr>
            </w:pPr>
            <w:r w:rsidRPr="00C51500">
              <w:rPr>
                <w:rFonts w:ascii="Calibri" w:hAnsi="Calibri" w:cs="Calibri"/>
                <w:kern w:val="12"/>
                <w:sz w:val="18"/>
                <w:szCs w:val="18"/>
              </w:rPr>
              <w:t>La nivel strategic si al cadrului de reglementare</w:t>
            </w:r>
          </w:p>
        </w:tc>
        <w:tc>
          <w:tcPr>
            <w:tcW w:w="5128" w:type="dxa"/>
            <w:shd w:val="clear" w:color="auto" w:fill="0E353E" w:themeFill="accent1" w:themeFillShade="BF"/>
            <w:vAlign w:val="center"/>
          </w:tcPr>
          <w:p w14:paraId="301138E2" w14:textId="77777777" w:rsidR="00DB5401" w:rsidRPr="00C51500" w:rsidRDefault="00DB5401" w:rsidP="00DB5401">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p>
        </w:tc>
        <w:tc>
          <w:tcPr>
            <w:tcW w:w="1792" w:type="dxa"/>
            <w:shd w:val="clear" w:color="auto" w:fill="0E353E" w:themeFill="accent1" w:themeFillShade="BF"/>
            <w:vAlign w:val="center"/>
          </w:tcPr>
          <w:p w14:paraId="1FC00334" w14:textId="77777777" w:rsidR="00DB5401" w:rsidRPr="00C51500" w:rsidRDefault="00DB5401"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c>
          <w:tcPr>
            <w:tcW w:w="1458" w:type="dxa"/>
            <w:shd w:val="clear" w:color="auto" w:fill="0E353E" w:themeFill="accent1" w:themeFillShade="BF"/>
            <w:vAlign w:val="center"/>
          </w:tcPr>
          <w:p w14:paraId="2447B836" w14:textId="77777777" w:rsidR="00DB5401" w:rsidRPr="00C51500" w:rsidRDefault="00DB5401"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c>
          <w:tcPr>
            <w:tcW w:w="1652" w:type="dxa"/>
            <w:shd w:val="clear" w:color="auto" w:fill="0E353E" w:themeFill="accent1" w:themeFillShade="BF"/>
            <w:vAlign w:val="center"/>
          </w:tcPr>
          <w:p w14:paraId="6E72ACAE" w14:textId="77777777" w:rsidR="00DB5401" w:rsidRPr="00C51500" w:rsidRDefault="00DB5401" w:rsidP="00DB5401">
            <w:pPr>
              <w:tabs>
                <w:tab w:val="left" w:pos="360"/>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bCs/>
                <w:kern w:val="12"/>
                <w:sz w:val="18"/>
                <w:szCs w:val="18"/>
              </w:rPr>
            </w:pPr>
          </w:p>
        </w:tc>
      </w:tr>
      <w:tr w:rsidR="00597078" w:rsidRPr="00C51500" w14:paraId="5A70D3EE" w14:textId="77777777" w:rsidTr="004422D4">
        <w:trPr>
          <w:jc w:val="center"/>
        </w:trPr>
        <w:tc>
          <w:tcPr>
            <w:cnfStyle w:val="001000000000" w:firstRow="0" w:lastRow="0" w:firstColumn="1" w:lastColumn="0" w:oddVBand="0" w:evenVBand="0" w:oddHBand="0" w:evenHBand="0" w:firstRowFirstColumn="0" w:firstRowLastColumn="0" w:lastRowFirstColumn="0" w:lastRowLastColumn="0"/>
            <w:tcW w:w="4790" w:type="dxa"/>
            <w:vAlign w:val="center"/>
          </w:tcPr>
          <w:p w14:paraId="4B51B6F8" w14:textId="7F544155" w:rsidR="00DB5401" w:rsidRPr="00C51500" w:rsidRDefault="00DB5401" w:rsidP="00DB5401">
            <w:pPr>
              <w:jc w:val="both"/>
              <w:rPr>
                <w:rFonts w:ascii="Calibri" w:hAnsi="Calibri" w:cs="Calibri"/>
                <w:sz w:val="18"/>
                <w:szCs w:val="18"/>
              </w:rPr>
            </w:pPr>
            <w:r w:rsidRPr="00C51500">
              <w:rPr>
                <w:rFonts w:ascii="Calibri" w:hAnsi="Calibri" w:cs="Calibri"/>
                <w:b w:val="0"/>
                <w:bCs w:val="0"/>
                <w:sz w:val="18"/>
                <w:szCs w:val="18"/>
              </w:rPr>
              <w:t>R</w:t>
            </w:r>
            <w:r w:rsidR="00F758B7" w:rsidRPr="00C51500">
              <w:rPr>
                <w:rFonts w:ascii="Calibri" w:hAnsi="Calibri" w:cs="Calibri"/>
                <w:b w:val="0"/>
                <w:bCs w:val="0"/>
                <w:sz w:val="18"/>
                <w:szCs w:val="18"/>
              </w:rPr>
              <w:t>5</w:t>
            </w:r>
            <w:r w:rsidRPr="00C51500">
              <w:rPr>
                <w:rFonts w:ascii="Calibri" w:hAnsi="Calibri" w:cs="Calibri"/>
                <w:b w:val="0"/>
                <w:bCs w:val="0"/>
                <w:sz w:val="18"/>
                <w:szCs w:val="18"/>
              </w:rPr>
              <w:t xml:space="preserve">. Crearea unui cadru legal și instituțional stimulativ pentru dezvoltarea serviciilor sociale vizând cu prioritate: </w:t>
            </w:r>
          </w:p>
          <w:p w14:paraId="4AA698A7" w14:textId="6B78666B" w:rsidR="00DB5401" w:rsidRPr="00C51500" w:rsidRDefault="00DB5401" w:rsidP="00DB5401">
            <w:pPr>
              <w:jc w:val="both"/>
              <w:rPr>
                <w:rFonts w:ascii="Calibri" w:hAnsi="Calibri" w:cs="Calibri"/>
                <w:sz w:val="18"/>
                <w:szCs w:val="18"/>
              </w:rPr>
            </w:pPr>
            <w:r w:rsidRPr="00C51500">
              <w:rPr>
                <w:rFonts w:ascii="Calibri" w:hAnsi="Calibri" w:cs="Calibri"/>
                <w:b w:val="0"/>
                <w:bCs w:val="0"/>
                <w:sz w:val="18"/>
                <w:szCs w:val="18"/>
              </w:rPr>
              <w:t>-</w:t>
            </w:r>
            <w:r w:rsidR="00FE62DF">
              <w:rPr>
                <w:rFonts w:ascii="Calibri" w:hAnsi="Calibri" w:cs="Calibri"/>
                <w:b w:val="0"/>
                <w:bCs w:val="0"/>
                <w:sz w:val="18"/>
                <w:szCs w:val="18"/>
              </w:rPr>
              <w:t xml:space="preserve"> </w:t>
            </w:r>
            <w:r w:rsidRPr="00C51500">
              <w:rPr>
                <w:rFonts w:ascii="Calibri" w:hAnsi="Calibri" w:cs="Calibri"/>
                <w:b w:val="0"/>
                <w:bCs w:val="0"/>
                <w:sz w:val="18"/>
                <w:szCs w:val="18"/>
              </w:rPr>
              <w:t xml:space="preserve">actualizarea standardelor de cost, stimularea UAT pentru dezvoltarea serviciilor sociale în comunități îndeosebi în mediul rural, creșterea atractivității posturilor din domeniul serviciilor sociale inclusiv prin creșterea nivelului veniturilor. </w:t>
            </w:r>
          </w:p>
          <w:p w14:paraId="6100D011" w14:textId="77777777" w:rsidR="00DB5401" w:rsidRPr="00C51500" w:rsidRDefault="00DB5401" w:rsidP="00DB5401">
            <w:pPr>
              <w:jc w:val="both"/>
              <w:rPr>
                <w:rFonts w:ascii="Calibri" w:hAnsi="Calibri" w:cs="Calibri"/>
                <w:sz w:val="18"/>
                <w:szCs w:val="18"/>
              </w:rPr>
            </w:pPr>
            <w:r w:rsidRPr="00C51500">
              <w:rPr>
                <w:rFonts w:ascii="Calibri" w:hAnsi="Calibri" w:cs="Calibri"/>
                <w:b w:val="0"/>
                <w:bCs w:val="0"/>
                <w:sz w:val="18"/>
                <w:szCs w:val="18"/>
              </w:rPr>
              <w:t xml:space="preserve">- sensibilizarea reprezentanților UAT-urilor care nu au dezvoltat servicii sociale,  prin implicarea lor în evenimente în rețea de diseminare a bunelor practici, împreună cu toate categoriile de părți interesate. </w:t>
            </w:r>
          </w:p>
          <w:p w14:paraId="20566503" w14:textId="04FDFB81" w:rsidR="00597078" w:rsidRPr="00C51500" w:rsidRDefault="00DB5401" w:rsidP="004422D4">
            <w:pPr>
              <w:jc w:val="both"/>
              <w:rPr>
                <w:rFonts w:ascii="Calibri" w:hAnsi="Calibri" w:cs="Calibri"/>
                <w:b w:val="0"/>
                <w:bCs w:val="0"/>
                <w:sz w:val="18"/>
                <w:szCs w:val="18"/>
              </w:rPr>
            </w:pPr>
            <w:r w:rsidRPr="00C51500">
              <w:rPr>
                <w:rFonts w:ascii="Calibri" w:hAnsi="Calibri" w:cs="Calibri"/>
                <w:b w:val="0"/>
                <w:bCs w:val="0"/>
                <w:sz w:val="18"/>
                <w:szCs w:val="18"/>
              </w:rPr>
              <w:t>-</w:t>
            </w:r>
            <w:r w:rsidR="00FE62DF">
              <w:rPr>
                <w:rFonts w:ascii="Calibri" w:hAnsi="Calibri" w:cs="Calibri"/>
                <w:b w:val="0"/>
                <w:bCs w:val="0"/>
                <w:sz w:val="18"/>
                <w:szCs w:val="18"/>
              </w:rPr>
              <w:t xml:space="preserve"> </w:t>
            </w:r>
            <w:r w:rsidRPr="00C51500">
              <w:rPr>
                <w:rFonts w:ascii="Calibri" w:hAnsi="Calibri" w:cs="Calibri"/>
                <w:b w:val="0"/>
                <w:bCs w:val="0"/>
                <w:sz w:val="18"/>
                <w:szCs w:val="18"/>
              </w:rPr>
              <w:t>colectarea si asigurarea datelor necesare analizelor si studiilor, fundamentării politicilor si programelor</w:t>
            </w:r>
          </w:p>
        </w:tc>
        <w:tc>
          <w:tcPr>
            <w:tcW w:w="5128" w:type="dxa"/>
            <w:vAlign w:val="center"/>
          </w:tcPr>
          <w:p w14:paraId="2D6DD95E" w14:textId="1EA6353E" w:rsidR="00597078" w:rsidRPr="00C51500" w:rsidRDefault="00DB5401" w:rsidP="00A16C96">
            <w:pPr>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C51500">
              <w:rPr>
                <w:rFonts w:cs="Arial"/>
                <w:b/>
                <w:bCs/>
                <w:sz w:val="18"/>
                <w:szCs w:val="18"/>
              </w:rPr>
              <w:t>C2</w:t>
            </w:r>
            <w:r w:rsidRPr="00C51500">
              <w:rPr>
                <w:rFonts w:cs="Arial"/>
                <w:sz w:val="18"/>
                <w:szCs w:val="18"/>
              </w:rPr>
              <w:t xml:space="preserve"> În ansamblu </w:t>
            </w:r>
            <w:r w:rsidRPr="00C51500">
              <w:rPr>
                <w:rFonts w:cs="Arial"/>
                <w:b/>
                <w:bCs/>
                <w:sz w:val="18"/>
                <w:szCs w:val="18"/>
              </w:rPr>
              <w:t>situația grupurilor vulnerabile și accesul lor la servicii sociale s-a îmbunătățit</w:t>
            </w:r>
            <w:r w:rsidRPr="00C51500">
              <w:rPr>
                <w:rFonts w:cs="Arial"/>
                <w:sz w:val="18"/>
                <w:szCs w:val="18"/>
              </w:rPr>
              <w:t xml:space="preserve"> însă România se află încă semnificativ sub media europeană pentru mai multe dimensiuni ale excluziunii sociale, iar pandemia COVID-19 a înrăutățit situația acestora. O serie de lacune legislative și instituționale limitează interesul și capacitatea de creare si furnizare a serviciilor sociale, inclusiv, standardele de cost neadecvate, lipsa de personal și lipsa de atractivitate a posturilor îndeosebi în mediul rural, implicarea și interesul scăzut al unor UAT</w:t>
            </w:r>
            <w:r w:rsidR="00FE62DF">
              <w:rPr>
                <w:rFonts w:cs="Arial"/>
                <w:sz w:val="18"/>
                <w:szCs w:val="18"/>
              </w:rPr>
              <w:t>.</w:t>
            </w:r>
          </w:p>
        </w:tc>
        <w:tc>
          <w:tcPr>
            <w:tcW w:w="1792" w:type="dxa"/>
            <w:vAlign w:val="center"/>
          </w:tcPr>
          <w:p w14:paraId="6A38A43E" w14:textId="7F71AD07" w:rsidR="00597078" w:rsidRPr="00C51500" w:rsidRDefault="00DB5401"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 xml:space="preserve">Cap 2.1. </w:t>
            </w:r>
          </w:p>
        </w:tc>
        <w:tc>
          <w:tcPr>
            <w:tcW w:w="1458" w:type="dxa"/>
            <w:vAlign w:val="center"/>
          </w:tcPr>
          <w:p w14:paraId="0F386957" w14:textId="77777777" w:rsidR="00DB5401" w:rsidRPr="00C51500" w:rsidRDefault="00DB5401" w:rsidP="00DB5401">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MMPS si alte structuri responsabile pentru politicile in domeniul incluziunii sociale</w:t>
            </w:r>
          </w:p>
          <w:p w14:paraId="022DE29D" w14:textId="77777777" w:rsidR="00DB5401" w:rsidRPr="00C51500" w:rsidRDefault="00DB5401" w:rsidP="00DB5401">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AM POCU</w:t>
            </w:r>
          </w:p>
          <w:p w14:paraId="1A01C81A" w14:textId="355B4766" w:rsidR="00597078" w:rsidRPr="00C51500" w:rsidRDefault="00DB5401"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OIR</w:t>
            </w:r>
          </w:p>
        </w:tc>
        <w:tc>
          <w:tcPr>
            <w:tcW w:w="1652" w:type="dxa"/>
            <w:vAlign w:val="center"/>
          </w:tcPr>
          <w:p w14:paraId="51663E4C" w14:textId="42228BF7" w:rsidR="00597078" w:rsidRPr="00C51500" w:rsidRDefault="00CA0980" w:rsidP="00A16C96">
            <w:pPr>
              <w:tabs>
                <w:tab w:val="left" w:pos="360"/>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Cs/>
                <w:kern w:val="12"/>
                <w:sz w:val="18"/>
                <w:szCs w:val="18"/>
              </w:rPr>
            </w:pPr>
            <w:r w:rsidRPr="00C51500">
              <w:rPr>
                <w:rFonts w:ascii="Calibri" w:hAnsi="Calibri" w:cs="Calibri"/>
                <w:bCs/>
                <w:kern w:val="12"/>
                <w:sz w:val="18"/>
                <w:szCs w:val="18"/>
              </w:rPr>
              <w:t>Decembrie 2022</w:t>
            </w:r>
          </w:p>
        </w:tc>
      </w:tr>
      <w:bookmarkEnd w:id="1"/>
    </w:tbl>
    <w:p w14:paraId="08FD9F60" w14:textId="59CEB5C0" w:rsidR="00857CC2" w:rsidRPr="00BA4014" w:rsidRDefault="00857CC2" w:rsidP="00BA4014">
      <w:pPr>
        <w:spacing w:after="120"/>
        <w:contextualSpacing/>
        <w:rPr>
          <w:rFonts w:ascii="Calibri" w:hAnsi="Calibri" w:cs="Calibri"/>
          <w:i/>
          <w:iCs/>
          <w:noProof/>
        </w:rPr>
      </w:pPr>
    </w:p>
    <w:sectPr w:rsidR="00857CC2" w:rsidRPr="00BA4014" w:rsidSect="004422D4">
      <w:headerReference w:type="default" r:id="rId13"/>
      <w:footerReference w:type="default" r:id="rId14"/>
      <w:pgSz w:w="16834" w:h="11909" w:orient="landscape" w:code="9"/>
      <w:pgMar w:top="1440" w:right="107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F665" w14:textId="77777777" w:rsidR="004965EB" w:rsidRDefault="004965EB" w:rsidP="00FA5401">
      <w:pPr>
        <w:spacing w:after="0" w:line="240" w:lineRule="auto"/>
      </w:pPr>
      <w:r>
        <w:separator/>
      </w:r>
    </w:p>
  </w:endnote>
  <w:endnote w:type="continuationSeparator" w:id="0">
    <w:p w14:paraId="01AE6BCF" w14:textId="77777777" w:rsidR="004965EB" w:rsidRDefault="004965EB" w:rsidP="00FA5401">
      <w:pPr>
        <w:spacing w:after="0" w:line="240" w:lineRule="auto"/>
      </w:pPr>
      <w:r>
        <w:continuationSeparator/>
      </w:r>
    </w:p>
  </w:endnote>
  <w:endnote w:type="continuationNotice" w:id="1">
    <w:p w14:paraId="60D6F5B7" w14:textId="77777777" w:rsidR="004965EB" w:rsidRDefault="00496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3C6" w14:textId="0932DEAC" w:rsidR="00B25AAF" w:rsidRPr="009F750F" w:rsidRDefault="00B90F55" w:rsidP="00D36FE1">
    <w:pPr>
      <w:pBdr>
        <w:top w:val="single" w:sz="4" w:space="1" w:color="auto"/>
      </w:pBdr>
      <w:tabs>
        <w:tab w:val="left" w:pos="1843"/>
      </w:tabs>
      <w:ind w:right="-180"/>
      <w:jc w:val="both"/>
      <w:rPr>
        <w:color w:val="31849B"/>
        <w:sz w:val="16"/>
        <w:szCs w:val="16"/>
      </w:rPr>
    </w:pPr>
    <w:r>
      <w:rPr>
        <w:rStyle w:val="Strong"/>
        <w:rFonts w:cs="Calibri"/>
        <w:b w:val="0"/>
        <w:i/>
        <w:color w:val="3CA1BC"/>
        <w:sz w:val="16"/>
      </w:rPr>
      <w:t xml:space="preserve"> </w:t>
    </w:r>
    <w:r w:rsidRPr="007B6C23">
      <w:rPr>
        <w:rStyle w:val="Strong"/>
        <w:rFonts w:cs="Calibri"/>
        <w:b w:val="0"/>
        <w:i/>
        <w:color w:val="3CA1BC"/>
        <w:sz w:val="16"/>
      </w:rPr>
      <w:t>„Implementarea Planului de Evaluare a Programului Operațional Capital Uman 2014-2020 - Primul exercițiu de evaluare a Programului Operațional Capital Uman 2014-2020 ”, Contract nr. 36273 / 05.05.2020</w:t>
    </w:r>
    <w:r w:rsidR="00B25AAF" w:rsidRPr="009F750F">
      <w:rPr>
        <w:rStyle w:val="Strong"/>
        <w:rFonts w:cs="Calibri"/>
        <w:b w:val="0"/>
        <w:i/>
        <w:color w:val="4F81BD"/>
        <w:sz w:val="16"/>
      </w:rPr>
      <w:tab/>
    </w:r>
    <w:r w:rsidR="00B25AA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sz w:val="16"/>
        <w:szCs w:val="16"/>
      </w:rPr>
      <w:fldChar w:fldCharType="begin"/>
    </w:r>
    <w:r w:rsidR="00B25AAF" w:rsidRPr="009F750F">
      <w:rPr>
        <w:sz w:val="16"/>
        <w:szCs w:val="16"/>
      </w:rPr>
      <w:instrText xml:space="preserve"> PAGE   \* MERGEFORMAT </w:instrText>
    </w:r>
    <w:r w:rsidR="00B25AAF" w:rsidRPr="009F750F">
      <w:rPr>
        <w:sz w:val="16"/>
        <w:szCs w:val="16"/>
      </w:rPr>
      <w:fldChar w:fldCharType="separate"/>
    </w:r>
    <w:r w:rsidR="00B25AAF">
      <w:rPr>
        <w:noProof/>
        <w:sz w:val="16"/>
        <w:szCs w:val="16"/>
      </w:rPr>
      <w:t>24</w:t>
    </w:r>
    <w:r w:rsidR="00B25AAF" w:rsidRPr="009F750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090745718"/>
      <w:docPartObj>
        <w:docPartGallery w:val="Page Numbers (Bottom of Page)"/>
        <w:docPartUnique/>
      </w:docPartObj>
    </w:sdtPr>
    <w:sdtEndPr>
      <w:rPr>
        <w:rFonts w:cstheme="minorBidi"/>
        <w:noProof/>
      </w:rPr>
    </w:sdtEndPr>
    <w:sdtContent>
      <w:p w14:paraId="4B9DE46B" w14:textId="5EF76FF6" w:rsidR="004422D4" w:rsidRPr="00E41D76" w:rsidRDefault="00652751" w:rsidP="004422D4">
        <w:pPr>
          <w:pBdr>
            <w:top w:val="single" w:sz="4" w:space="1" w:color="auto"/>
          </w:pBdr>
          <w:rPr>
            <w:b/>
            <w:color w:val="31849B"/>
            <w:sz w:val="16"/>
            <w:szCs w:val="16"/>
          </w:rPr>
        </w:pPr>
        <w:r w:rsidRPr="007B6C23">
          <w:rPr>
            <w:rStyle w:val="Strong"/>
            <w:rFonts w:cs="Calibri"/>
            <w:b w:val="0"/>
            <w:i/>
            <w:color w:val="3CA1BC"/>
            <w:sz w:val="16"/>
          </w:rPr>
          <w:t>„Implementarea Planului de Evaluare a Programului Operațional Capital Uman 2014-2020 - Primul exercițiu de evaluare a Programului Operațional Capital Uman 2014-2020 ”, Contract nr. 36273 / 05.05.2020</w:t>
        </w:r>
        <w:r w:rsidR="00A16C96">
          <w:rPr>
            <w:rFonts w:ascii="Cambria" w:hAnsi="Cambria" w:cs="Cambria"/>
            <w:b/>
            <w:i/>
            <w:color w:val="31849B"/>
            <w:sz w:val="16"/>
            <w:szCs w:val="16"/>
          </w:rPr>
          <w:tab/>
        </w:r>
        <w:r w:rsidR="00A16C96">
          <w:rPr>
            <w:rFonts w:ascii="Cambria" w:hAnsi="Cambria" w:cs="Cambria"/>
            <w:b/>
            <w:i/>
            <w:color w:val="31849B"/>
            <w:sz w:val="16"/>
            <w:szCs w:val="16"/>
          </w:rPr>
          <w:tab/>
        </w:r>
        <w:r w:rsidR="00A16C96">
          <w:rPr>
            <w:rFonts w:ascii="Cambria" w:hAnsi="Cambria" w:cs="Cambria"/>
            <w:b/>
            <w:i/>
            <w:color w:val="31849B"/>
            <w:sz w:val="16"/>
            <w:szCs w:val="16"/>
          </w:rPr>
          <w:tab/>
        </w:r>
        <w:r w:rsidR="00A16C96">
          <w:rPr>
            <w:rFonts w:ascii="Cambria" w:hAnsi="Cambria" w:cs="Cambria"/>
            <w:b/>
            <w:i/>
            <w:color w:val="31849B"/>
            <w:sz w:val="16"/>
            <w:szCs w:val="16"/>
          </w:rPr>
          <w:tab/>
        </w:r>
        <w:r w:rsidR="00A16C96" w:rsidRPr="000A7ABB">
          <w:rPr>
            <w:sz w:val="16"/>
            <w:szCs w:val="16"/>
          </w:rPr>
          <w:fldChar w:fldCharType="begin"/>
        </w:r>
        <w:r w:rsidR="00A16C96" w:rsidRPr="000A7ABB">
          <w:rPr>
            <w:sz w:val="16"/>
            <w:szCs w:val="16"/>
          </w:rPr>
          <w:instrText xml:space="preserve"> PAGE   \* MERGEFORMAT </w:instrText>
        </w:r>
        <w:r w:rsidR="00A16C96" w:rsidRPr="000A7ABB">
          <w:rPr>
            <w:sz w:val="16"/>
            <w:szCs w:val="16"/>
          </w:rPr>
          <w:fldChar w:fldCharType="separate"/>
        </w:r>
        <w:r w:rsidR="00A16C96">
          <w:rPr>
            <w:noProof/>
            <w:sz w:val="16"/>
            <w:szCs w:val="16"/>
          </w:rPr>
          <w:t>29</w:t>
        </w:r>
        <w:r w:rsidR="00A16C96" w:rsidRPr="000A7ABB">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274A" w14:textId="77777777" w:rsidR="004965EB" w:rsidRDefault="004965EB" w:rsidP="00FA5401">
      <w:pPr>
        <w:spacing w:after="0" w:line="240" w:lineRule="auto"/>
      </w:pPr>
      <w:bookmarkStart w:id="0" w:name="_Hlk59011357"/>
      <w:bookmarkEnd w:id="0"/>
      <w:r>
        <w:separator/>
      </w:r>
    </w:p>
  </w:footnote>
  <w:footnote w:type="continuationSeparator" w:id="0">
    <w:p w14:paraId="62CDC7A9" w14:textId="77777777" w:rsidR="004965EB" w:rsidRDefault="004965EB" w:rsidP="00FA5401">
      <w:pPr>
        <w:spacing w:after="0" w:line="240" w:lineRule="auto"/>
      </w:pPr>
      <w:r>
        <w:continuationSeparator/>
      </w:r>
    </w:p>
  </w:footnote>
  <w:footnote w:type="continuationNotice" w:id="1">
    <w:p w14:paraId="1B356670" w14:textId="77777777" w:rsidR="004965EB" w:rsidRDefault="00496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565" w14:textId="77777777" w:rsidR="00B25AAF" w:rsidRPr="006923CA" w:rsidRDefault="4137B1C6" w:rsidP="00F330B7">
    <w:pPr>
      <w:pStyle w:val="Header"/>
      <w:rPr>
        <w:lang w:val="en-GB"/>
      </w:rPr>
    </w:pPr>
    <w:r>
      <w:rPr>
        <w:noProof/>
      </w:rPr>
      <w:drawing>
        <wp:inline distT="0" distB="0" distL="0" distR="0" wp14:anchorId="7682D7DE" wp14:editId="6BA805E8">
          <wp:extent cx="800100" cy="67056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sidR="00B25AAF">
      <w:tab/>
    </w:r>
    <w:r>
      <w:rPr>
        <w:noProof/>
      </w:rPr>
      <w:drawing>
        <wp:inline distT="0" distB="0" distL="0" distR="0" wp14:anchorId="66B54983" wp14:editId="7D3A9051">
          <wp:extent cx="670560" cy="640080"/>
          <wp:effectExtent l="0" t="0" r="0" b="762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sidR="00B25AAF">
      <w:tab/>
    </w:r>
    <w:r>
      <w:rPr>
        <w:noProof/>
      </w:rPr>
      <w:drawing>
        <wp:inline distT="0" distB="0" distL="0" distR="0" wp14:anchorId="3B16A5BF" wp14:editId="7A37EC14">
          <wp:extent cx="693420" cy="69342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BAAA82" w14:textId="77777777" w:rsidR="00B25AAF" w:rsidRPr="009F750F" w:rsidRDefault="00B25AAF" w:rsidP="009F7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5788" w14:textId="77777777" w:rsidR="004422D4" w:rsidRDefault="4137B1C6" w:rsidP="004422D4">
    <w:pPr>
      <w:pStyle w:val="Header"/>
    </w:pPr>
    <w:r>
      <w:rPr>
        <w:noProof/>
        <w:lang w:val="en-US"/>
      </w:rPr>
      <w:t xml:space="preserve">     </w:t>
    </w:r>
    <w:r w:rsidR="00A16C96" w:rsidRPr="00D63EF2">
      <w:rPr>
        <w:noProof/>
        <w:lang w:val="en-US"/>
      </w:rPr>
      <w:drawing>
        <wp:inline distT="0" distB="0" distL="0" distR="0" wp14:anchorId="4B476CBC" wp14:editId="0E235420">
          <wp:extent cx="800100" cy="666750"/>
          <wp:effectExtent l="0" t="0" r="0" b="0"/>
          <wp:docPr id="16"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pic:spPr>
              </pic:pic>
            </a:graphicData>
          </a:graphic>
        </wp:inline>
      </w:drawing>
    </w:r>
    <w:r>
      <w:rPr>
        <w:noProof/>
        <w:lang w:val="en-US"/>
      </w:rPr>
      <w:t xml:space="preserve">                                                        </w:t>
    </w:r>
    <w:r w:rsidR="00A16C96" w:rsidRPr="00D63EF2">
      <w:rPr>
        <w:noProof/>
        <w:lang w:val="en-US"/>
      </w:rPr>
      <w:drawing>
        <wp:inline distT="0" distB="0" distL="0" distR="0" wp14:anchorId="7C5F0259" wp14:editId="63EA0F69">
          <wp:extent cx="666750" cy="638175"/>
          <wp:effectExtent l="0" t="0" r="0" b="9525"/>
          <wp:docPr id="1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r="76346"/>
                  <a:stretch/>
                </pic:blipFill>
                <pic:spPr bwMode="auto">
                  <a:xfrm>
                    <a:off x="0" y="0"/>
                    <a:ext cx="666750" cy="6381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t xml:space="preserve">                                                                </w:t>
    </w:r>
    <w:r w:rsidR="00A16C96" w:rsidRPr="00D63EF2">
      <w:rPr>
        <w:noProof/>
        <w:lang w:val="en-US"/>
      </w:rPr>
      <w:drawing>
        <wp:inline distT="0" distB="0" distL="0" distR="0" wp14:anchorId="255E0B62" wp14:editId="23E77915">
          <wp:extent cx="695325" cy="695325"/>
          <wp:effectExtent l="0" t="0" r="9525" b="9525"/>
          <wp:docPr id="1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r>
      <w:rPr>
        <w:noProof/>
        <w:lang w:val="en-US"/>
      </w:rPr>
      <w:t xml:space="preserve">                            </w:t>
    </w:r>
  </w:p>
  <w:p w14:paraId="297BD99E" w14:textId="77777777" w:rsidR="004422D4" w:rsidRPr="004D3CBA" w:rsidRDefault="004422D4" w:rsidP="0044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F24"/>
    <w:multiLevelType w:val="hybridMultilevel"/>
    <w:tmpl w:val="D5164EE8"/>
    <w:lvl w:ilvl="0" w:tplc="3DAE95AC">
      <w:start w:val="1"/>
      <w:numFmt w:val="decimal"/>
      <w:suff w:val="space"/>
      <w:lvlText w:val="%1."/>
      <w:lvlJc w:val="left"/>
      <w:pPr>
        <w:ind w:left="360" w:hanging="360"/>
      </w:pPr>
      <w:rPr>
        <w:b/>
        <w:bCs/>
        <w:i w:val="0"/>
        <w:iCs w:val="0"/>
        <w:caps w:val="0"/>
        <w:smallCaps w:val="0"/>
        <w:strike w:val="0"/>
        <w:dstrike w:val="0"/>
        <w:outline w:val="0"/>
        <w:shadow w:val="0"/>
        <w:emboss w:val="0"/>
        <w:imprint w:val="0"/>
        <w:noProof w:val="0"/>
        <w:vanish w:val="0"/>
        <w:color w:val="134753" w:themeColor="accent1"/>
        <w:spacing w:val="0"/>
        <w:kern w:val="0"/>
        <w:position w:val="0"/>
        <w:sz w:val="20"/>
        <w:szCs w:val="2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5E3FBE">
      <w:start w:val="1"/>
      <w:numFmt w:val="lowerLetter"/>
      <w:lvlText w:val="%2."/>
      <w:lvlJc w:val="left"/>
      <w:pPr>
        <w:ind w:left="1582" w:hanging="360"/>
      </w:pPr>
      <w:rPr>
        <w:b w:val="0"/>
        <w:bCs/>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1B246C30"/>
    <w:multiLevelType w:val="hybridMultilevel"/>
    <w:tmpl w:val="4A308430"/>
    <w:lvl w:ilvl="0" w:tplc="C6CE51CC">
      <w:start w:val="9"/>
      <w:numFmt w:val="bullet"/>
      <w:lvlText w:val=""/>
      <w:lvlJc w:val="left"/>
      <w:pPr>
        <w:ind w:left="720" w:hanging="360"/>
      </w:pPr>
      <w:rPr>
        <w:rFonts w:ascii="Symbol" w:eastAsia="Calibri" w:hAnsi="Symbol" w:cs="Calibri" w:hint="default"/>
        <w:color w:val="ABCD3A" w:themeColor="text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747772"/>
    <w:multiLevelType w:val="hybridMultilevel"/>
    <w:tmpl w:val="2F400154"/>
    <w:lvl w:ilvl="0" w:tplc="6C464A9A">
      <w:start w:val="1"/>
      <w:numFmt w:val="decimal"/>
      <w:lvlText w:val="%1."/>
      <w:lvlJc w:val="left"/>
      <w:pPr>
        <w:ind w:left="720" w:hanging="360"/>
      </w:pPr>
    </w:lvl>
    <w:lvl w:ilvl="1" w:tplc="522E3AEA">
      <w:start w:val="1"/>
      <w:numFmt w:val="lowerLetter"/>
      <w:lvlText w:val="%2."/>
      <w:lvlJc w:val="left"/>
      <w:pPr>
        <w:ind w:left="1440" w:hanging="360"/>
      </w:pPr>
    </w:lvl>
    <w:lvl w:ilvl="2" w:tplc="99C2444E">
      <w:start w:val="1"/>
      <w:numFmt w:val="lowerRoman"/>
      <w:lvlText w:val="%3."/>
      <w:lvlJc w:val="right"/>
      <w:pPr>
        <w:ind w:left="2160" w:hanging="180"/>
      </w:pPr>
    </w:lvl>
    <w:lvl w:ilvl="3" w:tplc="F5C65B88">
      <w:start w:val="1"/>
      <w:numFmt w:val="decimal"/>
      <w:lvlText w:val="%4."/>
      <w:lvlJc w:val="left"/>
      <w:pPr>
        <w:ind w:left="2880" w:hanging="360"/>
      </w:pPr>
    </w:lvl>
    <w:lvl w:ilvl="4" w:tplc="CFFE03AE">
      <w:start w:val="1"/>
      <w:numFmt w:val="lowerLetter"/>
      <w:lvlText w:val="%5."/>
      <w:lvlJc w:val="left"/>
      <w:pPr>
        <w:ind w:left="3600" w:hanging="360"/>
      </w:pPr>
    </w:lvl>
    <w:lvl w:ilvl="5" w:tplc="84181A1C">
      <w:start w:val="1"/>
      <w:numFmt w:val="lowerRoman"/>
      <w:lvlText w:val="%6."/>
      <w:lvlJc w:val="right"/>
      <w:pPr>
        <w:ind w:left="4320" w:hanging="180"/>
      </w:pPr>
    </w:lvl>
    <w:lvl w:ilvl="6" w:tplc="F466B84E">
      <w:start w:val="1"/>
      <w:numFmt w:val="decimal"/>
      <w:lvlText w:val="%7."/>
      <w:lvlJc w:val="left"/>
      <w:pPr>
        <w:ind w:left="5040" w:hanging="360"/>
      </w:pPr>
    </w:lvl>
    <w:lvl w:ilvl="7" w:tplc="3D58DE36">
      <w:start w:val="1"/>
      <w:numFmt w:val="lowerLetter"/>
      <w:lvlText w:val="%8."/>
      <w:lvlJc w:val="left"/>
      <w:pPr>
        <w:ind w:left="5760" w:hanging="360"/>
      </w:pPr>
    </w:lvl>
    <w:lvl w:ilvl="8" w:tplc="67E8B548">
      <w:start w:val="1"/>
      <w:numFmt w:val="lowerRoman"/>
      <w:lvlText w:val="%9."/>
      <w:lvlJc w:val="right"/>
      <w:pPr>
        <w:ind w:left="6480" w:hanging="180"/>
      </w:pPr>
    </w:lvl>
  </w:abstractNum>
  <w:abstractNum w:abstractNumId="3"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782" w:hanging="357"/>
      </w:pPr>
      <w:rPr>
        <w:rFonts w:hint="default"/>
      </w:rPr>
    </w:lvl>
    <w:lvl w:ilvl="3">
      <w:start w:val="1"/>
      <w:numFmt w:val="decimal"/>
      <w:pStyle w:val="headingno4"/>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3834700C"/>
    <w:multiLevelType w:val="hybridMultilevel"/>
    <w:tmpl w:val="64161F38"/>
    <w:lvl w:ilvl="0" w:tplc="FD0A18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C1B09"/>
    <w:multiLevelType w:val="multilevel"/>
    <w:tmpl w:val="B1AEE96A"/>
    <w:numStyleLink w:val="Headings"/>
  </w:abstractNum>
  <w:abstractNum w:abstractNumId="6" w15:restartNumberingAfterBreak="0">
    <w:nsid w:val="617A63B0"/>
    <w:multiLevelType w:val="hybridMultilevel"/>
    <w:tmpl w:val="C1BCF750"/>
    <w:lvl w:ilvl="0" w:tplc="7A662042">
      <w:start w:val="9"/>
      <w:numFmt w:val="bullet"/>
      <w:pStyle w:val="ListParagraph"/>
      <w:lvlText w:val=""/>
      <w:lvlJc w:val="left"/>
      <w:pPr>
        <w:ind w:left="720" w:hanging="360"/>
      </w:pPr>
      <w:rPr>
        <w:rFonts w:ascii="Symbol" w:eastAsia="Calibri" w:hAnsi="Symbol" w:cs="Calibri"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71EA5"/>
    <w:multiLevelType w:val="hybridMultilevel"/>
    <w:tmpl w:val="B1AEE96A"/>
    <w:styleLink w:val="WWOutlineListStyle5"/>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2126BB"/>
    <w:multiLevelType w:val="hybridMultilevel"/>
    <w:tmpl w:val="3E1A0092"/>
    <w:lvl w:ilvl="0" w:tplc="1F08E7C8">
      <w:start w:val="1"/>
      <w:numFmt w:val="decimal"/>
      <w:lvlText w:val="%1."/>
      <w:lvlJc w:val="left"/>
      <w:pPr>
        <w:ind w:left="720" w:hanging="360"/>
      </w:pPr>
    </w:lvl>
    <w:lvl w:ilvl="1" w:tplc="A0FED2AA">
      <w:start w:val="1"/>
      <w:numFmt w:val="lowerLetter"/>
      <w:lvlText w:val="%2."/>
      <w:lvlJc w:val="left"/>
      <w:pPr>
        <w:ind w:left="1440" w:hanging="360"/>
      </w:pPr>
    </w:lvl>
    <w:lvl w:ilvl="2" w:tplc="44FAA61C">
      <w:start w:val="1"/>
      <w:numFmt w:val="lowerRoman"/>
      <w:lvlText w:val="%3."/>
      <w:lvlJc w:val="right"/>
      <w:pPr>
        <w:ind w:left="2160" w:hanging="180"/>
      </w:pPr>
    </w:lvl>
    <w:lvl w:ilvl="3" w:tplc="1520E136">
      <w:start w:val="1"/>
      <w:numFmt w:val="decimal"/>
      <w:lvlText w:val="%4."/>
      <w:lvlJc w:val="left"/>
      <w:pPr>
        <w:ind w:left="2880" w:hanging="360"/>
      </w:pPr>
    </w:lvl>
    <w:lvl w:ilvl="4" w:tplc="6C6040CC">
      <w:start w:val="1"/>
      <w:numFmt w:val="lowerLetter"/>
      <w:lvlText w:val="%5."/>
      <w:lvlJc w:val="left"/>
      <w:pPr>
        <w:ind w:left="3600" w:hanging="360"/>
      </w:pPr>
    </w:lvl>
    <w:lvl w:ilvl="5" w:tplc="24B6B75E">
      <w:start w:val="1"/>
      <w:numFmt w:val="lowerRoman"/>
      <w:lvlText w:val="%6."/>
      <w:lvlJc w:val="right"/>
      <w:pPr>
        <w:ind w:left="4320" w:hanging="180"/>
      </w:pPr>
    </w:lvl>
    <w:lvl w:ilvl="6" w:tplc="0E4E39F4">
      <w:start w:val="1"/>
      <w:numFmt w:val="decimal"/>
      <w:lvlText w:val="%7."/>
      <w:lvlJc w:val="left"/>
      <w:pPr>
        <w:ind w:left="5040" w:hanging="360"/>
      </w:pPr>
    </w:lvl>
    <w:lvl w:ilvl="7" w:tplc="AFA4CC8A">
      <w:start w:val="1"/>
      <w:numFmt w:val="lowerLetter"/>
      <w:lvlText w:val="%8."/>
      <w:lvlJc w:val="left"/>
      <w:pPr>
        <w:ind w:left="5760" w:hanging="360"/>
      </w:pPr>
    </w:lvl>
    <w:lvl w:ilvl="8" w:tplc="6E4A6FF2">
      <w:start w:val="1"/>
      <w:numFmt w:val="lowerRoman"/>
      <w:lvlText w:val="%9."/>
      <w:lvlJc w:val="right"/>
      <w:pPr>
        <w:ind w:left="6480" w:hanging="180"/>
      </w:pPr>
    </w:lvl>
  </w:abstractNum>
  <w:num w:numId="1">
    <w:abstractNumId w:val="3"/>
  </w:num>
  <w:num w:numId="2">
    <w:abstractNumId w:val="5"/>
    <w:lvlOverride w:ilvl="0">
      <w:lvl w:ilvl="0">
        <w:start w:val="1"/>
        <w:numFmt w:val="upperLetter"/>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782" w:hanging="357"/>
        </w:pPr>
        <w:rPr>
          <w:rFonts w:hint="default"/>
        </w:rPr>
      </w:lvl>
    </w:lvlOverride>
    <w:lvlOverride w:ilvl="3">
      <w:lvl w:ilvl="3">
        <w:start w:val="1"/>
        <w:numFmt w:val="decimal"/>
        <w:pStyle w:val="headingno4"/>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7"/>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1"/>
  </w:num>
  <w:num w:numId="12">
    <w:abstractNumId w:val="6"/>
  </w:num>
  <w:num w:numId="13">
    <w:abstractNumId w:val="4"/>
  </w:num>
  <w:num w:numId="14">
    <w:abstractNumId w:val="6"/>
  </w:num>
  <w:num w:numId="15">
    <w:abstractNumId w:val="0"/>
  </w:num>
  <w:num w:numId="16">
    <w:abstractNumId w:val="8"/>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rQUA4qomVywAAAA="/>
  </w:docVars>
  <w:rsids>
    <w:rsidRoot w:val="00F316D7"/>
    <w:rsid w:val="000033C4"/>
    <w:rsid w:val="00003E98"/>
    <w:rsid w:val="0000663E"/>
    <w:rsid w:val="00006A7D"/>
    <w:rsid w:val="0001602A"/>
    <w:rsid w:val="00016D55"/>
    <w:rsid w:val="0002015C"/>
    <w:rsid w:val="0002092E"/>
    <w:rsid w:val="000232CE"/>
    <w:rsid w:val="000261E3"/>
    <w:rsid w:val="0002750D"/>
    <w:rsid w:val="00032700"/>
    <w:rsid w:val="0003427F"/>
    <w:rsid w:val="00035909"/>
    <w:rsid w:val="000400E6"/>
    <w:rsid w:val="0004097B"/>
    <w:rsid w:val="00041444"/>
    <w:rsid w:val="00044731"/>
    <w:rsid w:val="00044E8A"/>
    <w:rsid w:val="00044F09"/>
    <w:rsid w:val="0004752F"/>
    <w:rsid w:val="000478E6"/>
    <w:rsid w:val="000524ED"/>
    <w:rsid w:val="00053C68"/>
    <w:rsid w:val="0005649B"/>
    <w:rsid w:val="00063250"/>
    <w:rsid w:val="00064DC6"/>
    <w:rsid w:val="00064F4D"/>
    <w:rsid w:val="00070D91"/>
    <w:rsid w:val="0007384A"/>
    <w:rsid w:val="00080AF6"/>
    <w:rsid w:val="0008317F"/>
    <w:rsid w:val="00083D51"/>
    <w:rsid w:val="00086F03"/>
    <w:rsid w:val="00090727"/>
    <w:rsid w:val="00090955"/>
    <w:rsid w:val="00093F67"/>
    <w:rsid w:val="00094475"/>
    <w:rsid w:val="00094F23"/>
    <w:rsid w:val="00095A87"/>
    <w:rsid w:val="00097CCA"/>
    <w:rsid w:val="000A1294"/>
    <w:rsid w:val="000A1E00"/>
    <w:rsid w:val="000A22A9"/>
    <w:rsid w:val="000A2FFE"/>
    <w:rsid w:val="000A341A"/>
    <w:rsid w:val="000B4BEF"/>
    <w:rsid w:val="000B5DEA"/>
    <w:rsid w:val="000B6683"/>
    <w:rsid w:val="000B6E5B"/>
    <w:rsid w:val="000C24D0"/>
    <w:rsid w:val="000C3CFD"/>
    <w:rsid w:val="000C435A"/>
    <w:rsid w:val="000C4A5A"/>
    <w:rsid w:val="000D21BD"/>
    <w:rsid w:val="000D3D51"/>
    <w:rsid w:val="000D601F"/>
    <w:rsid w:val="000E1576"/>
    <w:rsid w:val="000E2EB9"/>
    <w:rsid w:val="000E3321"/>
    <w:rsid w:val="000E4BA4"/>
    <w:rsid w:val="000E7EBE"/>
    <w:rsid w:val="000F2347"/>
    <w:rsid w:val="000F32B4"/>
    <w:rsid w:val="000F3AA0"/>
    <w:rsid w:val="000F57D4"/>
    <w:rsid w:val="0010030D"/>
    <w:rsid w:val="00100597"/>
    <w:rsid w:val="00100833"/>
    <w:rsid w:val="00100D61"/>
    <w:rsid w:val="0010290A"/>
    <w:rsid w:val="00102C2A"/>
    <w:rsid w:val="001041B2"/>
    <w:rsid w:val="00104EEA"/>
    <w:rsid w:val="001054D9"/>
    <w:rsid w:val="00112549"/>
    <w:rsid w:val="001150CB"/>
    <w:rsid w:val="00116B81"/>
    <w:rsid w:val="00117097"/>
    <w:rsid w:val="001202B3"/>
    <w:rsid w:val="001228D7"/>
    <w:rsid w:val="0012428B"/>
    <w:rsid w:val="00125237"/>
    <w:rsid w:val="00126416"/>
    <w:rsid w:val="001273E3"/>
    <w:rsid w:val="00130B5D"/>
    <w:rsid w:val="001332D2"/>
    <w:rsid w:val="00135817"/>
    <w:rsid w:val="00136F11"/>
    <w:rsid w:val="00137C9C"/>
    <w:rsid w:val="00141BFB"/>
    <w:rsid w:val="001424AD"/>
    <w:rsid w:val="0014642B"/>
    <w:rsid w:val="00157559"/>
    <w:rsid w:val="00162A7C"/>
    <w:rsid w:val="00162DE3"/>
    <w:rsid w:val="001661BB"/>
    <w:rsid w:val="00173047"/>
    <w:rsid w:val="00174A11"/>
    <w:rsid w:val="00176D2A"/>
    <w:rsid w:val="001809BC"/>
    <w:rsid w:val="00186E6C"/>
    <w:rsid w:val="00187985"/>
    <w:rsid w:val="00192787"/>
    <w:rsid w:val="0019376B"/>
    <w:rsid w:val="00193C4C"/>
    <w:rsid w:val="00194C00"/>
    <w:rsid w:val="001A132C"/>
    <w:rsid w:val="001A6442"/>
    <w:rsid w:val="001A6557"/>
    <w:rsid w:val="001A7E38"/>
    <w:rsid w:val="001B151D"/>
    <w:rsid w:val="001B72D7"/>
    <w:rsid w:val="001C1A29"/>
    <w:rsid w:val="001C305E"/>
    <w:rsid w:val="001C4B4F"/>
    <w:rsid w:val="001C5E02"/>
    <w:rsid w:val="001C75F9"/>
    <w:rsid w:val="001D1733"/>
    <w:rsid w:val="001D385D"/>
    <w:rsid w:val="001D5356"/>
    <w:rsid w:val="001D5CE2"/>
    <w:rsid w:val="001E6108"/>
    <w:rsid w:val="001E66D1"/>
    <w:rsid w:val="001F056F"/>
    <w:rsid w:val="001F250B"/>
    <w:rsid w:val="001F5901"/>
    <w:rsid w:val="00206396"/>
    <w:rsid w:val="00210B60"/>
    <w:rsid w:val="00210F6F"/>
    <w:rsid w:val="00212746"/>
    <w:rsid w:val="00220C04"/>
    <w:rsid w:val="00224FCA"/>
    <w:rsid w:val="00225763"/>
    <w:rsid w:val="00226216"/>
    <w:rsid w:val="0023485C"/>
    <w:rsid w:val="002400E2"/>
    <w:rsid w:val="00240A3F"/>
    <w:rsid w:val="00240DAE"/>
    <w:rsid w:val="002411A1"/>
    <w:rsid w:val="00241F7E"/>
    <w:rsid w:val="00243544"/>
    <w:rsid w:val="00245E2A"/>
    <w:rsid w:val="00250059"/>
    <w:rsid w:val="0025042F"/>
    <w:rsid w:val="002505EB"/>
    <w:rsid w:val="00253D9D"/>
    <w:rsid w:val="00254346"/>
    <w:rsid w:val="002620E3"/>
    <w:rsid w:val="0027002A"/>
    <w:rsid w:val="00270462"/>
    <w:rsid w:val="00274BF6"/>
    <w:rsid w:val="00275C43"/>
    <w:rsid w:val="00277855"/>
    <w:rsid w:val="00281804"/>
    <w:rsid w:val="0028574E"/>
    <w:rsid w:val="00287C6A"/>
    <w:rsid w:val="002910C3"/>
    <w:rsid w:val="00291B67"/>
    <w:rsid w:val="0029509D"/>
    <w:rsid w:val="002957C3"/>
    <w:rsid w:val="002965E0"/>
    <w:rsid w:val="002A2C7A"/>
    <w:rsid w:val="002A5969"/>
    <w:rsid w:val="002A7B6F"/>
    <w:rsid w:val="002B328A"/>
    <w:rsid w:val="002C2E5E"/>
    <w:rsid w:val="002C3EE7"/>
    <w:rsid w:val="002C4A61"/>
    <w:rsid w:val="002C652B"/>
    <w:rsid w:val="002C68AB"/>
    <w:rsid w:val="002C7F36"/>
    <w:rsid w:val="002D196E"/>
    <w:rsid w:val="002D6085"/>
    <w:rsid w:val="002D63BB"/>
    <w:rsid w:val="002E1AD7"/>
    <w:rsid w:val="002E30C8"/>
    <w:rsid w:val="002E4763"/>
    <w:rsid w:val="002E7D5A"/>
    <w:rsid w:val="002F4E55"/>
    <w:rsid w:val="002F5CC9"/>
    <w:rsid w:val="002F6335"/>
    <w:rsid w:val="00301DF4"/>
    <w:rsid w:val="00302685"/>
    <w:rsid w:val="00303E88"/>
    <w:rsid w:val="00305077"/>
    <w:rsid w:val="0030644B"/>
    <w:rsid w:val="00306509"/>
    <w:rsid w:val="003101DE"/>
    <w:rsid w:val="00312F10"/>
    <w:rsid w:val="00313CC4"/>
    <w:rsid w:val="00317D81"/>
    <w:rsid w:val="003222B6"/>
    <w:rsid w:val="0032340D"/>
    <w:rsid w:val="003241D8"/>
    <w:rsid w:val="003348C4"/>
    <w:rsid w:val="00335F89"/>
    <w:rsid w:val="00337556"/>
    <w:rsid w:val="0034007D"/>
    <w:rsid w:val="003421C9"/>
    <w:rsid w:val="00344895"/>
    <w:rsid w:val="003468DC"/>
    <w:rsid w:val="0035076D"/>
    <w:rsid w:val="00351E7D"/>
    <w:rsid w:val="00354FF6"/>
    <w:rsid w:val="0035532A"/>
    <w:rsid w:val="00366E43"/>
    <w:rsid w:val="003724EB"/>
    <w:rsid w:val="00377DEA"/>
    <w:rsid w:val="00380660"/>
    <w:rsid w:val="003847C8"/>
    <w:rsid w:val="003860CF"/>
    <w:rsid w:val="00386869"/>
    <w:rsid w:val="003877F4"/>
    <w:rsid w:val="00394DBB"/>
    <w:rsid w:val="003A042A"/>
    <w:rsid w:val="003A342B"/>
    <w:rsid w:val="003A4EBD"/>
    <w:rsid w:val="003A5C5A"/>
    <w:rsid w:val="003A79BF"/>
    <w:rsid w:val="003B2060"/>
    <w:rsid w:val="003B6618"/>
    <w:rsid w:val="003C3019"/>
    <w:rsid w:val="003C3968"/>
    <w:rsid w:val="003C4B02"/>
    <w:rsid w:val="003C4EA1"/>
    <w:rsid w:val="003C57A3"/>
    <w:rsid w:val="003E0E72"/>
    <w:rsid w:val="003E2EA8"/>
    <w:rsid w:val="003E62CF"/>
    <w:rsid w:val="003F1937"/>
    <w:rsid w:val="003F2E59"/>
    <w:rsid w:val="004029FC"/>
    <w:rsid w:val="004041E7"/>
    <w:rsid w:val="00407836"/>
    <w:rsid w:val="00407E0F"/>
    <w:rsid w:val="0041048B"/>
    <w:rsid w:val="00410B8A"/>
    <w:rsid w:val="00412F02"/>
    <w:rsid w:val="004131A1"/>
    <w:rsid w:val="00415BEA"/>
    <w:rsid w:val="00416713"/>
    <w:rsid w:val="00420551"/>
    <w:rsid w:val="00423347"/>
    <w:rsid w:val="00423509"/>
    <w:rsid w:val="004238C4"/>
    <w:rsid w:val="00423B26"/>
    <w:rsid w:val="0042625B"/>
    <w:rsid w:val="00432F2B"/>
    <w:rsid w:val="00433726"/>
    <w:rsid w:val="00437C7B"/>
    <w:rsid w:val="004400EC"/>
    <w:rsid w:val="00442168"/>
    <w:rsid w:val="00442277"/>
    <w:rsid w:val="004422D4"/>
    <w:rsid w:val="004424A6"/>
    <w:rsid w:val="00442E9F"/>
    <w:rsid w:val="004462A6"/>
    <w:rsid w:val="004467E6"/>
    <w:rsid w:val="00446C7A"/>
    <w:rsid w:val="00450108"/>
    <w:rsid w:val="00450BC3"/>
    <w:rsid w:val="004517B0"/>
    <w:rsid w:val="00455F9C"/>
    <w:rsid w:val="00456434"/>
    <w:rsid w:val="004662CC"/>
    <w:rsid w:val="00466F26"/>
    <w:rsid w:val="00466F61"/>
    <w:rsid w:val="00470C40"/>
    <w:rsid w:val="00474623"/>
    <w:rsid w:val="00474EDC"/>
    <w:rsid w:val="0047604E"/>
    <w:rsid w:val="004777A5"/>
    <w:rsid w:val="0048217E"/>
    <w:rsid w:val="004822DB"/>
    <w:rsid w:val="00484820"/>
    <w:rsid w:val="00486178"/>
    <w:rsid w:val="00486DDA"/>
    <w:rsid w:val="00490903"/>
    <w:rsid w:val="00491ABE"/>
    <w:rsid w:val="00492368"/>
    <w:rsid w:val="004937FF"/>
    <w:rsid w:val="004939D4"/>
    <w:rsid w:val="00494BD2"/>
    <w:rsid w:val="004965EB"/>
    <w:rsid w:val="004975F2"/>
    <w:rsid w:val="004A4620"/>
    <w:rsid w:val="004B255B"/>
    <w:rsid w:val="004B2C10"/>
    <w:rsid w:val="004C45AB"/>
    <w:rsid w:val="004C53B5"/>
    <w:rsid w:val="004D0C12"/>
    <w:rsid w:val="004D0D65"/>
    <w:rsid w:val="004D2197"/>
    <w:rsid w:val="004D4268"/>
    <w:rsid w:val="004D42A7"/>
    <w:rsid w:val="004D5A74"/>
    <w:rsid w:val="004D6B1C"/>
    <w:rsid w:val="004D72AE"/>
    <w:rsid w:val="004D76C2"/>
    <w:rsid w:val="004E1412"/>
    <w:rsid w:val="004E3BFF"/>
    <w:rsid w:val="004E48C3"/>
    <w:rsid w:val="004E4B70"/>
    <w:rsid w:val="004F02A6"/>
    <w:rsid w:val="004F2C80"/>
    <w:rsid w:val="004F7980"/>
    <w:rsid w:val="005017E4"/>
    <w:rsid w:val="005026FF"/>
    <w:rsid w:val="005074D5"/>
    <w:rsid w:val="00507984"/>
    <w:rsid w:val="00511815"/>
    <w:rsid w:val="005125D6"/>
    <w:rsid w:val="00513D68"/>
    <w:rsid w:val="00515C53"/>
    <w:rsid w:val="00524E84"/>
    <w:rsid w:val="00527342"/>
    <w:rsid w:val="00530568"/>
    <w:rsid w:val="00530E4F"/>
    <w:rsid w:val="00532FBA"/>
    <w:rsid w:val="00534887"/>
    <w:rsid w:val="005348B2"/>
    <w:rsid w:val="005356A7"/>
    <w:rsid w:val="00540B29"/>
    <w:rsid w:val="00540D69"/>
    <w:rsid w:val="005414A8"/>
    <w:rsid w:val="00547028"/>
    <w:rsid w:val="0054762E"/>
    <w:rsid w:val="00551329"/>
    <w:rsid w:val="005550E6"/>
    <w:rsid w:val="0055590E"/>
    <w:rsid w:val="00556C36"/>
    <w:rsid w:val="00561EF6"/>
    <w:rsid w:val="005622D8"/>
    <w:rsid w:val="0056354F"/>
    <w:rsid w:val="00574F10"/>
    <w:rsid w:val="00576644"/>
    <w:rsid w:val="00577BE9"/>
    <w:rsid w:val="00580BF0"/>
    <w:rsid w:val="00582D98"/>
    <w:rsid w:val="005847E7"/>
    <w:rsid w:val="005848FA"/>
    <w:rsid w:val="00587472"/>
    <w:rsid w:val="0059041F"/>
    <w:rsid w:val="00596064"/>
    <w:rsid w:val="00597078"/>
    <w:rsid w:val="0059766B"/>
    <w:rsid w:val="005A183D"/>
    <w:rsid w:val="005A42B0"/>
    <w:rsid w:val="005A6A10"/>
    <w:rsid w:val="005A75BE"/>
    <w:rsid w:val="005B1823"/>
    <w:rsid w:val="005B254A"/>
    <w:rsid w:val="005B3C59"/>
    <w:rsid w:val="005B3DE9"/>
    <w:rsid w:val="005B45BB"/>
    <w:rsid w:val="005B65FB"/>
    <w:rsid w:val="005C0F94"/>
    <w:rsid w:val="005C1BC5"/>
    <w:rsid w:val="005C64F2"/>
    <w:rsid w:val="005C692E"/>
    <w:rsid w:val="005D5188"/>
    <w:rsid w:val="005E2B0D"/>
    <w:rsid w:val="005E32AD"/>
    <w:rsid w:val="005E3904"/>
    <w:rsid w:val="005E60AC"/>
    <w:rsid w:val="005E721D"/>
    <w:rsid w:val="005F2217"/>
    <w:rsid w:val="005F2BA1"/>
    <w:rsid w:val="005F3F3B"/>
    <w:rsid w:val="005F4826"/>
    <w:rsid w:val="005F61D8"/>
    <w:rsid w:val="005F62ED"/>
    <w:rsid w:val="006019DC"/>
    <w:rsid w:val="006073A8"/>
    <w:rsid w:val="00612211"/>
    <w:rsid w:val="00613FE9"/>
    <w:rsid w:val="0061530C"/>
    <w:rsid w:val="00633A55"/>
    <w:rsid w:val="0063489C"/>
    <w:rsid w:val="00640199"/>
    <w:rsid w:val="00640B00"/>
    <w:rsid w:val="00641199"/>
    <w:rsid w:val="00642EA8"/>
    <w:rsid w:val="006455C9"/>
    <w:rsid w:val="00647ABA"/>
    <w:rsid w:val="00647F28"/>
    <w:rsid w:val="006507AC"/>
    <w:rsid w:val="00652751"/>
    <w:rsid w:val="00657CCA"/>
    <w:rsid w:val="006603B4"/>
    <w:rsid w:val="0066535A"/>
    <w:rsid w:val="006678CE"/>
    <w:rsid w:val="00673198"/>
    <w:rsid w:val="00677EE7"/>
    <w:rsid w:val="00684EEB"/>
    <w:rsid w:val="00685511"/>
    <w:rsid w:val="00685E9E"/>
    <w:rsid w:val="00693D2C"/>
    <w:rsid w:val="00696100"/>
    <w:rsid w:val="006A265D"/>
    <w:rsid w:val="006A2C92"/>
    <w:rsid w:val="006A3BAF"/>
    <w:rsid w:val="006A664C"/>
    <w:rsid w:val="006B3262"/>
    <w:rsid w:val="006B3D0F"/>
    <w:rsid w:val="006C1C79"/>
    <w:rsid w:val="006C1C8E"/>
    <w:rsid w:val="006D2834"/>
    <w:rsid w:val="006D3048"/>
    <w:rsid w:val="006D4DF3"/>
    <w:rsid w:val="006D4EDB"/>
    <w:rsid w:val="006D74F9"/>
    <w:rsid w:val="006E2C71"/>
    <w:rsid w:val="006F2680"/>
    <w:rsid w:val="006F2E21"/>
    <w:rsid w:val="006F51C9"/>
    <w:rsid w:val="00703C04"/>
    <w:rsid w:val="00704250"/>
    <w:rsid w:val="0070672E"/>
    <w:rsid w:val="00711849"/>
    <w:rsid w:val="00716466"/>
    <w:rsid w:val="0072022E"/>
    <w:rsid w:val="00723BBF"/>
    <w:rsid w:val="0072423A"/>
    <w:rsid w:val="00725C0D"/>
    <w:rsid w:val="00727296"/>
    <w:rsid w:val="007278BD"/>
    <w:rsid w:val="0073076A"/>
    <w:rsid w:val="00737D54"/>
    <w:rsid w:val="0074159A"/>
    <w:rsid w:val="00742334"/>
    <w:rsid w:val="00745842"/>
    <w:rsid w:val="0074678C"/>
    <w:rsid w:val="0075431A"/>
    <w:rsid w:val="00754E33"/>
    <w:rsid w:val="007629C7"/>
    <w:rsid w:val="00763CAC"/>
    <w:rsid w:val="00764E7D"/>
    <w:rsid w:val="0076745E"/>
    <w:rsid w:val="00771A68"/>
    <w:rsid w:val="007746EC"/>
    <w:rsid w:val="00774B43"/>
    <w:rsid w:val="00776E6C"/>
    <w:rsid w:val="00776EFA"/>
    <w:rsid w:val="007774FC"/>
    <w:rsid w:val="00777F4F"/>
    <w:rsid w:val="00782F2D"/>
    <w:rsid w:val="007864B8"/>
    <w:rsid w:val="0079105D"/>
    <w:rsid w:val="00791490"/>
    <w:rsid w:val="00794069"/>
    <w:rsid w:val="007946F6"/>
    <w:rsid w:val="00794865"/>
    <w:rsid w:val="007A4671"/>
    <w:rsid w:val="007A472A"/>
    <w:rsid w:val="007A503D"/>
    <w:rsid w:val="007C259E"/>
    <w:rsid w:val="007C34D2"/>
    <w:rsid w:val="007C4727"/>
    <w:rsid w:val="007D1993"/>
    <w:rsid w:val="007D383B"/>
    <w:rsid w:val="007D4C21"/>
    <w:rsid w:val="007D7EE9"/>
    <w:rsid w:val="007E2208"/>
    <w:rsid w:val="007E3B49"/>
    <w:rsid w:val="007E4D66"/>
    <w:rsid w:val="007E672F"/>
    <w:rsid w:val="007F05D4"/>
    <w:rsid w:val="007F1DFE"/>
    <w:rsid w:val="007F5058"/>
    <w:rsid w:val="007F51CA"/>
    <w:rsid w:val="007F715D"/>
    <w:rsid w:val="008005B1"/>
    <w:rsid w:val="00804DA4"/>
    <w:rsid w:val="0080788E"/>
    <w:rsid w:val="00807B5B"/>
    <w:rsid w:val="00807D70"/>
    <w:rsid w:val="00811165"/>
    <w:rsid w:val="0081681D"/>
    <w:rsid w:val="00822AE8"/>
    <w:rsid w:val="008233A7"/>
    <w:rsid w:val="008236E9"/>
    <w:rsid w:val="00826CED"/>
    <w:rsid w:val="0083027B"/>
    <w:rsid w:val="00830433"/>
    <w:rsid w:val="00831573"/>
    <w:rsid w:val="00835056"/>
    <w:rsid w:val="00836C69"/>
    <w:rsid w:val="00837FC6"/>
    <w:rsid w:val="0084134C"/>
    <w:rsid w:val="0084159D"/>
    <w:rsid w:val="008416BF"/>
    <w:rsid w:val="0084339A"/>
    <w:rsid w:val="00846B8E"/>
    <w:rsid w:val="008502ED"/>
    <w:rsid w:val="00851549"/>
    <w:rsid w:val="008534C5"/>
    <w:rsid w:val="00856636"/>
    <w:rsid w:val="00857CC2"/>
    <w:rsid w:val="00857E91"/>
    <w:rsid w:val="00866AC8"/>
    <w:rsid w:val="00871185"/>
    <w:rsid w:val="00873C9E"/>
    <w:rsid w:val="0087430B"/>
    <w:rsid w:val="00875389"/>
    <w:rsid w:val="00876D73"/>
    <w:rsid w:val="008810B9"/>
    <w:rsid w:val="00881951"/>
    <w:rsid w:val="008843F0"/>
    <w:rsid w:val="00890151"/>
    <w:rsid w:val="00897579"/>
    <w:rsid w:val="008A2009"/>
    <w:rsid w:val="008A32DA"/>
    <w:rsid w:val="008A60F4"/>
    <w:rsid w:val="008B2433"/>
    <w:rsid w:val="008B4DB9"/>
    <w:rsid w:val="008B5DEC"/>
    <w:rsid w:val="008B7EB1"/>
    <w:rsid w:val="008C3C77"/>
    <w:rsid w:val="008C5504"/>
    <w:rsid w:val="008C5863"/>
    <w:rsid w:val="008E05EA"/>
    <w:rsid w:val="008E28F7"/>
    <w:rsid w:val="008E2956"/>
    <w:rsid w:val="008E4C79"/>
    <w:rsid w:val="008E76FD"/>
    <w:rsid w:val="008F0162"/>
    <w:rsid w:val="008F1EA3"/>
    <w:rsid w:val="008F6E0C"/>
    <w:rsid w:val="008F78AE"/>
    <w:rsid w:val="009023BA"/>
    <w:rsid w:val="00904795"/>
    <w:rsid w:val="00906FB8"/>
    <w:rsid w:val="009116A6"/>
    <w:rsid w:val="00912373"/>
    <w:rsid w:val="00913E47"/>
    <w:rsid w:val="00915D91"/>
    <w:rsid w:val="009162C0"/>
    <w:rsid w:val="00917032"/>
    <w:rsid w:val="00917F75"/>
    <w:rsid w:val="00920602"/>
    <w:rsid w:val="0092603B"/>
    <w:rsid w:val="00931878"/>
    <w:rsid w:val="00940EA8"/>
    <w:rsid w:val="00945151"/>
    <w:rsid w:val="00947C9E"/>
    <w:rsid w:val="00952953"/>
    <w:rsid w:val="00953460"/>
    <w:rsid w:val="0095347D"/>
    <w:rsid w:val="00955511"/>
    <w:rsid w:val="00955B8E"/>
    <w:rsid w:val="009561DA"/>
    <w:rsid w:val="009563BC"/>
    <w:rsid w:val="0095731F"/>
    <w:rsid w:val="009605C4"/>
    <w:rsid w:val="009641C3"/>
    <w:rsid w:val="009648F7"/>
    <w:rsid w:val="00964B75"/>
    <w:rsid w:val="00966D6C"/>
    <w:rsid w:val="0097287C"/>
    <w:rsid w:val="009730D6"/>
    <w:rsid w:val="0097341C"/>
    <w:rsid w:val="009768E9"/>
    <w:rsid w:val="00982754"/>
    <w:rsid w:val="00982B08"/>
    <w:rsid w:val="0098342D"/>
    <w:rsid w:val="00990BFF"/>
    <w:rsid w:val="009911F4"/>
    <w:rsid w:val="00991E05"/>
    <w:rsid w:val="009928EF"/>
    <w:rsid w:val="009956A0"/>
    <w:rsid w:val="0099600F"/>
    <w:rsid w:val="00996705"/>
    <w:rsid w:val="009975F4"/>
    <w:rsid w:val="00997E5D"/>
    <w:rsid w:val="009A3E0B"/>
    <w:rsid w:val="009A59DE"/>
    <w:rsid w:val="009A5D89"/>
    <w:rsid w:val="009B06B4"/>
    <w:rsid w:val="009B1D43"/>
    <w:rsid w:val="009B46DD"/>
    <w:rsid w:val="009B544B"/>
    <w:rsid w:val="009B6B34"/>
    <w:rsid w:val="009C0CFA"/>
    <w:rsid w:val="009C2953"/>
    <w:rsid w:val="009C396E"/>
    <w:rsid w:val="009C3B61"/>
    <w:rsid w:val="009C703D"/>
    <w:rsid w:val="009C72B8"/>
    <w:rsid w:val="009D01B0"/>
    <w:rsid w:val="009D0415"/>
    <w:rsid w:val="009E0BAE"/>
    <w:rsid w:val="009E3C41"/>
    <w:rsid w:val="009E4B45"/>
    <w:rsid w:val="009E638F"/>
    <w:rsid w:val="009E736B"/>
    <w:rsid w:val="009F0BA0"/>
    <w:rsid w:val="009F10E2"/>
    <w:rsid w:val="009F2782"/>
    <w:rsid w:val="009F750F"/>
    <w:rsid w:val="00A035B8"/>
    <w:rsid w:val="00A04051"/>
    <w:rsid w:val="00A115C7"/>
    <w:rsid w:val="00A12127"/>
    <w:rsid w:val="00A13850"/>
    <w:rsid w:val="00A149CB"/>
    <w:rsid w:val="00A16C96"/>
    <w:rsid w:val="00A174A3"/>
    <w:rsid w:val="00A21233"/>
    <w:rsid w:val="00A23BDD"/>
    <w:rsid w:val="00A24304"/>
    <w:rsid w:val="00A30010"/>
    <w:rsid w:val="00A329EF"/>
    <w:rsid w:val="00A357CF"/>
    <w:rsid w:val="00A357EC"/>
    <w:rsid w:val="00A375AD"/>
    <w:rsid w:val="00A42232"/>
    <w:rsid w:val="00A51CFE"/>
    <w:rsid w:val="00A5278D"/>
    <w:rsid w:val="00A557FA"/>
    <w:rsid w:val="00A576CA"/>
    <w:rsid w:val="00A60D49"/>
    <w:rsid w:val="00A615BA"/>
    <w:rsid w:val="00A64926"/>
    <w:rsid w:val="00A6739D"/>
    <w:rsid w:val="00A73D12"/>
    <w:rsid w:val="00A74675"/>
    <w:rsid w:val="00A759E9"/>
    <w:rsid w:val="00A76B86"/>
    <w:rsid w:val="00A80E9B"/>
    <w:rsid w:val="00A81450"/>
    <w:rsid w:val="00A86B70"/>
    <w:rsid w:val="00A86F24"/>
    <w:rsid w:val="00A90CF7"/>
    <w:rsid w:val="00A90D6B"/>
    <w:rsid w:val="00A97375"/>
    <w:rsid w:val="00AA2F2C"/>
    <w:rsid w:val="00AA7A2E"/>
    <w:rsid w:val="00AB441D"/>
    <w:rsid w:val="00AB61EB"/>
    <w:rsid w:val="00AB641C"/>
    <w:rsid w:val="00AC2D94"/>
    <w:rsid w:val="00AC37ED"/>
    <w:rsid w:val="00AC47C7"/>
    <w:rsid w:val="00AC72AC"/>
    <w:rsid w:val="00AC7A11"/>
    <w:rsid w:val="00AD2F9C"/>
    <w:rsid w:val="00AD4F34"/>
    <w:rsid w:val="00AD741D"/>
    <w:rsid w:val="00AE1EA2"/>
    <w:rsid w:val="00AE2DEC"/>
    <w:rsid w:val="00AE2E2A"/>
    <w:rsid w:val="00AE7BFD"/>
    <w:rsid w:val="00AF2F03"/>
    <w:rsid w:val="00AF38A8"/>
    <w:rsid w:val="00AF4EDF"/>
    <w:rsid w:val="00B00021"/>
    <w:rsid w:val="00B03AE9"/>
    <w:rsid w:val="00B043CA"/>
    <w:rsid w:val="00B04598"/>
    <w:rsid w:val="00B06353"/>
    <w:rsid w:val="00B1076C"/>
    <w:rsid w:val="00B20902"/>
    <w:rsid w:val="00B22AD1"/>
    <w:rsid w:val="00B24413"/>
    <w:rsid w:val="00B25AAF"/>
    <w:rsid w:val="00B2747F"/>
    <w:rsid w:val="00B332C5"/>
    <w:rsid w:val="00B34BB5"/>
    <w:rsid w:val="00B35A04"/>
    <w:rsid w:val="00B42680"/>
    <w:rsid w:val="00B4627F"/>
    <w:rsid w:val="00B46B56"/>
    <w:rsid w:val="00B46C68"/>
    <w:rsid w:val="00B47ABB"/>
    <w:rsid w:val="00B518D8"/>
    <w:rsid w:val="00B52BCD"/>
    <w:rsid w:val="00B55B31"/>
    <w:rsid w:val="00B62DE7"/>
    <w:rsid w:val="00B648C4"/>
    <w:rsid w:val="00B656E5"/>
    <w:rsid w:val="00B65F76"/>
    <w:rsid w:val="00B714A2"/>
    <w:rsid w:val="00B72E52"/>
    <w:rsid w:val="00B75025"/>
    <w:rsid w:val="00B750CC"/>
    <w:rsid w:val="00B75BD4"/>
    <w:rsid w:val="00B775BC"/>
    <w:rsid w:val="00B83BBE"/>
    <w:rsid w:val="00B84489"/>
    <w:rsid w:val="00B8714C"/>
    <w:rsid w:val="00B90877"/>
    <w:rsid w:val="00B90F55"/>
    <w:rsid w:val="00B93AE4"/>
    <w:rsid w:val="00BA099E"/>
    <w:rsid w:val="00BA11EC"/>
    <w:rsid w:val="00BA4014"/>
    <w:rsid w:val="00BA65BE"/>
    <w:rsid w:val="00BA75C6"/>
    <w:rsid w:val="00BB0569"/>
    <w:rsid w:val="00BB16CC"/>
    <w:rsid w:val="00BB175D"/>
    <w:rsid w:val="00BB51E7"/>
    <w:rsid w:val="00BB6CE3"/>
    <w:rsid w:val="00BB730F"/>
    <w:rsid w:val="00BB7827"/>
    <w:rsid w:val="00BC0C2A"/>
    <w:rsid w:val="00BC373B"/>
    <w:rsid w:val="00BC4742"/>
    <w:rsid w:val="00BD0E3C"/>
    <w:rsid w:val="00BD3BA9"/>
    <w:rsid w:val="00BD402D"/>
    <w:rsid w:val="00BD53A1"/>
    <w:rsid w:val="00BE4265"/>
    <w:rsid w:val="00BE5579"/>
    <w:rsid w:val="00BE5B65"/>
    <w:rsid w:val="00BF1101"/>
    <w:rsid w:val="00BF47C7"/>
    <w:rsid w:val="00C020DD"/>
    <w:rsid w:val="00C048EB"/>
    <w:rsid w:val="00C054CE"/>
    <w:rsid w:val="00C1043C"/>
    <w:rsid w:val="00C1106E"/>
    <w:rsid w:val="00C127EB"/>
    <w:rsid w:val="00C168DA"/>
    <w:rsid w:val="00C16E64"/>
    <w:rsid w:val="00C17F97"/>
    <w:rsid w:val="00C20294"/>
    <w:rsid w:val="00C210AF"/>
    <w:rsid w:val="00C23FAE"/>
    <w:rsid w:val="00C3045C"/>
    <w:rsid w:val="00C318F7"/>
    <w:rsid w:val="00C341C1"/>
    <w:rsid w:val="00C350B3"/>
    <w:rsid w:val="00C456FD"/>
    <w:rsid w:val="00C46BBC"/>
    <w:rsid w:val="00C47F07"/>
    <w:rsid w:val="00C5149D"/>
    <w:rsid w:val="00C51500"/>
    <w:rsid w:val="00C5371C"/>
    <w:rsid w:val="00C53878"/>
    <w:rsid w:val="00C559AC"/>
    <w:rsid w:val="00C55C8E"/>
    <w:rsid w:val="00C57FE1"/>
    <w:rsid w:val="00C6165D"/>
    <w:rsid w:val="00C61E15"/>
    <w:rsid w:val="00C62958"/>
    <w:rsid w:val="00C63867"/>
    <w:rsid w:val="00C6522A"/>
    <w:rsid w:val="00C66B56"/>
    <w:rsid w:val="00C67D43"/>
    <w:rsid w:val="00C81E36"/>
    <w:rsid w:val="00C82028"/>
    <w:rsid w:val="00C85281"/>
    <w:rsid w:val="00C9127B"/>
    <w:rsid w:val="00C9176F"/>
    <w:rsid w:val="00C944AC"/>
    <w:rsid w:val="00C94DFA"/>
    <w:rsid w:val="00CA0980"/>
    <w:rsid w:val="00CA4226"/>
    <w:rsid w:val="00CA62A4"/>
    <w:rsid w:val="00CA63F2"/>
    <w:rsid w:val="00CB2ACE"/>
    <w:rsid w:val="00CB505C"/>
    <w:rsid w:val="00CB77E0"/>
    <w:rsid w:val="00CB786D"/>
    <w:rsid w:val="00CC3971"/>
    <w:rsid w:val="00CD01D0"/>
    <w:rsid w:val="00CD64A4"/>
    <w:rsid w:val="00CE20F9"/>
    <w:rsid w:val="00CE304D"/>
    <w:rsid w:val="00CE383F"/>
    <w:rsid w:val="00CE3B78"/>
    <w:rsid w:val="00CE67CE"/>
    <w:rsid w:val="00CF7046"/>
    <w:rsid w:val="00CF7C24"/>
    <w:rsid w:val="00D00DF7"/>
    <w:rsid w:val="00D05AA0"/>
    <w:rsid w:val="00D06DB6"/>
    <w:rsid w:val="00D1413B"/>
    <w:rsid w:val="00D2108B"/>
    <w:rsid w:val="00D21950"/>
    <w:rsid w:val="00D243F1"/>
    <w:rsid w:val="00D26D43"/>
    <w:rsid w:val="00D31570"/>
    <w:rsid w:val="00D32FC7"/>
    <w:rsid w:val="00D36607"/>
    <w:rsid w:val="00D36FE1"/>
    <w:rsid w:val="00D372FC"/>
    <w:rsid w:val="00D37773"/>
    <w:rsid w:val="00D41AA3"/>
    <w:rsid w:val="00D463A6"/>
    <w:rsid w:val="00D47DBA"/>
    <w:rsid w:val="00D503AD"/>
    <w:rsid w:val="00D510AA"/>
    <w:rsid w:val="00D5218B"/>
    <w:rsid w:val="00D52C9F"/>
    <w:rsid w:val="00D54CFA"/>
    <w:rsid w:val="00D600BD"/>
    <w:rsid w:val="00D60A60"/>
    <w:rsid w:val="00D61516"/>
    <w:rsid w:val="00D618B7"/>
    <w:rsid w:val="00D635ED"/>
    <w:rsid w:val="00D64551"/>
    <w:rsid w:val="00D70BD9"/>
    <w:rsid w:val="00D7316C"/>
    <w:rsid w:val="00D764FC"/>
    <w:rsid w:val="00D76D8E"/>
    <w:rsid w:val="00D8029D"/>
    <w:rsid w:val="00D81F54"/>
    <w:rsid w:val="00D83272"/>
    <w:rsid w:val="00D859BE"/>
    <w:rsid w:val="00D8757D"/>
    <w:rsid w:val="00D93221"/>
    <w:rsid w:val="00D946E9"/>
    <w:rsid w:val="00D952DA"/>
    <w:rsid w:val="00D96562"/>
    <w:rsid w:val="00D97403"/>
    <w:rsid w:val="00DA3DAF"/>
    <w:rsid w:val="00DB0B6B"/>
    <w:rsid w:val="00DB3B32"/>
    <w:rsid w:val="00DB3BB5"/>
    <w:rsid w:val="00DB4D5E"/>
    <w:rsid w:val="00DB5401"/>
    <w:rsid w:val="00DB7283"/>
    <w:rsid w:val="00DB7D7F"/>
    <w:rsid w:val="00DC2464"/>
    <w:rsid w:val="00DC56E6"/>
    <w:rsid w:val="00DC5FE2"/>
    <w:rsid w:val="00DD1715"/>
    <w:rsid w:val="00DD2129"/>
    <w:rsid w:val="00DD5D9E"/>
    <w:rsid w:val="00DE0D08"/>
    <w:rsid w:val="00DE4415"/>
    <w:rsid w:val="00DE5807"/>
    <w:rsid w:val="00DE67FE"/>
    <w:rsid w:val="00DF1025"/>
    <w:rsid w:val="00DF3EEC"/>
    <w:rsid w:val="00DF5D22"/>
    <w:rsid w:val="00DF5E03"/>
    <w:rsid w:val="00DF6348"/>
    <w:rsid w:val="00DF6915"/>
    <w:rsid w:val="00DF6A50"/>
    <w:rsid w:val="00DF76C2"/>
    <w:rsid w:val="00E02FF8"/>
    <w:rsid w:val="00E1132F"/>
    <w:rsid w:val="00E116BD"/>
    <w:rsid w:val="00E11FBD"/>
    <w:rsid w:val="00E12B17"/>
    <w:rsid w:val="00E12BB4"/>
    <w:rsid w:val="00E16AEA"/>
    <w:rsid w:val="00E22027"/>
    <w:rsid w:val="00E227AF"/>
    <w:rsid w:val="00E23FFB"/>
    <w:rsid w:val="00E26B5D"/>
    <w:rsid w:val="00E31293"/>
    <w:rsid w:val="00E35C9C"/>
    <w:rsid w:val="00E36AD6"/>
    <w:rsid w:val="00E37620"/>
    <w:rsid w:val="00E43CF3"/>
    <w:rsid w:val="00E45339"/>
    <w:rsid w:val="00E458B5"/>
    <w:rsid w:val="00E501A9"/>
    <w:rsid w:val="00E512B9"/>
    <w:rsid w:val="00E5308B"/>
    <w:rsid w:val="00E53450"/>
    <w:rsid w:val="00E61F84"/>
    <w:rsid w:val="00E62AE1"/>
    <w:rsid w:val="00E64029"/>
    <w:rsid w:val="00E64462"/>
    <w:rsid w:val="00E661DC"/>
    <w:rsid w:val="00E669D6"/>
    <w:rsid w:val="00E66C7F"/>
    <w:rsid w:val="00E7227A"/>
    <w:rsid w:val="00E73678"/>
    <w:rsid w:val="00E7512A"/>
    <w:rsid w:val="00E828F5"/>
    <w:rsid w:val="00E83498"/>
    <w:rsid w:val="00E83D66"/>
    <w:rsid w:val="00E84711"/>
    <w:rsid w:val="00E92120"/>
    <w:rsid w:val="00E9358C"/>
    <w:rsid w:val="00E96196"/>
    <w:rsid w:val="00EA012D"/>
    <w:rsid w:val="00EA0268"/>
    <w:rsid w:val="00EA176F"/>
    <w:rsid w:val="00EA1D3B"/>
    <w:rsid w:val="00EA2691"/>
    <w:rsid w:val="00EA2D67"/>
    <w:rsid w:val="00EA4073"/>
    <w:rsid w:val="00EA660C"/>
    <w:rsid w:val="00EA77CA"/>
    <w:rsid w:val="00EB78ED"/>
    <w:rsid w:val="00EC1504"/>
    <w:rsid w:val="00ED3168"/>
    <w:rsid w:val="00EE07B4"/>
    <w:rsid w:val="00EE53A9"/>
    <w:rsid w:val="00EE622F"/>
    <w:rsid w:val="00EE650F"/>
    <w:rsid w:val="00EF0416"/>
    <w:rsid w:val="00EF0CD2"/>
    <w:rsid w:val="00EF14D1"/>
    <w:rsid w:val="00EF41AF"/>
    <w:rsid w:val="00EF4525"/>
    <w:rsid w:val="00EF6946"/>
    <w:rsid w:val="00F00DA9"/>
    <w:rsid w:val="00F012EE"/>
    <w:rsid w:val="00F062A2"/>
    <w:rsid w:val="00F10289"/>
    <w:rsid w:val="00F12A4C"/>
    <w:rsid w:val="00F1549E"/>
    <w:rsid w:val="00F24D06"/>
    <w:rsid w:val="00F27592"/>
    <w:rsid w:val="00F316D7"/>
    <w:rsid w:val="00F330B7"/>
    <w:rsid w:val="00F33BF2"/>
    <w:rsid w:val="00F34242"/>
    <w:rsid w:val="00F378A8"/>
    <w:rsid w:val="00F418B2"/>
    <w:rsid w:val="00F42A48"/>
    <w:rsid w:val="00F636B9"/>
    <w:rsid w:val="00F65277"/>
    <w:rsid w:val="00F70D7C"/>
    <w:rsid w:val="00F758B7"/>
    <w:rsid w:val="00F7642D"/>
    <w:rsid w:val="00F7715F"/>
    <w:rsid w:val="00F83BD2"/>
    <w:rsid w:val="00F841CE"/>
    <w:rsid w:val="00F86FAF"/>
    <w:rsid w:val="00F92587"/>
    <w:rsid w:val="00FA5401"/>
    <w:rsid w:val="00FA6856"/>
    <w:rsid w:val="00FA78E0"/>
    <w:rsid w:val="00FB14D7"/>
    <w:rsid w:val="00FB3243"/>
    <w:rsid w:val="00FB3508"/>
    <w:rsid w:val="00FB5085"/>
    <w:rsid w:val="00FB5768"/>
    <w:rsid w:val="00FB655B"/>
    <w:rsid w:val="00FB693C"/>
    <w:rsid w:val="00FC3688"/>
    <w:rsid w:val="00FC3E7A"/>
    <w:rsid w:val="00FD718C"/>
    <w:rsid w:val="00FE0353"/>
    <w:rsid w:val="00FE4E31"/>
    <w:rsid w:val="00FE5DE8"/>
    <w:rsid w:val="00FE62DF"/>
    <w:rsid w:val="00FE6352"/>
    <w:rsid w:val="00FE7444"/>
    <w:rsid w:val="00FE7815"/>
    <w:rsid w:val="00FF0429"/>
    <w:rsid w:val="00FF1F15"/>
    <w:rsid w:val="00FF69CE"/>
    <w:rsid w:val="00FF6BA5"/>
    <w:rsid w:val="00FF72CC"/>
    <w:rsid w:val="00FF7809"/>
    <w:rsid w:val="0583FCF6"/>
    <w:rsid w:val="13DC9F19"/>
    <w:rsid w:val="1FEC6327"/>
    <w:rsid w:val="215A7DA1"/>
    <w:rsid w:val="21B76DFD"/>
    <w:rsid w:val="3543F0B4"/>
    <w:rsid w:val="398E8B32"/>
    <w:rsid w:val="4051BB58"/>
    <w:rsid w:val="4137B1C6"/>
    <w:rsid w:val="4434E7DD"/>
    <w:rsid w:val="451F68E4"/>
    <w:rsid w:val="49EC04EF"/>
    <w:rsid w:val="4B6034A3"/>
    <w:rsid w:val="588B76BA"/>
    <w:rsid w:val="6A8AE304"/>
    <w:rsid w:val="77E00B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71C2"/>
  <w15:chartTrackingRefBased/>
  <w15:docId w15:val="{277CAF6D-0FFE-4CF8-A654-821D7BAC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B0"/>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uiPriority w:val="9"/>
    <w:qFormat/>
    <w:rsid w:val="00DE0D08"/>
    <w:pPr>
      <w:keepNext/>
      <w:numPr>
        <w:numId w:val="2"/>
      </w:numPr>
      <w:spacing w:after="600" w:line="240" w:lineRule="auto"/>
      <w:outlineLvl w:val="0"/>
    </w:pPr>
    <w:rPr>
      <w:rFonts w:eastAsia="SimSun" w:cs="Cambria"/>
      <w:b/>
      <w:bCs/>
      <w:caps/>
      <w:color w:val="ABCD3A" w:themeColor="text2"/>
      <w:sz w:val="40"/>
      <w:szCs w:val="40"/>
      <w:lang w:val="lt-LT"/>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BFBFBF"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34"/>
    <w:qFormat/>
    <w:rsid w:val="00044731"/>
    <w:pPr>
      <w:numPr>
        <w:numId w:val="12"/>
      </w:numPr>
      <w:spacing w:after="0" w:line="240" w:lineRule="auto"/>
      <w:jc w:val="both"/>
    </w:pPr>
    <w:rPr>
      <w:rFonts w:eastAsia="SimSun" w:cstheme="minorHAnsi"/>
      <w:color w:val="000000" w:themeColor="text1"/>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44731"/>
    <w:rPr>
      <w:rFonts w:eastAsia="SimSun" w:cstheme="minorHAnsi"/>
      <w:color w:val="000000" w:themeColor="text1"/>
      <w:sz w:val="20"/>
      <w:lang w:val="ro-RO" w:eastAsia="ro-RO" w:bidi="ne-NP"/>
    </w:rPr>
  </w:style>
  <w:style w:type="paragraph" w:styleId="CommentText">
    <w:name w:val="annotation text"/>
    <w:basedOn w:val="Normal"/>
    <w:link w:val="CommentTextChar"/>
    <w:uiPriority w:val="99"/>
    <w:semiHidden/>
    <w:unhideWhenUsed/>
    <w:rsid w:val="00FB5768"/>
    <w:pPr>
      <w:spacing w:after="120" w:line="240" w:lineRule="auto"/>
      <w:jc w:val="both"/>
    </w:pPr>
    <w:rPr>
      <w:rFonts w:eastAsia="SimSun" w:cs="Cambria"/>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DE0D08"/>
    <w:rPr>
      <w:rFonts w:eastAsia="SimSun" w:cs="Cambria"/>
      <w:b/>
      <w:bCs/>
      <w:caps/>
      <w:color w:val="ABCD3A" w:themeColor="text2"/>
      <w:sz w:val="40"/>
      <w:szCs w:val="40"/>
      <w:lang w:val="lt-LT"/>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SimSun" w:hAnsi="Trebuchet MS" w:cs="Cambria"/>
      <w:b/>
      <w:bCs/>
      <w:caps/>
      <w:color w:val="BFBFBF"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SimSun" w:hAnsi="Trebuchet MS" w:cs="Cambria"/>
      <w:b/>
      <w:caps/>
      <w:color w:val="BFBFBF" w:themeColor="background2"/>
      <w:sz w:val="20"/>
      <w:szCs w:val="20"/>
      <w:lang w:val="ro-RO"/>
    </w:rPr>
  </w:style>
  <w:style w:type="numbering" w:customStyle="1" w:styleId="Headings">
    <w:name w:val="Headings"/>
    <w:uiPriority w:val="99"/>
    <w:rsid w:val="00DE0D08"/>
    <w:pPr>
      <w:numPr>
        <w:numId w:val="3"/>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after="0" w:line="259" w:lineRule="auto"/>
      <w:outlineLvl w:val="9"/>
    </w:pPr>
    <w:rPr>
      <w:rFonts w:asciiTheme="majorHAnsi" w:eastAsiaTheme="majorEastAsia" w:hAnsiTheme="majorHAnsi" w:cstheme="majorBidi"/>
      <w:b w:val="0"/>
      <w:bCs w:val="0"/>
      <w:caps w:val="0"/>
      <w:color w:val="0E353E" w:themeColor="accent1" w:themeShade="BF"/>
      <w:sz w:val="32"/>
      <w:szCs w:val="32"/>
      <w:lang w:val="en-US"/>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qFormat/>
    <w:rsid w:val="00540B29"/>
    <w:pPr>
      <w:spacing w:line="276" w:lineRule="auto"/>
      <w:ind w:left="0"/>
    </w:pPr>
    <w:rPr>
      <w:rFonts w:ascii="Trebuchet MS" w:eastAsia="MS Gothic" w:hAnsi="Trebuchet MS"/>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cstheme="minorHAnsi"/>
      <w:bCs/>
      <w:color w:val="000000" w:themeColor="text1"/>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5"/>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FE4E31"/>
    <w:rPr>
      <w:rFonts w:ascii="Trebuchet MS" w:eastAsia="MS Gothic" w:hAnsi="Trebuchet MS" w:cstheme="minorHAnsi"/>
      <w:bCs/>
      <w:color w:val="000000" w:themeColor="text1"/>
      <w:sz w:val="20"/>
      <w:szCs w:val="32"/>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CB77E0"/>
    <w:pPr>
      <w:spacing w:after="0" w:line="240" w:lineRule="auto"/>
      <w:jc w:val="both"/>
    </w:pPr>
    <w:rPr>
      <w:rFonts w:eastAsia="SimSun" w:cs="Cambria"/>
      <w:bCs/>
      <w:szCs w:val="20"/>
      <w:lang w:val="en-US" w:eastAsia="ja-JP"/>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B77E0"/>
    <w:rPr>
      <w:rFonts w:eastAsia="SimSun"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qFormat/>
    <w:rsid w:val="00CB77E0"/>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B77E0"/>
    <w:pPr>
      <w:spacing w:line="240" w:lineRule="exact"/>
    </w:pPr>
    <w:rPr>
      <w:vertAlign w:val="superscript"/>
      <w:lang w:val="en-GB"/>
    </w:rPr>
  </w:style>
  <w:style w:type="paragraph" w:customStyle="1" w:styleId="demo-img">
    <w:name w:val="demo-img"/>
    <w:basedOn w:val="Normal"/>
    <w:rsid w:val="00CB77E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D5516-8C65-4283-9D5B-91BC836E84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38656-249A-49EE-B12B-C2E20EF4122E}">
  <ds:schemaRefs>
    <ds:schemaRef ds:uri="http://schemas.microsoft.com/sharepoint/v3/contenttype/forms"/>
  </ds:schemaRefs>
</ds:datastoreItem>
</file>

<file path=customXml/itemProps3.xml><?xml version="1.0" encoding="utf-8"?>
<ds:datastoreItem xmlns:ds="http://schemas.openxmlformats.org/officeDocument/2006/customXml" ds:itemID="{253D55EA-8DB5-42C0-8B76-9FEFC32C57B7}">
  <ds:schemaRefs>
    <ds:schemaRef ds:uri="http://schemas.openxmlformats.org/officeDocument/2006/bibliography"/>
  </ds:schemaRefs>
</ds:datastoreItem>
</file>

<file path=customXml/itemProps4.xml><?xml version="1.0" encoding="utf-8"?>
<ds:datastoreItem xmlns:ds="http://schemas.openxmlformats.org/officeDocument/2006/customXml" ds:itemID="{B597105B-A3B5-4DE7-90E5-42EFDC72A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Alexandra Salcudean</cp:lastModifiedBy>
  <cp:revision>82</cp:revision>
  <cp:lastPrinted>2020-07-29T16:16:00Z</cp:lastPrinted>
  <dcterms:created xsi:type="dcterms:W3CDTF">2021-03-03T16:21:00Z</dcterms:created>
  <dcterms:modified xsi:type="dcterms:W3CDTF">2022-01-06T08:41:00Z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