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807D" w14:textId="77777777" w:rsidR="007504DB" w:rsidRPr="00A7748B" w:rsidRDefault="007504DB" w:rsidP="00676E66">
      <w:pPr>
        <w:jc w:val="both"/>
        <w:rPr>
          <w:rFonts w:cstheme="minorHAnsi"/>
          <w:b/>
          <w:bCs/>
          <w:lang w:eastAsia="ar-SA"/>
        </w:rPr>
      </w:pPr>
      <w:bookmarkStart w:id="0" w:name="_Toc43460364"/>
      <w:bookmarkStart w:id="1" w:name="_Toc37251193"/>
      <w:bookmarkStart w:id="2" w:name="_Toc40199438"/>
      <w:bookmarkStart w:id="3" w:name="_Toc68518924"/>
    </w:p>
    <w:p w14:paraId="760497DC" w14:textId="77777777" w:rsidR="00457F32" w:rsidRPr="00A7748B" w:rsidRDefault="00457F32" w:rsidP="007057EA">
      <w:pPr>
        <w:spacing w:after="200" w:line="264" w:lineRule="auto"/>
        <w:jc w:val="center"/>
        <w:rPr>
          <w:rFonts w:ascii="Calibri" w:eastAsia="Times New Roman" w:hAnsi="Calibri" w:cs="Calibri"/>
          <w:b/>
          <w:bCs/>
          <w:sz w:val="32"/>
          <w:szCs w:val="32"/>
        </w:rPr>
      </w:pPr>
    </w:p>
    <w:p w14:paraId="00406BB1" w14:textId="77777777" w:rsidR="00457F32" w:rsidRPr="00A7748B" w:rsidRDefault="00457F32" w:rsidP="007057EA">
      <w:pPr>
        <w:spacing w:after="200" w:line="264" w:lineRule="auto"/>
        <w:jc w:val="center"/>
        <w:rPr>
          <w:rFonts w:ascii="Calibri" w:eastAsia="Times New Roman" w:hAnsi="Calibri" w:cs="Calibri"/>
          <w:b/>
          <w:bCs/>
          <w:sz w:val="32"/>
          <w:szCs w:val="32"/>
        </w:rPr>
      </w:pPr>
    </w:p>
    <w:p w14:paraId="6073877A" w14:textId="77777777" w:rsidR="00457F32" w:rsidRPr="00A7748B" w:rsidRDefault="00457F32" w:rsidP="007057EA">
      <w:pPr>
        <w:spacing w:after="200" w:line="264" w:lineRule="auto"/>
        <w:jc w:val="center"/>
        <w:rPr>
          <w:rFonts w:ascii="Calibri" w:eastAsia="Times New Roman" w:hAnsi="Calibri" w:cs="Calibri"/>
          <w:b/>
          <w:bCs/>
          <w:sz w:val="32"/>
          <w:szCs w:val="32"/>
        </w:rPr>
      </w:pPr>
    </w:p>
    <w:p w14:paraId="525E349C" w14:textId="77777777" w:rsidR="00457F32" w:rsidRPr="00A7748B" w:rsidRDefault="00457F32" w:rsidP="007057EA">
      <w:pPr>
        <w:spacing w:after="200" w:line="264" w:lineRule="auto"/>
        <w:jc w:val="center"/>
        <w:rPr>
          <w:rFonts w:ascii="Calibri" w:eastAsia="Times New Roman" w:hAnsi="Calibri" w:cs="Calibri"/>
          <w:b/>
          <w:bCs/>
          <w:sz w:val="32"/>
          <w:szCs w:val="32"/>
        </w:rPr>
      </w:pPr>
    </w:p>
    <w:p w14:paraId="5D45ED7E" w14:textId="034382B0" w:rsidR="00457F32" w:rsidRPr="00A7748B" w:rsidRDefault="00BD037F" w:rsidP="007057EA">
      <w:pPr>
        <w:spacing w:after="200" w:line="264" w:lineRule="auto"/>
        <w:jc w:val="center"/>
        <w:rPr>
          <w:rFonts w:ascii="Calibri" w:eastAsia="Times New Roman" w:hAnsi="Calibri" w:cs="Calibri"/>
          <w:b/>
          <w:bCs/>
          <w:sz w:val="32"/>
          <w:szCs w:val="32"/>
        </w:rPr>
      </w:pPr>
      <w:r w:rsidRPr="00A7748B">
        <w:rPr>
          <w:rFonts w:ascii="Calibri" w:eastAsia="Times New Roman" w:hAnsi="Calibri" w:cs="Calibri"/>
          <w:b/>
          <w:bCs/>
          <w:sz w:val="32"/>
          <w:szCs w:val="32"/>
        </w:rPr>
        <w:t xml:space="preserve"> </w:t>
      </w:r>
    </w:p>
    <w:p w14:paraId="1E2F7FD5" w14:textId="52CBE985" w:rsidR="007057EA" w:rsidRPr="00A7748B" w:rsidRDefault="007057EA" w:rsidP="007057EA">
      <w:pPr>
        <w:spacing w:after="200" w:line="264" w:lineRule="auto"/>
        <w:jc w:val="center"/>
        <w:rPr>
          <w:rFonts w:ascii="Calibri" w:eastAsia="Times New Roman" w:hAnsi="Calibri" w:cs="Calibri"/>
          <w:b/>
          <w:bCs/>
          <w:color w:val="1E505E" w:themeColor="accent3" w:themeShade="80"/>
          <w:sz w:val="32"/>
          <w:szCs w:val="32"/>
        </w:rPr>
      </w:pPr>
      <w:r w:rsidRPr="00A7748B">
        <w:rPr>
          <w:rFonts w:ascii="Calibri" w:eastAsia="Times New Roman" w:hAnsi="Calibri" w:cs="Calibri"/>
          <w:b/>
          <w:bCs/>
          <w:color w:val="1E505E" w:themeColor="accent3" w:themeShade="80"/>
          <w:sz w:val="32"/>
          <w:szCs w:val="32"/>
        </w:rPr>
        <w:t>Evaluarea interven</w:t>
      </w:r>
      <w:r w:rsidR="007F52CA" w:rsidRPr="00A7748B">
        <w:rPr>
          <w:rFonts w:ascii="Calibri" w:eastAsia="Times New Roman" w:hAnsi="Calibri" w:cs="Calibri"/>
          <w:b/>
          <w:bCs/>
          <w:color w:val="1E505E" w:themeColor="accent3" w:themeShade="80"/>
          <w:sz w:val="32"/>
          <w:szCs w:val="32"/>
        </w:rPr>
        <w:t>ț</w:t>
      </w:r>
      <w:r w:rsidRPr="00A7748B">
        <w:rPr>
          <w:rFonts w:ascii="Calibri" w:eastAsia="Times New Roman" w:hAnsi="Calibri" w:cs="Calibri"/>
          <w:b/>
          <w:bCs/>
          <w:color w:val="1E505E" w:themeColor="accent3" w:themeShade="80"/>
          <w:sz w:val="32"/>
          <w:szCs w:val="32"/>
        </w:rPr>
        <w:t>iilor POCU în domeniul incluziunii sociale</w:t>
      </w:r>
    </w:p>
    <w:p w14:paraId="1F47D33E" w14:textId="77777777" w:rsidR="007057EA" w:rsidRPr="00A7748B" w:rsidRDefault="007057EA" w:rsidP="007057EA">
      <w:pPr>
        <w:spacing w:after="0"/>
        <w:jc w:val="center"/>
        <w:rPr>
          <w:rFonts w:ascii="Calibri" w:eastAsiaTheme="majorEastAsia" w:hAnsi="Calibri" w:cs="Calibri"/>
          <w:i/>
          <w:spacing w:val="-10"/>
          <w:kern w:val="28"/>
          <w:sz w:val="32"/>
          <w:szCs w:val="56"/>
        </w:rPr>
      </w:pPr>
    </w:p>
    <w:p w14:paraId="217FA23B" w14:textId="28E8CB61" w:rsidR="007057EA" w:rsidRPr="00A7748B" w:rsidRDefault="00FD5AE2" w:rsidP="007057EA">
      <w:pPr>
        <w:pBdr>
          <w:top w:val="single" w:sz="4" w:space="11" w:color="4F81BD"/>
          <w:bottom w:val="single" w:sz="4" w:space="10" w:color="4F81BD"/>
        </w:pBdr>
        <w:spacing w:after="200" w:line="264" w:lineRule="auto"/>
        <w:ind w:left="864" w:right="864"/>
        <w:jc w:val="center"/>
        <w:rPr>
          <w:rFonts w:ascii="Calibri" w:eastAsia="Calibri" w:hAnsi="Calibri" w:cs="Calibri"/>
          <w:b/>
          <w:bCs/>
          <w:color w:val="2D788C" w:themeColor="accent3" w:themeShade="BF"/>
          <w:sz w:val="28"/>
          <w:szCs w:val="28"/>
          <w:lang w:eastAsia="ar-SA"/>
        </w:rPr>
      </w:pPr>
      <w:r w:rsidRPr="00A7748B">
        <w:rPr>
          <w:rFonts w:ascii="Calibri" w:eastAsia="Calibri" w:hAnsi="Calibri" w:cs="Calibri"/>
          <w:b/>
          <w:bCs/>
          <w:color w:val="2D788C" w:themeColor="accent3" w:themeShade="BF"/>
          <w:sz w:val="28"/>
          <w:szCs w:val="28"/>
          <w:lang w:eastAsia="ar-SA"/>
        </w:rPr>
        <w:t>(TE3)</w:t>
      </w:r>
      <w:r w:rsidR="00206C4E" w:rsidRPr="00A7748B">
        <w:rPr>
          <w:rFonts w:ascii="Calibri" w:eastAsia="Calibri" w:hAnsi="Calibri" w:cs="Calibri"/>
          <w:b/>
          <w:bCs/>
          <w:color w:val="2D788C" w:themeColor="accent3" w:themeShade="BF"/>
          <w:sz w:val="28"/>
          <w:szCs w:val="28"/>
          <w:lang w:eastAsia="ar-SA"/>
        </w:rPr>
        <w:t>.</w:t>
      </w:r>
      <w:r w:rsidR="0057158F" w:rsidRPr="00A7748B">
        <w:rPr>
          <w:rFonts w:ascii="Calibri" w:eastAsia="Calibri" w:hAnsi="Calibri" w:cs="Calibri"/>
          <w:b/>
          <w:bCs/>
          <w:color w:val="2D788C" w:themeColor="accent3" w:themeShade="BF"/>
          <w:sz w:val="28"/>
          <w:szCs w:val="28"/>
          <w:lang w:eastAsia="ar-SA"/>
        </w:rPr>
        <w:t xml:space="preserve"> ANEXA</w:t>
      </w:r>
      <w:r w:rsidR="00206C4E" w:rsidRPr="00A7748B">
        <w:rPr>
          <w:rFonts w:ascii="Calibri" w:eastAsia="Calibri" w:hAnsi="Calibri" w:cs="Calibri"/>
          <w:b/>
          <w:bCs/>
          <w:color w:val="2D788C" w:themeColor="accent3" w:themeShade="BF"/>
          <w:sz w:val="28"/>
          <w:szCs w:val="28"/>
          <w:lang w:eastAsia="ar-SA"/>
        </w:rPr>
        <w:t xml:space="preserve"> </w:t>
      </w:r>
      <w:r w:rsidRPr="00A7748B">
        <w:rPr>
          <w:rFonts w:ascii="Calibri" w:eastAsia="Calibri" w:hAnsi="Calibri" w:cs="Calibri"/>
          <w:b/>
          <w:bCs/>
          <w:color w:val="2D788C" w:themeColor="accent3" w:themeShade="BF"/>
          <w:sz w:val="28"/>
          <w:szCs w:val="28"/>
          <w:lang w:eastAsia="ar-SA"/>
        </w:rPr>
        <w:t xml:space="preserve">2. Literatura de </w:t>
      </w:r>
      <w:r w:rsidR="00206C4E" w:rsidRPr="00A7748B">
        <w:rPr>
          <w:rFonts w:ascii="Calibri" w:eastAsia="Calibri" w:hAnsi="Calibri" w:cs="Calibri"/>
          <w:b/>
          <w:bCs/>
          <w:color w:val="2D788C" w:themeColor="accent3" w:themeShade="BF"/>
          <w:sz w:val="28"/>
          <w:szCs w:val="28"/>
          <w:lang w:eastAsia="ar-SA"/>
        </w:rPr>
        <w:t>specialitate</w:t>
      </w:r>
      <w:r w:rsidRPr="00A7748B">
        <w:rPr>
          <w:rFonts w:ascii="Calibri" w:eastAsia="Calibri" w:hAnsi="Calibri" w:cs="Calibri"/>
          <w:b/>
          <w:bCs/>
          <w:color w:val="2D788C" w:themeColor="accent3" w:themeShade="BF"/>
          <w:sz w:val="28"/>
          <w:szCs w:val="28"/>
          <w:lang w:eastAsia="ar-SA"/>
        </w:rPr>
        <w:t xml:space="preserve"> și bibliografie</w:t>
      </w:r>
    </w:p>
    <w:p w14:paraId="09C7649C" w14:textId="77777777" w:rsidR="0037521F" w:rsidRPr="00A7748B" w:rsidRDefault="0037521F" w:rsidP="0037521F">
      <w:pPr>
        <w:pStyle w:val="Listparagraf"/>
        <w:rPr>
          <w:rFonts w:asciiTheme="minorHAnsi" w:hAnsiTheme="minorHAnsi"/>
          <w:b/>
          <w:bCs/>
          <w:color w:val="2D788C" w:themeColor="accent3" w:themeShade="BF"/>
          <w:sz w:val="22"/>
          <w:szCs w:val="22"/>
        </w:rPr>
      </w:pPr>
    </w:p>
    <w:bookmarkEnd w:id="0"/>
    <w:bookmarkEnd w:id="1"/>
    <w:bookmarkEnd w:id="2"/>
    <w:bookmarkEnd w:id="3"/>
    <w:p w14:paraId="7EA297A6" w14:textId="5F78F2C7" w:rsidR="00676E66" w:rsidRPr="00A7748B" w:rsidRDefault="007504DB" w:rsidP="007504DB">
      <w:pPr>
        <w:rPr>
          <w:rFonts w:eastAsia="Times New Roman" w:cstheme="minorHAnsi"/>
          <w:b/>
          <w:bCs/>
          <w:sz w:val="20"/>
          <w:szCs w:val="20"/>
          <w:highlight w:val="yellow"/>
        </w:rPr>
      </w:pPr>
      <w:r w:rsidRPr="00A7748B">
        <w:rPr>
          <w:b/>
          <w:bCs/>
          <w:highlight w:val="yellow"/>
        </w:rPr>
        <w:br w:type="page"/>
      </w:r>
    </w:p>
    <w:p w14:paraId="3E06B3A7" w14:textId="77777777" w:rsidR="007504DB" w:rsidRPr="00A7748B" w:rsidRDefault="007504DB" w:rsidP="007504DB">
      <w:pPr>
        <w:rPr>
          <w:rFonts w:eastAsia="Times New Roman" w:cstheme="minorHAnsi"/>
          <w:b/>
          <w:bCs/>
          <w:sz w:val="20"/>
          <w:szCs w:val="20"/>
          <w:highlight w:val="yellow"/>
        </w:rPr>
      </w:pPr>
    </w:p>
    <w:p w14:paraId="3233CE9B" w14:textId="0889DE03" w:rsidR="009C02B1" w:rsidRPr="00A7748B" w:rsidRDefault="009C02B1" w:rsidP="00B463FC">
      <w:pPr>
        <w:jc w:val="both"/>
        <w:rPr>
          <w:rFonts w:cstheme="minorHAnsi"/>
        </w:rPr>
      </w:pPr>
    </w:p>
    <w:sdt>
      <w:sdtPr>
        <w:rPr>
          <w:rFonts w:asciiTheme="minorHAnsi" w:eastAsiaTheme="minorHAnsi" w:hAnsiTheme="minorHAnsi" w:cstheme="minorHAnsi"/>
          <w:b/>
          <w:bCs/>
          <w:color w:val="2D788C" w:themeColor="accent3" w:themeShade="BF"/>
          <w:sz w:val="28"/>
          <w:szCs w:val="28"/>
        </w:rPr>
        <w:id w:val="349386304"/>
        <w:docPartObj>
          <w:docPartGallery w:val="Table of Contents"/>
          <w:docPartUnique/>
        </w:docPartObj>
      </w:sdtPr>
      <w:sdtEndPr>
        <w:rPr>
          <w:rFonts w:cstheme="minorBidi"/>
          <w:color w:val="auto"/>
          <w:sz w:val="22"/>
          <w:szCs w:val="22"/>
        </w:rPr>
      </w:sdtEndPr>
      <w:sdtContent>
        <w:p w14:paraId="30DE7B9C" w14:textId="250A36D2" w:rsidR="009C02B1" w:rsidRPr="00A7748B" w:rsidRDefault="006D4977" w:rsidP="00C51E59">
          <w:pPr>
            <w:pStyle w:val="Titlucuprins"/>
            <w:spacing w:before="0"/>
            <w:jc w:val="both"/>
            <w:rPr>
              <w:rFonts w:asciiTheme="minorHAnsi" w:hAnsiTheme="minorHAnsi" w:cstheme="minorHAnsi"/>
              <w:b/>
              <w:bCs/>
              <w:color w:val="2D788C" w:themeColor="accent3" w:themeShade="BF"/>
              <w:sz w:val="28"/>
              <w:szCs w:val="28"/>
            </w:rPr>
          </w:pPr>
          <w:r w:rsidRPr="00A7748B">
            <w:rPr>
              <w:rFonts w:asciiTheme="minorHAnsi" w:hAnsiTheme="minorHAnsi" w:cstheme="minorHAnsi"/>
              <w:b/>
              <w:bCs/>
              <w:color w:val="2D788C" w:themeColor="accent3" w:themeShade="BF"/>
              <w:sz w:val="28"/>
              <w:szCs w:val="28"/>
            </w:rPr>
            <w:t>CUPRINS</w:t>
          </w:r>
        </w:p>
        <w:p w14:paraId="13E5E352" w14:textId="77777777" w:rsidR="008D4DC7" w:rsidRPr="00A7748B" w:rsidRDefault="008D4DC7" w:rsidP="008D4DC7"/>
        <w:p w14:paraId="5AC27F48" w14:textId="18C90B6A" w:rsidR="00F42008" w:rsidRPr="00A7748B" w:rsidRDefault="009C02B1">
          <w:pPr>
            <w:pStyle w:val="Cuprins1"/>
            <w:rPr>
              <w:rFonts w:eastAsiaTheme="minorEastAsia"/>
              <w:noProof/>
              <w:lang w:eastAsia="ro-RO"/>
            </w:rPr>
          </w:pPr>
          <w:r w:rsidRPr="00A7748B">
            <w:rPr>
              <w:rFonts w:cstheme="minorHAnsi"/>
            </w:rPr>
            <w:fldChar w:fldCharType="begin"/>
          </w:r>
          <w:r w:rsidRPr="00A7748B">
            <w:rPr>
              <w:rFonts w:cstheme="minorHAnsi"/>
            </w:rPr>
            <w:instrText xml:space="preserve"> TOC \o "1-3" \h \z \u </w:instrText>
          </w:r>
          <w:r w:rsidRPr="00A7748B">
            <w:rPr>
              <w:rFonts w:cstheme="minorHAnsi"/>
            </w:rPr>
            <w:fldChar w:fldCharType="separate"/>
          </w:r>
          <w:hyperlink w:anchor="_Toc89198549" w:history="1">
            <w:r w:rsidR="00F42008" w:rsidRPr="00A7748B">
              <w:rPr>
                <w:rStyle w:val="Hyperlink"/>
                <w:bCs/>
                <w:noProof/>
              </w:rPr>
              <w:t>1.</w:t>
            </w:r>
            <w:r w:rsidR="00F42008" w:rsidRPr="00A7748B">
              <w:rPr>
                <w:rFonts w:eastAsiaTheme="minorEastAsia"/>
                <w:noProof/>
                <w:lang w:eastAsia="ro-RO"/>
              </w:rPr>
              <w:t xml:space="preserve"> </w:t>
            </w:r>
            <w:r w:rsidR="00F42008" w:rsidRPr="00A7748B">
              <w:rPr>
                <w:rStyle w:val="Hyperlink"/>
                <w:bCs/>
                <w:noProof/>
              </w:rPr>
              <w:t>LITERATURA DE SPECIALITATE</w:t>
            </w:r>
            <w:r w:rsidR="00F42008" w:rsidRPr="00A7748B">
              <w:rPr>
                <w:noProof/>
                <w:webHidden/>
              </w:rPr>
              <w:tab/>
            </w:r>
            <w:r w:rsidR="00F42008" w:rsidRPr="00A7748B">
              <w:rPr>
                <w:noProof/>
                <w:webHidden/>
              </w:rPr>
              <w:fldChar w:fldCharType="begin"/>
            </w:r>
            <w:r w:rsidR="00F42008" w:rsidRPr="00A7748B">
              <w:rPr>
                <w:noProof/>
                <w:webHidden/>
              </w:rPr>
              <w:instrText xml:space="preserve"> PAGEREF _Toc89198549 \h </w:instrText>
            </w:r>
            <w:r w:rsidR="00F42008" w:rsidRPr="00A7748B">
              <w:rPr>
                <w:noProof/>
                <w:webHidden/>
              </w:rPr>
            </w:r>
            <w:r w:rsidR="00F42008" w:rsidRPr="00A7748B">
              <w:rPr>
                <w:noProof/>
                <w:webHidden/>
              </w:rPr>
              <w:fldChar w:fldCharType="separate"/>
            </w:r>
            <w:r w:rsidR="00F42008" w:rsidRPr="00A7748B">
              <w:rPr>
                <w:noProof/>
                <w:webHidden/>
              </w:rPr>
              <w:t>3</w:t>
            </w:r>
            <w:r w:rsidR="00F42008" w:rsidRPr="00A7748B">
              <w:rPr>
                <w:noProof/>
                <w:webHidden/>
              </w:rPr>
              <w:fldChar w:fldCharType="end"/>
            </w:r>
          </w:hyperlink>
        </w:p>
        <w:p w14:paraId="7299D4DB" w14:textId="77777777" w:rsidR="00F42008" w:rsidRPr="00A7748B" w:rsidRDefault="00B631E8">
          <w:pPr>
            <w:pStyle w:val="Cuprins1"/>
            <w:rPr>
              <w:rFonts w:eastAsiaTheme="minorEastAsia"/>
              <w:noProof/>
              <w:lang w:eastAsia="ro-RO"/>
            </w:rPr>
          </w:pPr>
          <w:hyperlink w:anchor="_Toc89198550" w:history="1">
            <w:r w:rsidR="00F42008" w:rsidRPr="00A7748B">
              <w:rPr>
                <w:rStyle w:val="Hyperlink"/>
                <w:bCs/>
                <w:noProof/>
              </w:rPr>
              <w:t>2. BIBLIOGRAFIE</w:t>
            </w:r>
            <w:r w:rsidR="00F42008" w:rsidRPr="00A7748B">
              <w:rPr>
                <w:noProof/>
                <w:webHidden/>
              </w:rPr>
              <w:tab/>
            </w:r>
            <w:r w:rsidR="00F42008" w:rsidRPr="00A7748B">
              <w:rPr>
                <w:noProof/>
                <w:webHidden/>
              </w:rPr>
              <w:fldChar w:fldCharType="begin"/>
            </w:r>
            <w:r w:rsidR="00F42008" w:rsidRPr="00A7748B">
              <w:rPr>
                <w:noProof/>
                <w:webHidden/>
              </w:rPr>
              <w:instrText xml:space="preserve"> PAGEREF _Toc89198550 \h </w:instrText>
            </w:r>
            <w:r w:rsidR="00F42008" w:rsidRPr="00A7748B">
              <w:rPr>
                <w:noProof/>
                <w:webHidden/>
              </w:rPr>
            </w:r>
            <w:r w:rsidR="00F42008" w:rsidRPr="00A7748B">
              <w:rPr>
                <w:noProof/>
                <w:webHidden/>
              </w:rPr>
              <w:fldChar w:fldCharType="separate"/>
            </w:r>
            <w:r w:rsidR="00F42008" w:rsidRPr="00A7748B">
              <w:rPr>
                <w:noProof/>
                <w:webHidden/>
              </w:rPr>
              <w:t>8</w:t>
            </w:r>
            <w:r w:rsidR="00F42008" w:rsidRPr="00A7748B">
              <w:rPr>
                <w:noProof/>
                <w:webHidden/>
              </w:rPr>
              <w:fldChar w:fldCharType="end"/>
            </w:r>
          </w:hyperlink>
        </w:p>
        <w:p w14:paraId="6238D08F" w14:textId="1014D617" w:rsidR="009C02B1" w:rsidRPr="00A7748B" w:rsidRDefault="009C02B1" w:rsidP="008D4DC7">
          <w:pPr>
            <w:pStyle w:val="Cuprins1"/>
          </w:pPr>
          <w:r w:rsidRPr="00A7748B">
            <w:rPr>
              <w:sz w:val="20"/>
              <w:szCs w:val="20"/>
            </w:rPr>
            <w:fldChar w:fldCharType="end"/>
          </w:r>
        </w:p>
      </w:sdtContent>
    </w:sdt>
    <w:p w14:paraId="695C860C" w14:textId="042822D9" w:rsidR="006D4977" w:rsidRPr="00A7748B" w:rsidRDefault="006D4977">
      <w:pPr>
        <w:rPr>
          <w:rFonts w:cstheme="minorHAnsi"/>
        </w:rPr>
      </w:pPr>
    </w:p>
    <w:p w14:paraId="12CD9E86" w14:textId="75473D4A" w:rsidR="006D4977" w:rsidRPr="00A7748B" w:rsidRDefault="006D4977">
      <w:pPr>
        <w:rPr>
          <w:rFonts w:cstheme="minorHAnsi"/>
        </w:rPr>
      </w:pPr>
    </w:p>
    <w:p w14:paraId="5713F4A8" w14:textId="77777777" w:rsidR="006D4977" w:rsidRPr="00A7748B" w:rsidRDefault="006D4977" w:rsidP="00351273">
      <w:pPr>
        <w:spacing w:before="120" w:after="120" w:line="240" w:lineRule="auto"/>
        <w:jc w:val="both"/>
        <w:rPr>
          <w:rFonts w:cstheme="minorHAnsi"/>
          <w:sz w:val="20"/>
          <w:szCs w:val="20"/>
        </w:rPr>
      </w:pPr>
    </w:p>
    <w:p w14:paraId="2FA8E80B" w14:textId="77777777" w:rsidR="00817D51" w:rsidRPr="00A7748B" w:rsidRDefault="00817D51" w:rsidP="00351273">
      <w:pPr>
        <w:spacing w:before="120" w:after="120" w:line="240" w:lineRule="auto"/>
        <w:jc w:val="both"/>
        <w:rPr>
          <w:rFonts w:cstheme="minorHAnsi"/>
          <w:sz w:val="20"/>
          <w:szCs w:val="20"/>
        </w:rPr>
      </w:pPr>
    </w:p>
    <w:p w14:paraId="7DDACCB4" w14:textId="77777777" w:rsidR="00817D51" w:rsidRPr="00A7748B" w:rsidRDefault="00817D51" w:rsidP="00351273">
      <w:pPr>
        <w:spacing w:before="120" w:after="120" w:line="240" w:lineRule="auto"/>
        <w:jc w:val="both"/>
        <w:rPr>
          <w:rFonts w:cstheme="minorHAnsi"/>
          <w:sz w:val="20"/>
          <w:szCs w:val="20"/>
        </w:rPr>
      </w:pPr>
    </w:p>
    <w:p w14:paraId="4DEC0602" w14:textId="77777777" w:rsidR="00817D51" w:rsidRPr="00A7748B" w:rsidRDefault="00817D51" w:rsidP="00351273">
      <w:pPr>
        <w:spacing w:before="120" w:after="120" w:line="240" w:lineRule="auto"/>
        <w:jc w:val="both"/>
        <w:rPr>
          <w:rFonts w:cstheme="minorHAnsi"/>
          <w:sz w:val="20"/>
          <w:szCs w:val="20"/>
        </w:rPr>
      </w:pPr>
    </w:p>
    <w:p w14:paraId="72AF54DD" w14:textId="77777777" w:rsidR="00817D51" w:rsidRPr="00A7748B" w:rsidRDefault="00817D51" w:rsidP="00351273">
      <w:pPr>
        <w:spacing w:before="120" w:after="120" w:line="240" w:lineRule="auto"/>
        <w:jc w:val="both"/>
        <w:rPr>
          <w:rFonts w:cstheme="minorHAnsi"/>
          <w:sz w:val="20"/>
          <w:szCs w:val="20"/>
        </w:rPr>
      </w:pPr>
    </w:p>
    <w:p w14:paraId="4B578FD4" w14:textId="77777777" w:rsidR="00817D51" w:rsidRPr="00A7748B" w:rsidRDefault="00817D51" w:rsidP="00351273">
      <w:pPr>
        <w:spacing w:before="120" w:after="120" w:line="240" w:lineRule="auto"/>
        <w:jc w:val="both"/>
        <w:rPr>
          <w:rFonts w:cstheme="minorHAnsi"/>
          <w:sz w:val="20"/>
          <w:szCs w:val="20"/>
        </w:rPr>
      </w:pPr>
    </w:p>
    <w:p w14:paraId="7935A76E" w14:textId="77777777" w:rsidR="00817D51" w:rsidRPr="00A7748B" w:rsidRDefault="00817D51" w:rsidP="00351273">
      <w:pPr>
        <w:spacing w:before="120" w:after="120" w:line="240" w:lineRule="auto"/>
        <w:jc w:val="both"/>
        <w:rPr>
          <w:rFonts w:cstheme="minorHAnsi"/>
          <w:sz w:val="20"/>
          <w:szCs w:val="20"/>
        </w:rPr>
      </w:pPr>
    </w:p>
    <w:p w14:paraId="1A652AFD" w14:textId="77777777" w:rsidR="00817D51" w:rsidRPr="00A7748B" w:rsidRDefault="00817D51" w:rsidP="00351273">
      <w:pPr>
        <w:spacing w:before="120" w:after="120" w:line="240" w:lineRule="auto"/>
        <w:jc w:val="both"/>
        <w:rPr>
          <w:rFonts w:cstheme="minorHAnsi"/>
          <w:sz w:val="20"/>
          <w:szCs w:val="20"/>
        </w:rPr>
      </w:pPr>
    </w:p>
    <w:p w14:paraId="362EE17C" w14:textId="77777777" w:rsidR="00817D51" w:rsidRPr="00A7748B" w:rsidRDefault="00817D51" w:rsidP="00351273">
      <w:pPr>
        <w:spacing w:before="120" w:after="120" w:line="240" w:lineRule="auto"/>
        <w:jc w:val="both"/>
        <w:rPr>
          <w:rFonts w:cstheme="minorHAnsi"/>
          <w:sz w:val="20"/>
          <w:szCs w:val="20"/>
        </w:rPr>
      </w:pPr>
    </w:p>
    <w:p w14:paraId="251E9D8B" w14:textId="77777777" w:rsidR="00817D51" w:rsidRPr="00A7748B" w:rsidRDefault="00817D51" w:rsidP="00351273">
      <w:pPr>
        <w:spacing w:before="120" w:after="120" w:line="240" w:lineRule="auto"/>
        <w:jc w:val="both"/>
        <w:rPr>
          <w:rFonts w:cstheme="minorHAnsi"/>
          <w:sz w:val="20"/>
          <w:szCs w:val="20"/>
        </w:rPr>
      </w:pPr>
    </w:p>
    <w:p w14:paraId="5646C909" w14:textId="77777777" w:rsidR="00817D51" w:rsidRPr="00A7748B" w:rsidRDefault="00817D51" w:rsidP="00351273">
      <w:pPr>
        <w:spacing w:before="120" w:after="120" w:line="240" w:lineRule="auto"/>
        <w:jc w:val="both"/>
        <w:rPr>
          <w:rFonts w:cstheme="minorHAnsi"/>
          <w:sz w:val="20"/>
          <w:szCs w:val="20"/>
        </w:rPr>
      </w:pPr>
    </w:p>
    <w:p w14:paraId="749B4D3C" w14:textId="77777777" w:rsidR="00817D51" w:rsidRPr="00A7748B" w:rsidRDefault="00817D51" w:rsidP="00351273">
      <w:pPr>
        <w:spacing w:before="120" w:after="120" w:line="240" w:lineRule="auto"/>
        <w:jc w:val="both"/>
        <w:rPr>
          <w:rFonts w:cstheme="minorHAnsi"/>
          <w:sz w:val="20"/>
          <w:szCs w:val="20"/>
        </w:rPr>
      </w:pPr>
    </w:p>
    <w:p w14:paraId="3F8D2704" w14:textId="77777777" w:rsidR="00817D51" w:rsidRPr="00A7748B" w:rsidRDefault="00817D51" w:rsidP="00351273">
      <w:pPr>
        <w:spacing w:before="120" w:after="120" w:line="240" w:lineRule="auto"/>
        <w:jc w:val="both"/>
        <w:rPr>
          <w:rFonts w:cstheme="minorHAnsi"/>
          <w:sz w:val="20"/>
          <w:szCs w:val="20"/>
        </w:rPr>
      </w:pPr>
    </w:p>
    <w:p w14:paraId="6F74AA0F" w14:textId="77777777" w:rsidR="00F42008" w:rsidRPr="00A7748B" w:rsidRDefault="00F42008" w:rsidP="00351273">
      <w:pPr>
        <w:spacing w:before="120" w:after="120" w:line="240" w:lineRule="auto"/>
        <w:jc w:val="both"/>
        <w:rPr>
          <w:rFonts w:cstheme="minorHAnsi"/>
          <w:sz w:val="20"/>
          <w:szCs w:val="20"/>
        </w:rPr>
      </w:pPr>
    </w:p>
    <w:p w14:paraId="69ACE374" w14:textId="77777777" w:rsidR="00F42008" w:rsidRPr="00A7748B" w:rsidRDefault="00F42008" w:rsidP="00351273">
      <w:pPr>
        <w:spacing w:before="120" w:after="120" w:line="240" w:lineRule="auto"/>
        <w:jc w:val="both"/>
        <w:rPr>
          <w:rFonts w:cstheme="minorHAnsi"/>
          <w:sz w:val="20"/>
          <w:szCs w:val="20"/>
        </w:rPr>
      </w:pPr>
    </w:p>
    <w:p w14:paraId="289ED500" w14:textId="77777777" w:rsidR="00F42008" w:rsidRPr="00A7748B" w:rsidRDefault="00F42008" w:rsidP="00351273">
      <w:pPr>
        <w:spacing w:before="120" w:after="120" w:line="240" w:lineRule="auto"/>
        <w:jc w:val="both"/>
        <w:rPr>
          <w:rFonts w:cstheme="minorHAnsi"/>
          <w:sz w:val="20"/>
          <w:szCs w:val="20"/>
        </w:rPr>
      </w:pPr>
    </w:p>
    <w:p w14:paraId="705E1E24" w14:textId="77777777" w:rsidR="00F42008" w:rsidRPr="00A7748B" w:rsidRDefault="00F42008" w:rsidP="00351273">
      <w:pPr>
        <w:spacing w:before="120" w:after="120" w:line="240" w:lineRule="auto"/>
        <w:jc w:val="both"/>
        <w:rPr>
          <w:rFonts w:cstheme="minorHAnsi"/>
          <w:sz w:val="20"/>
          <w:szCs w:val="20"/>
        </w:rPr>
      </w:pPr>
    </w:p>
    <w:p w14:paraId="65B72D4F" w14:textId="77777777" w:rsidR="00F42008" w:rsidRPr="00A7748B" w:rsidRDefault="00F42008" w:rsidP="00351273">
      <w:pPr>
        <w:spacing w:before="120" w:after="120" w:line="240" w:lineRule="auto"/>
        <w:jc w:val="both"/>
        <w:rPr>
          <w:rFonts w:cstheme="minorHAnsi"/>
          <w:sz w:val="20"/>
          <w:szCs w:val="20"/>
        </w:rPr>
      </w:pPr>
    </w:p>
    <w:p w14:paraId="3F520EA2" w14:textId="77777777" w:rsidR="00F42008" w:rsidRPr="00A7748B" w:rsidRDefault="00F42008" w:rsidP="00351273">
      <w:pPr>
        <w:spacing w:before="120" w:after="120" w:line="240" w:lineRule="auto"/>
        <w:jc w:val="both"/>
        <w:rPr>
          <w:rFonts w:cstheme="minorHAnsi"/>
          <w:sz w:val="20"/>
          <w:szCs w:val="20"/>
        </w:rPr>
      </w:pPr>
    </w:p>
    <w:p w14:paraId="4A083C03" w14:textId="77777777" w:rsidR="00F42008" w:rsidRPr="00A7748B" w:rsidRDefault="00F42008" w:rsidP="00351273">
      <w:pPr>
        <w:spacing w:before="120" w:after="120" w:line="240" w:lineRule="auto"/>
        <w:jc w:val="both"/>
        <w:rPr>
          <w:rFonts w:cstheme="minorHAnsi"/>
          <w:sz w:val="20"/>
          <w:szCs w:val="20"/>
        </w:rPr>
      </w:pPr>
    </w:p>
    <w:p w14:paraId="38F30CCB" w14:textId="77777777" w:rsidR="00F42008" w:rsidRPr="00A7748B" w:rsidRDefault="00F42008" w:rsidP="00351273">
      <w:pPr>
        <w:spacing w:before="120" w:after="120" w:line="240" w:lineRule="auto"/>
        <w:jc w:val="both"/>
        <w:rPr>
          <w:rFonts w:cstheme="minorHAnsi"/>
          <w:sz w:val="20"/>
          <w:szCs w:val="20"/>
        </w:rPr>
      </w:pPr>
    </w:p>
    <w:p w14:paraId="5F3E8915" w14:textId="77777777" w:rsidR="00F42008" w:rsidRPr="00A7748B" w:rsidRDefault="00F42008" w:rsidP="00351273">
      <w:pPr>
        <w:spacing w:before="120" w:after="120" w:line="240" w:lineRule="auto"/>
        <w:jc w:val="both"/>
        <w:rPr>
          <w:rFonts w:cstheme="minorHAnsi"/>
          <w:sz w:val="20"/>
          <w:szCs w:val="20"/>
        </w:rPr>
      </w:pPr>
    </w:p>
    <w:p w14:paraId="7D1DD373" w14:textId="77777777" w:rsidR="00F42008" w:rsidRPr="00A7748B" w:rsidRDefault="00F42008" w:rsidP="00351273">
      <w:pPr>
        <w:spacing w:before="120" w:after="120" w:line="240" w:lineRule="auto"/>
        <w:jc w:val="both"/>
        <w:rPr>
          <w:rFonts w:cstheme="minorHAnsi"/>
          <w:sz w:val="20"/>
          <w:szCs w:val="20"/>
        </w:rPr>
      </w:pPr>
    </w:p>
    <w:p w14:paraId="7C45E766" w14:textId="77777777" w:rsidR="00F42008" w:rsidRPr="00A7748B" w:rsidRDefault="00F42008" w:rsidP="00351273">
      <w:pPr>
        <w:spacing w:before="120" w:after="120" w:line="240" w:lineRule="auto"/>
        <w:jc w:val="both"/>
        <w:rPr>
          <w:rFonts w:cstheme="minorHAnsi"/>
          <w:sz w:val="20"/>
          <w:szCs w:val="20"/>
        </w:rPr>
      </w:pPr>
    </w:p>
    <w:p w14:paraId="42A8B0F4" w14:textId="0109C91A" w:rsidR="00AB3DF2" w:rsidRPr="00A7748B" w:rsidRDefault="00F42008" w:rsidP="00732926">
      <w:pPr>
        <w:pStyle w:val="Titlu1"/>
        <w:numPr>
          <w:ilvl w:val="0"/>
          <w:numId w:val="12"/>
        </w:numPr>
        <w:jc w:val="both"/>
        <w:rPr>
          <w:b/>
          <w:bCs/>
          <w:color w:val="2D788C" w:themeColor="accent3" w:themeShade="BF"/>
          <w:sz w:val="24"/>
          <w:szCs w:val="24"/>
        </w:rPr>
      </w:pPr>
      <w:bookmarkStart w:id="4" w:name="_Toc89198549"/>
      <w:r w:rsidRPr="00A7748B">
        <w:rPr>
          <w:b/>
          <w:bCs/>
          <w:color w:val="2D788C" w:themeColor="accent3" w:themeShade="BF"/>
          <w:sz w:val="24"/>
          <w:szCs w:val="24"/>
        </w:rPr>
        <w:t>LITERATURA DE SPECIALITATE</w:t>
      </w:r>
      <w:bookmarkEnd w:id="4"/>
    </w:p>
    <w:p w14:paraId="7D82AFED" w14:textId="77777777" w:rsidR="006D4977" w:rsidRPr="00A7748B" w:rsidRDefault="006D4977" w:rsidP="00822BC1">
      <w:pPr>
        <w:spacing w:before="120" w:after="120" w:line="240" w:lineRule="auto"/>
        <w:jc w:val="both"/>
        <w:rPr>
          <w:rFonts w:cstheme="minorHAnsi"/>
          <w:color w:val="000000" w:themeColor="text1"/>
          <w:sz w:val="20"/>
          <w:szCs w:val="20"/>
        </w:rPr>
      </w:pPr>
    </w:p>
    <w:p w14:paraId="6EF076C6" w14:textId="1A859A8E" w:rsidR="00670D3A" w:rsidRPr="00A7748B" w:rsidRDefault="00670D3A" w:rsidP="00822BC1">
      <w:pPr>
        <w:spacing w:before="120" w:after="120" w:line="240" w:lineRule="auto"/>
        <w:jc w:val="both"/>
        <w:rPr>
          <w:rFonts w:cstheme="minorHAnsi"/>
          <w:sz w:val="20"/>
          <w:szCs w:val="20"/>
        </w:rPr>
      </w:pPr>
      <w:r w:rsidRPr="00A7748B">
        <w:rPr>
          <w:rFonts w:cstheme="minorHAnsi"/>
          <w:color w:val="000000" w:themeColor="text1"/>
          <w:sz w:val="20"/>
          <w:szCs w:val="20"/>
        </w:rPr>
        <w:t>În anul 2016, Administra</w:t>
      </w:r>
      <w:r w:rsidR="007F52CA" w:rsidRPr="00A7748B">
        <w:rPr>
          <w:rFonts w:cstheme="minorHAnsi"/>
          <w:color w:val="000000" w:themeColor="text1"/>
          <w:sz w:val="20"/>
          <w:szCs w:val="20"/>
        </w:rPr>
        <w:t>ț</w:t>
      </w:r>
      <w:r w:rsidRPr="00A7748B">
        <w:rPr>
          <w:rFonts w:cstheme="minorHAnsi"/>
          <w:color w:val="000000" w:themeColor="text1"/>
          <w:sz w:val="20"/>
          <w:szCs w:val="20"/>
        </w:rPr>
        <w:t>ia Preziden</w:t>
      </w:r>
      <w:r w:rsidR="007F52CA" w:rsidRPr="00A7748B">
        <w:rPr>
          <w:rFonts w:cstheme="minorHAnsi"/>
          <w:color w:val="000000" w:themeColor="text1"/>
          <w:sz w:val="20"/>
          <w:szCs w:val="20"/>
        </w:rPr>
        <w:t>ț</w:t>
      </w:r>
      <w:r w:rsidRPr="00A7748B">
        <w:rPr>
          <w:rFonts w:cstheme="minorHAnsi"/>
          <w:color w:val="000000" w:themeColor="text1"/>
          <w:sz w:val="20"/>
          <w:szCs w:val="20"/>
        </w:rPr>
        <w:t>ială din România a lansat proiectul „România Educată”, punct de la care digitalizarea sistemului de educa</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ie </w:t>
      </w:r>
      <w:r w:rsidR="007F52CA" w:rsidRPr="00A7748B">
        <w:rPr>
          <w:rFonts w:cstheme="minorHAnsi"/>
          <w:color w:val="000000" w:themeColor="text1"/>
          <w:sz w:val="20"/>
          <w:szCs w:val="20"/>
        </w:rPr>
        <w:t>ș</w:t>
      </w:r>
      <w:r w:rsidRPr="00A7748B">
        <w:rPr>
          <w:rFonts w:cstheme="minorHAnsi"/>
          <w:color w:val="000000" w:themeColor="text1"/>
          <w:sz w:val="20"/>
          <w:szCs w:val="20"/>
        </w:rPr>
        <w:t>i îmbunătă</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irea alfabetizării digitale din România a devenit un subiect prioritar. În urma lansării proiectului a rezultat o viziune de </w:t>
      </w:r>
      <w:r w:rsidR="007F52CA" w:rsidRPr="00A7748B">
        <w:rPr>
          <w:rFonts w:cstheme="minorHAnsi"/>
          <w:color w:val="000000" w:themeColor="text1"/>
          <w:sz w:val="20"/>
          <w:szCs w:val="20"/>
        </w:rPr>
        <w:t>ț</w:t>
      </w:r>
      <w:r w:rsidRPr="00A7748B">
        <w:rPr>
          <w:rFonts w:cstheme="minorHAnsi"/>
          <w:color w:val="000000" w:themeColor="text1"/>
          <w:sz w:val="20"/>
          <w:szCs w:val="20"/>
        </w:rPr>
        <w:t>ară până în anul 2030</w:t>
      </w:r>
      <w:r w:rsidR="002E411F" w:rsidRPr="00A7748B">
        <w:rPr>
          <w:rFonts w:cstheme="minorHAnsi"/>
          <w:color w:val="000000" w:themeColor="text1"/>
          <w:sz w:val="20"/>
          <w:szCs w:val="20"/>
        </w:rPr>
        <w:t xml:space="preserve"> („Strategia privind digitalizarea educa</w:t>
      </w:r>
      <w:r w:rsidR="007F52CA" w:rsidRPr="00A7748B">
        <w:rPr>
          <w:rFonts w:cstheme="minorHAnsi"/>
          <w:color w:val="000000" w:themeColor="text1"/>
          <w:sz w:val="20"/>
          <w:szCs w:val="20"/>
        </w:rPr>
        <w:t>ț</w:t>
      </w:r>
      <w:r w:rsidR="002E411F" w:rsidRPr="00A7748B">
        <w:rPr>
          <w:rFonts w:cstheme="minorHAnsi"/>
          <w:color w:val="000000" w:themeColor="text1"/>
          <w:sz w:val="20"/>
          <w:szCs w:val="20"/>
        </w:rPr>
        <w:t>iei din România” elaborată de Ministerul Educa</w:t>
      </w:r>
      <w:r w:rsidR="007F52CA" w:rsidRPr="00A7748B">
        <w:rPr>
          <w:rFonts w:cstheme="minorHAnsi"/>
          <w:color w:val="000000" w:themeColor="text1"/>
          <w:sz w:val="20"/>
          <w:szCs w:val="20"/>
        </w:rPr>
        <w:t>ț</w:t>
      </w:r>
      <w:r w:rsidR="002E411F" w:rsidRPr="00A7748B">
        <w:rPr>
          <w:rFonts w:cstheme="minorHAnsi"/>
          <w:color w:val="000000" w:themeColor="text1"/>
          <w:sz w:val="20"/>
          <w:szCs w:val="20"/>
        </w:rPr>
        <w:t xml:space="preserve">iei </w:t>
      </w:r>
      <w:r w:rsidR="007F52CA" w:rsidRPr="00A7748B">
        <w:rPr>
          <w:rFonts w:cstheme="minorHAnsi"/>
          <w:color w:val="000000" w:themeColor="text1"/>
          <w:sz w:val="20"/>
          <w:szCs w:val="20"/>
        </w:rPr>
        <w:t>ș</w:t>
      </w:r>
      <w:r w:rsidR="002E411F" w:rsidRPr="00A7748B">
        <w:rPr>
          <w:rFonts w:cstheme="minorHAnsi"/>
          <w:color w:val="000000" w:themeColor="text1"/>
          <w:sz w:val="20"/>
          <w:szCs w:val="20"/>
        </w:rPr>
        <w:t>i Cercetării)</w:t>
      </w:r>
      <w:r w:rsidRPr="00A7748B">
        <w:rPr>
          <w:rFonts w:cstheme="minorHAnsi"/>
          <w:color w:val="000000" w:themeColor="text1"/>
          <w:sz w:val="20"/>
          <w:szCs w:val="20"/>
        </w:rPr>
        <w:t xml:space="preserve">, care a vizat următoarele transformări: conectarea permanentă la internet; dinamica accentuată a profesiilor; scăderea </w:t>
      </w:r>
      <w:r w:rsidR="007F52CA" w:rsidRPr="00A7748B">
        <w:rPr>
          <w:rFonts w:cstheme="minorHAnsi"/>
          <w:color w:val="000000" w:themeColor="text1"/>
          <w:sz w:val="20"/>
          <w:szCs w:val="20"/>
        </w:rPr>
        <w:t>ș</w:t>
      </w:r>
      <w:r w:rsidRPr="00A7748B">
        <w:rPr>
          <w:rFonts w:cstheme="minorHAnsi"/>
          <w:color w:val="000000" w:themeColor="text1"/>
          <w:sz w:val="20"/>
          <w:szCs w:val="20"/>
        </w:rPr>
        <w:t>i îmbătrânirea popula</w:t>
      </w:r>
      <w:r w:rsidR="007F52CA" w:rsidRPr="00A7748B">
        <w:rPr>
          <w:rFonts w:cstheme="minorHAnsi"/>
          <w:color w:val="000000" w:themeColor="text1"/>
          <w:sz w:val="20"/>
          <w:szCs w:val="20"/>
        </w:rPr>
        <w:t>ț</w:t>
      </w:r>
      <w:r w:rsidRPr="00A7748B">
        <w:rPr>
          <w:rFonts w:cstheme="minorHAnsi"/>
          <w:color w:val="000000" w:themeColor="text1"/>
          <w:sz w:val="20"/>
          <w:szCs w:val="20"/>
        </w:rPr>
        <w:t>iei; urbanizarea crescută a popula</w:t>
      </w:r>
      <w:r w:rsidR="007F52CA" w:rsidRPr="00A7748B">
        <w:rPr>
          <w:rFonts w:cstheme="minorHAnsi"/>
          <w:color w:val="000000" w:themeColor="text1"/>
          <w:sz w:val="20"/>
          <w:szCs w:val="20"/>
        </w:rPr>
        <w:t>ț</w:t>
      </w:r>
      <w:r w:rsidRPr="00A7748B">
        <w:rPr>
          <w:rFonts w:cstheme="minorHAnsi"/>
          <w:color w:val="000000" w:themeColor="text1"/>
          <w:sz w:val="20"/>
          <w:szCs w:val="20"/>
        </w:rPr>
        <w:t>iei, tot mai concentrată în jurul ora</w:t>
      </w:r>
      <w:r w:rsidR="007F52CA" w:rsidRPr="00A7748B">
        <w:rPr>
          <w:rFonts w:cstheme="minorHAnsi"/>
          <w:color w:val="000000" w:themeColor="text1"/>
          <w:sz w:val="20"/>
          <w:szCs w:val="20"/>
        </w:rPr>
        <w:t>ș</w:t>
      </w:r>
      <w:r w:rsidRPr="00A7748B">
        <w:rPr>
          <w:rFonts w:cstheme="minorHAnsi"/>
          <w:color w:val="000000" w:themeColor="text1"/>
          <w:sz w:val="20"/>
          <w:szCs w:val="20"/>
        </w:rPr>
        <w:t>elor dinamice; cre</w:t>
      </w:r>
      <w:r w:rsidR="007F52CA" w:rsidRPr="00A7748B">
        <w:rPr>
          <w:rFonts w:cstheme="minorHAnsi"/>
          <w:color w:val="000000" w:themeColor="text1"/>
          <w:sz w:val="20"/>
          <w:szCs w:val="20"/>
        </w:rPr>
        <w:t>ș</w:t>
      </w:r>
      <w:r w:rsidRPr="00A7748B">
        <w:rPr>
          <w:rFonts w:cstheme="minorHAnsi"/>
          <w:color w:val="000000" w:themeColor="text1"/>
          <w:sz w:val="20"/>
          <w:szCs w:val="20"/>
        </w:rPr>
        <w:t>terea diversită</w:t>
      </w:r>
      <w:r w:rsidR="007F52CA" w:rsidRPr="00A7748B">
        <w:rPr>
          <w:rFonts w:cstheme="minorHAnsi"/>
          <w:color w:val="000000" w:themeColor="text1"/>
          <w:sz w:val="20"/>
          <w:szCs w:val="20"/>
        </w:rPr>
        <w:t>ț</w:t>
      </w:r>
      <w:r w:rsidRPr="00A7748B">
        <w:rPr>
          <w:rFonts w:cstheme="minorHAnsi"/>
          <w:color w:val="000000" w:themeColor="text1"/>
          <w:sz w:val="20"/>
          <w:szCs w:val="20"/>
        </w:rPr>
        <w:t>ii familiilor; apari</w:t>
      </w:r>
      <w:r w:rsidR="007F52CA" w:rsidRPr="00A7748B">
        <w:rPr>
          <w:rFonts w:cstheme="minorHAnsi"/>
          <w:color w:val="000000" w:themeColor="text1"/>
          <w:sz w:val="20"/>
          <w:szCs w:val="20"/>
        </w:rPr>
        <w:t>ț</w:t>
      </w:r>
      <w:r w:rsidRPr="00A7748B">
        <w:rPr>
          <w:rFonts w:cstheme="minorHAnsi"/>
          <w:color w:val="000000" w:themeColor="text1"/>
          <w:sz w:val="20"/>
          <w:szCs w:val="20"/>
        </w:rPr>
        <w:t>ia de noi abordări ale democra</w:t>
      </w:r>
      <w:r w:rsidR="007F52CA" w:rsidRPr="00A7748B">
        <w:rPr>
          <w:rFonts w:cstheme="minorHAnsi"/>
          <w:color w:val="000000" w:themeColor="text1"/>
          <w:sz w:val="20"/>
          <w:szCs w:val="20"/>
        </w:rPr>
        <w:t>ț</w:t>
      </w:r>
      <w:r w:rsidRPr="00A7748B">
        <w:rPr>
          <w:rFonts w:cstheme="minorHAnsi"/>
          <w:color w:val="000000" w:themeColor="text1"/>
          <w:sz w:val="20"/>
          <w:szCs w:val="20"/>
        </w:rPr>
        <w:t>iei participative (de exemplu cetă</w:t>
      </w:r>
      <w:r w:rsidR="007F52CA" w:rsidRPr="00A7748B">
        <w:rPr>
          <w:rFonts w:cstheme="minorHAnsi"/>
          <w:color w:val="000000" w:themeColor="text1"/>
          <w:sz w:val="20"/>
          <w:szCs w:val="20"/>
        </w:rPr>
        <w:t>ț</w:t>
      </w:r>
      <w:r w:rsidRPr="00A7748B">
        <w:rPr>
          <w:rFonts w:cstheme="minorHAnsi"/>
          <w:color w:val="000000" w:themeColor="text1"/>
          <w:sz w:val="20"/>
          <w:szCs w:val="20"/>
        </w:rPr>
        <w:t>enia electronică); cre</w:t>
      </w:r>
      <w:r w:rsidR="007F52CA" w:rsidRPr="00A7748B">
        <w:rPr>
          <w:rFonts w:cstheme="minorHAnsi"/>
          <w:color w:val="000000" w:themeColor="text1"/>
          <w:sz w:val="20"/>
          <w:szCs w:val="20"/>
        </w:rPr>
        <w:t>ș</w:t>
      </w:r>
      <w:r w:rsidRPr="00A7748B">
        <w:rPr>
          <w:rFonts w:cstheme="minorHAnsi"/>
          <w:color w:val="000000" w:themeColor="text1"/>
          <w:sz w:val="20"/>
          <w:szCs w:val="20"/>
        </w:rPr>
        <w:t>terea diversită</w:t>
      </w:r>
      <w:r w:rsidR="007F52CA" w:rsidRPr="00A7748B">
        <w:rPr>
          <w:rFonts w:cstheme="minorHAnsi"/>
          <w:color w:val="000000" w:themeColor="text1"/>
          <w:sz w:val="20"/>
          <w:szCs w:val="20"/>
        </w:rPr>
        <w:t>ț</w:t>
      </w:r>
      <w:r w:rsidRPr="00A7748B">
        <w:rPr>
          <w:rFonts w:cstheme="minorHAnsi"/>
          <w:color w:val="000000" w:themeColor="text1"/>
          <w:sz w:val="20"/>
          <w:szCs w:val="20"/>
        </w:rPr>
        <w:t>ii etnoculturale; robotizarea avansată; cre</w:t>
      </w:r>
      <w:r w:rsidR="007F52CA" w:rsidRPr="00A7748B">
        <w:rPr>
          <w:rFonts w:cstheme="minorHAnsi"/>
          <w:color w:val="000000" w:themeColor="text1"/>
          <w:sz w:val="20"/>
          <w:szCs w:val="20"/>
        </w:rPr>
        <w:t>ș</w:t>
      </w:r>
      <w:r w:rsidRPr="00A7748B">
        <w:rPr>
          <w:rFonts w:cstheme="minorHAnsi"/>
          <w:color w:val="000000" w:themeColor="text1"/>
          <w:sz w:val="20"/>
          <w:szCs w:val="20"/>
        </w:rPr>
        <w:t>terea ponderii serviciilor în economie; adâncirea inegalită</w:t>
      </w:r>
      <w:r w:rsidR="007F52CA" w:rsidRPr="00A7748B">
        <w:rPr>
          <w:rFonts w:cstheme="minorHAnsi"/>
          <w:color w:val="000000" w:themeColor="text1"/>
          <w:sz w:val="20"/>
          <w:szCs w:val="20"/>
        </w:rPr>
        <w:t>ț</w:t>
      </w:r>
      <w:r w:rsidRPr="00A7748B">
        <w:rPr>
          <w:rFonts w:cstheme="minorHAnsi"/>
          <w:color w:val="000000" w:themeColor="text1"/>
          <w:sz w:val="20"/>
          <w:szCs w:val="20"/>
        </w:rPr>
        <w:t>ii sociale; cre</w:t>
      </w:r>
      <w:r w:rsidR="007F52CA" w:rsidRPr="00A7748B">
        <w:rPr>
          <w:rFonts w:cstheme="minorHAnsi"/>
          <w:color w:val="000000" w:themeColor="text1"/>
          <w:sz w:val="20"/>
          <w:szCs w:val="20"/>
        </w:rPr>
        <w:t>ș</w:t>
      </w:r>
      <w:r w:rsidRPr="00A7748B">
        <w:rPr>
          <w:rFonts w:cstheme="minorHAnsi"/>
          <w:color w:val="000000" w:themeColor="text1"/>
          <w:sz w:val="20"/>
          <w:szCs w:val="20"/>
        </w:rPr>
        <w:t>terea impactului schimbărilor climatice; repolarizarea lumii (care devine policentrică); dezvoltarea realită</w:t>
      </w:r>
      <w:r w:rsidR="007F52CA" w:rsidRPr="00A7748B">
        <w:rPr>
          <w:rFonts w:cstheme="minorHAnsi"/>
          <w:color w:val="000000" w:themeColor="text1"/>
          <w:sz w:val="20"/>
          <w:szCs w:val="20"/>
        </w:rPr>
        <w:t>ț</w:t>
      </w:r>
      <w:r w:rsidRPr="00A7748B">
        <w:rPr>
          <w:rFonts w:cstheme="minorHAnsi"/>
          <w:color w:val="000000" w:themeColor="text1"/>
          <w:sz w:val="20"/>
          <w:szCs w:val="20"/>
        </w:rPr>
        <w:t>ii virtuale; cre</w:t>
      </w:r>
      <w:r w:rsidR="007F52CA" w:rsidRPr="00A7748B">
        <w:rPr>
          <w:rFonts w:cstheme="minorHAnsi"/>
          <w:color w:val="000000" w:themeColor="text1"/>
          <w:sz w:val="20"/>
          <w:szCs w:val="20"/>
        </w:rPr>
        <w:t>ș</w:t>
      </w:r>
      <w:r w:rsidRPr="00A7748B">
        <w:rPr>
          <w:rFonts w:cstheme="minorHAnsi"/>
          <w:color w:val="000000" w:themeColor="text1"/>
          <w:sz w:val="20"/>
          <w:szCs w:val="20"/>
        </w:rPr>
        <w:t>terea inciden</w:t>
      </w:r>
      <w:r w:rsidR="007F52CA" w:rsidRPr="00A7748B">
        <w:rPr>
          <w:rFonts w:cstheme="minorHAnsi"/>
          <w:color w:val="000000" w:themeColor="text1"/>
          <w:sz w:val="20"/>
          <w:szCs w:val="20"/>
        </w:rPr>
        <w:t>ț</w:t>
      </w:r>
      <w:r w:rsidRPr="00A7748B">
        <w:rPr>
          <w:rFonts w:cstheme="minorHAnsi"/>
          <w:color w:val="000000" w:themeColor="text1"/>
          <w:sz w:val="20"/>
          <w:szCs w:val="20"/>
        </w:rPr>
        <w:t>ei bolilor cauzate de stres; cre</w:t>
      </w:r>
      <w:r w:rsidR="007F52CA" w:rsidRPr="00A7748B">
        <w:rPr>
          <w:rFonts w:cstheme="minorHAnsi"/>
          <w:color w:val="000000" w:themeColor="text1"/>
          <w:sz w:val="20"/>
          <w:szCs w:val="20"/>
        </w:rPr>
        <w:t>ș</w:t>
      </w:r>
      <w:r w:rsidRPr="00A7748B">
        <w:rPr>
          <w:rFonts w:cstheme="minorHAnsi"/>
          <w:color w:val="000000" w:themeColor="text1"/>
          <w:sz w:val="20"/>
          <w:szCs w:val="20"/>
        </w:rPr>
        <w:t>terea competi</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iei globale pentru talente. </w:t>
      </w:r>
    </w:p>
    <w:p w14:paraId="788CA88C" w14:textId="6C2C888F" w:rsidR="00670D3A" w:rsidRPr="00A7748B" w:rsidRDefault="00670D3A" w:rsidP="00822BC1">
      <w:pPr>
        <w:spacing w:before="120" w:after="120" w:line="240" w:lineRule="auto"/>
        <w:jc w:val="both"/>
        <w:rPr>
          <w:rFonts w:cstheme="minorHAnsi"/>
          <w:sz w:val="20"/>
          <w:szCs w:val="20"/>
        </w:rPr>
      </w:pPr>
      <w:r w:rsidRPr="00A7748B">
        <w:rPr>
          <w:rFonts w:cstheme="minorHAnsi"/>
          <w:sz w:val="20"/>
          <w:szCs w:val="20"/>
        </w:rPr>
        <w:t xml:space="preserve">Comunicarea Comisiei Europene cu privire la </w:t>
      </w:r>
      <w:r w:rsidRPr="00A7748B">
        <w:rPr>
          <w:rFonts w:cstheme="minorHAnsi"/>
          <w:b/>
          <w:sz w:val="20"/>
          <w:szCs w:val="20"/>
        </w:rPr>
        <w:t>„Planul de ac</w:t>
      </w:r>
      <w:r w:rsidR="007F52CA" w:rsidRPr="00A7748B">
        <w:rPr>
          <w:rFonts w:cstheme="minorHAnsi"/>
          <w:b/>
          <w:sz w:val="20"/>
          <w:szCs w:val="20"/>
        </w:rPr>
        <w:t>ț</w:t>
      </w:r>
      <w:r w:rsidRPr="00A7748B">
        <w:rPr>
          <w:rFonts w:cstheme="minorHAnsi"/>
          <w:b/>
          <w:sz w:val="20"/>
          <w:szCs w:val="20"/>
        </w:rPr>
        <w:t>iune privind educa</w:t>
      </w:r>
      <w:r w:rsidR="007F52CA" w:rsidRPr="00A7748B">
        <w:rPr>
          <w:rFonts w:cstheme="minorHAnsi"/>
          <w:b/>
          <w:sz w:val="20"/>
          <w:szCs w:val="20"/>
        </w:rPr>
        <w:t>ț</w:t>
      </w:r>
      <w:r w:rsidRPr="00A7748B">
        <w:rPr>
          <w:rFonts w:cstheme="minorHAnsi"/>
          <w:b/>
          <w:sz w:val="20"/>
          <w:szCs w:val="20"/>
        </w:rPr>
        <w:t xml:space="preserve">ia digitală” </w:t>
      </w:r>
      <w:r w:rsidRPr="00A7748B">
        <w:rPr>
          <w:rFonts w:cstheme="minorHAnsi"/>
          <w:sz w:val="20"/>
          <w:szCs w:val="20"/>
        </w:rPr>
        <w:t>din ianuarie 2018 define</w:t>
      </w:r>
      <w:r w:rsidR="007F52CA" w:rsidRPr="00A7748B">
        <w:rPr>
          <w:rFonts w:cstheme="minorHAnsi"/>
          <w:sz w:val="20"/>
          <w:szCs w:val="20"/>
        </w:rPr>
        <w:t>ș</w:t>
      </w:r>
      <w:r w:rsidRPr="00A7748B">
        <w:rPr>
          <w:rFonts w:cstheme="minorHAnsi"/>
          <w:sz w:val="20"/>
          <w:szCs w:val="20"/>
        </w:rPr>
        <w:t>te competen</w:t>
      </w:r>
      <w:r w:rsidR="007F52CA" w:rsidRPr="00A7748B">
        <w:rPr>
          <w:rFonts w:cstheme="minorHAnsi"/>
          <w:sz w:val="20"/>
          <w:szCs w:val="20"/>
        </w:rPr>
        <w:t>ț</w:t>
      </w:r>
      <w:r w:rsidRPr="00A7748B">
        <w:rPr>
          <w:rFonts w:cstheme="minorHAnsi"/>
          <w:sz w:val="20"/>
          <w:szCs w:val="20"/>
        </w:rPr>
        <w:t xml:space="preserve">a digitală din punct de vedere al utilizării critice </w:t>
      </w:r>
      <w:r w:rsidR="007F52CA" w:rsidRPr="00A7748B">
        <w:rPr>
          <w:rFonts w:cstheme="minorHAnsi"/>
          <w:sz w:val="20"/>
          <w:szCs w:val="20"/>
        </w:rPr>
        <w:t>ș</w:t>
      </w:r>
      <w:r w:rsidRPr="00A7748B">
        <w:rPr>
          <w:rFonts w:cstheme="minorHAnsi"/>
          <w:sz w:val="20"/>
          <w:szCs w:val="20"/>
        </w:rPr>
        <w:t>i încrederii tehnologiei digitale</w:t>
      </w:r>
      <w:r w:rsidR="002E411F" w:rsidRPr="00A7748B">
        <w:rPr>
          <w:rFonts w:cstheme="minorHAnsi"/>
          <w:sz w:val="20"/>
          <w:szCs w:val="20"/>
        </w:rPr>
        <w:t xml:space="preserve"> (Comisia Europeană, 2018).</w:t>
      </w:r>
      <w:r w:rsidRPr="00A7748B">
        <w:rPr>
          <w:rFonts w:cstheme="minorHAnsi"/>
          <w:sz w:val="20"/>
          <w:szCs w:val="20"/>
        </w:rPr>
        <w:t xml:space="preserve"> În acest sens, planul se concentrează pe nevoia de a încuraja, sprijini </w:t>
      </w:r>
      <w:r w:rsidR="007F52CA" w:rsidRPr="00A7748B">
        <w:rPr>
          <w:rFonts w:cstheme="minorHAnsi"/>
          <w:sz w:val="20"/>
          <w:szCs w:val="20"/>
        </w:rPr>
        <w:t>ș</w:t>
      </w:r>
      <w:r w:rsidRPr="00A7748B">
        <w:rPr>
          <w:rFonts w:cstheme="minorHAnsi"/>
          <w:sz w:val="20"/>
          <w:szCs w:val="20"/>
        </w:rPr>
        <w:t>i cre</w:t>
      </w:r>
      <w:r w:rsidR="007F52CA" w:rsidRPr="00A7748B">
        <w:rPr>
          <w:rFonts w:cstheme="minorHAnsi"/>
          <w:sz w:val="20"/>
          <w:szCs w:val="20"/>
        </w:rPr>
        <w:t>ș</w:t>
      </w:r>
      <w:r w:rsidRPr="00A7748B">
        <w:rPr>
          <w:rFonts w:cstheme="minorHAnsi"/>
          <w:sz w:val="20"/>
          <w:szCs w:val="20"/>
        </w:rPr>
        <w:t>te utilizarea con</w:t>
      </w:r>
      <w:r w:rsidR="007F52CA" w:rsidRPr="00A7748B">
        <w:rPr>
          <w:rFonts w:cstheme="minorHAnsi"/>
          <w:sz w:val="20"/>
          <w:szCs w:val="20"/>
        </w:rPr>
        <w:t>ș</w:t>
      </w:r>
      <w:r w:rsidRPr="00A7748B">
        <w:rPr>
          <w:rFonts w:cstheme="minorHAnsi"/>
          <w:sz w:val="20"/>
          <w:szCs w:val="20"/>
        </w:rPr>
        <w:t>tientă a practicilor educa</w:t>
      </w:r>
      <w:r w:rsidR="007F52CA" w:rsidRPr="00A7748B">
        <w:rPr>
          <w:rFonts w:cstheme="minorHAnsi"/>
          <w:sz w:val="20"/>
          <w:szCs w:val="20"/>
        </w:rPr>
        <w:t>ț</w:t>
      </w:r>
      <w:r w:rsidRPr="00A7748B">
        <w:rPr>
          <w:rFonts w:cstheme="minorHAnsi"/>
          <w:sz w:val="20"/>
          <w:szCs w:val="20"/>
        </w:rPr>
        <w:t xml:space="preserve">ionale digitale </w:t>
      </w:r>
      <w:r w:rsidR="007F52CA" w:rsidRPr="00A7748B">
        <w:rPr>
          <w:rFonts w:cstheme="minorHAnsi"/>
          <w:sz w:val="20"/>
          <w:szCs w:val="20"/>
        </w:rPr>
        <w:t>ș</w:t>
      </w:r>
      <w:r w:rsidRPr="00A7748B">
        <w:rPr>
          <w:rFonts w:cstheme="minorHAnsi"/>
          <w:sz w:val="20"/>
          <w:szCs w:val="20"/>
        </w:rPr>
        <w:t>i inovatoar</w:t>
      </w:r>
      <w:r w:rsidR="00E62BB8" w:rsidRPr="00A7748B">
        <w:rPr>
          <w:rFonts w:cstheme="minorHAnsi"/>
          <w:sz w:val="20"/>
          <w:szCs w:val="20"/>
        </w:rPr>
        <w:t>e. În ceea ce prive</w:t>
      </w:r>
      <w:r w:rsidR="007F52CA" w:rsidRPr="00A7748B">
        <w:rPr>
          <w:rFonts w:cstheme="minorHAnsi"/>
          <w:sz w:val="20"/>
          <w:szCs w:val="20"/>
        </w:rPr>
        <w:t>ș</w:t>
      </w:r>
      <w:r w:rsidR="00E62BB8" w:rsidRPr="00A7748B">
        <w:rPr>
          <w:rFonts w:cstheme="minorHAnsi"/>
          <w:sz w:val="20"/>
          <w:szCs w:val="20"/>
        </w:rPr>
        <w:t>te componen</w:t>
      </w:r>
      <w:r w:rsidR="007F52CA" w:rsidRPr="00A7748B">
        <w:rPr>
          <w:rFonts w:cstheme="minorHAnsi"/>
          <w:sz w:val="20"/>
          <w:szCs w:val="20"/>
        </w:rPr>
        <w:t>ț</w:t>
      </w:r>
      <w:r w:rsidRPr="00A7748B">
        <w:rPr>
          <w:rFonts w:cstheme="minorHAnsi"/>
          <w:sz w:val="20"/>
          <w:szCs w:val="20"/>
        </w:rPr>
        <w:t>a educa</w:t>
      </w:r>
      <w:r w:rsidR="007F52CA" w:rsidRPr="00A7748B">
        <w:rPr>
          <w:rFonts w:cstheme="minorHAnsi"/>
          <w:sz w:val="20"/>
          <w:szCs w:val="20"/>
        </w:rPr>
        <w:t>ț</w:t>
      </w:r>
      <w:r w:rsidRPr="00A7748B">
        <w:rPr>
          <w:rFonts w:cstheme="minorHAnsi"/>
          <w:sz w:val="20"/>
          <w:szCs w:val="20"/>
        </w:rPr>
        <w:t>ională în raport se utilizează expresia „educa</w:t>
      </w:r>
      <w:r w:rsidR="007F52CA" w:rsidRPr="00A7748B">
        <w:rPr>
          <w:rFonts w:cstheme="minorHAnsi"/>
          <w:sz w:val="20"/>
          <w:szCs w:val="20"/>
        </w:rPr>
        <w:t>ț</w:t>
      </w:r>
      <w:r w:rsidRPr="00A7748B">
        <w:rPr>
          <w:rFonts w:cstheme="minorHAnsi"/>
          <w:sz w:val="20"/>
          <w:szCs w:val="20"/>
        </w:rPr>
        <w:t>ie digitală” pentru a eviden</w:t>
      </w:r>
      <w:r w:rsidR="007F52CA" w:rsidRPr="00A7748B">
        <w:rPr>
          <w:rFonts w:cstheme="minorHAnsi"/>
          <w:sz w:val="20"/>
          <w:szCs w:val="20"/>
        </w:rPr>
        <w:t>ț</w:t>
      </w:r>
      <w:r w:rsidRPr="00A7748B">
        <w:rPr>
          <w:rFonts w:cstheme="minorHAnsi"/>
          <w:sz w:val="20"/>
          <w:szCs w:val="20"/>
        </w:rPr>
        <w:t>ia două perspective diferite, dar complementare: formarea competen</w:t>
      </w:r>
      <w:r w:rsidR="007F52CA" w:rsidRPr="00A7748B">
        <w:rPr>
          <w:rFonts w:cstheme="minorHAnsi"/>
          <w:sz w:val="20"/>
          <w:szCs w:val="20"/>
        </w:rPr>
        <w:t>ț</w:t>
      </w:r>
      <w:r w:rsidRPr="00A7748B">
        <w:rPr>
          <w:rFonts w:cstheme="minorHAnsi"/>
          <w:sz w:val="20"/>
          <w:szCs w:val="20"/>
        </w:rPr>
        <w:t xml:space="preserve">elor digitale ale elevilor </w:t>
      </w:r>
      <w:r w:rsidR="007F52CA" w:rsidRPr="00A7748B">
        <w:rPr>
          <w:rFonts w:cstheme="minorHAnsi"/>
          <w:sz w:val="20"/>
          <w:szCs w:val="20"/>
        </w:rPr>
        <w:t>ș</w:t>
      </w:r>
      <w:r w:rsidRPr="00A7748B">
        <w:rPr>
          <w:rFonts w:cstheme="minorHAnsi"/>
          <w:sz w:val="20"/>
          <w:szCs w:val="20"/>
        </w:rPr>
        <w:t xml:space="preserve">i cadrelor didactice </w:t>
      </w:r>
      <w:r w:rsidR="007F52CA" w:rsidRPr="00A7748B">
        <w:rPr>
          <w:rFonts w:cstheme="minorHAnsi"/>
          <w:sz w:val="20"/>
          <w:szCs w:val="20"/>
        </w:rPr>
        <w:t>ș</w:t>
      </w:r>
      <w:r w:rsidRPr="00A7748B">
        <w:rPr>
          <w:rFonts w:cstheme="minorHAnsi"/>
          <w:sz w:val="20"/>
          <w:szCs w:val="20"/>
        </w:rPr>
        <w:t>i utilizarea tehnologiilor în scop pedagogic pentru a sprijini, a îmbunătă</w:t>
      </w:r>
      <w:r w:rsidR="007F52CA" w:rsidRPr="00A7748B">
        <w:rPr>
          <w:rFonts w:cstheme="minorHAnsi"/>
          <w:sz w:val="20"/>
          <w:szCs w:val="20"/>
        </w:rPr>
        <w:t>ț</w:t>
      </w:r>
      <w:r w:rsidRPr="00A7748B">
        <w:rPr>
          <w:rFonts w:cstheme="minorHAnsi"/>
          <w:sz w:val="20"/>
          <w:szCs w:val="20"/>
        </w:rPr>
        <w:t xml:space="preserve">i </w:t>
      </w:r>
      <w:r w:rsidR="007F52CA" w:rsidRPr="00A7748B">
        <w:rPr>
          <w:rFonts w:cstheme="minorHAnsi"/>
          <w:sz w:val="20"/>
          <w:szCs w:val="20"/>
        </w:rPr>
        <w:t>ș</w:t>
      </w:r>
      <w:r w:rsidRPr="00A7748B">
        <w:rPr>
          <w:rFonts w:cstheme="minorHAnsi"/>
          <w:sz w:val="20"/>
          <w:szCs w:val="20"/>
        </w:rPr>
        <w:t>i a transforma învă</w:t>
      </w:r>
      <w:r w:rsidR="007F52CA" w:rsidRPr="00A7748B">
        <w:rPr>
          <w:rFonts w:cstheme="minorHAnsi"/>
          <w:sz w:val="20"/>
          <w:szCs w:val="20"/>
        </w:rPr>
        <w:t>ț</w:t>
      </w:r>
      <w:r w:rsidRPr="00A7748B">
        <w:rPr>
          <w:rFonts w:cstheme="minorHAnsi"/>
          <w:sz w:val="20"/>
          <w:szCs w:val="20"/>
        </w:rPr>
        <w:t xml:space="preserve">area </w:t>
      </w:r>
      <w:r w:rsidR="007F52CA" w:rsidRPr="00A7748B">
        <w:rPr>
          <w:rFonts w:cstheme="minorHAnsi"/>
          <w:sz w:val="20"/>
          <w:szCs w:val="20"/>
        </w:rPr>
        <w:t>ș</w:t>
      </w:r>
      <w:r w:rsidRPr="00A7748B">
        <w:rPr>
          <w:rFonts w:cstheme="minorHAnsi"/>
          <w:sz w:val="20"/>
          <w:szCs w:val="20"/>
        </w:rPr>
        <w:t>i predarea, pe de altă parte. În ceea ce prive</w:t>
      </w:r>
      <w:r w:rsidR="007F52CA" w:rsidRPr="00A7748B">
        <w:rPr>
          <w:rFonts w:cstheme="minorHAnsi"/>
          <w:sz w:val="20"/>
          <w:szCs w:val="20"/>
        </w:rPr>
        <w:t>ș</w:t>
      </w:r>
      <w:r w:rsidRPr="00A7748B">
        <w:rPr>
          <w:rFonts w:cstheme="minorHAnsi"/>
          <w:sz w:val="20"/>
          <w:szCs w:val="20"/>
        </w:rPr>
        <w:t>te utilizarea în scop pedagogic a tehnologiilor digitale, factorul principal îl reprezintă competen</w:t>
      </w:r>
      <w:r w:rsidR="007F52CA" w:rsidRPr="00A7748B">
        <w:rPr>
          <w:rFonts w:cstheme="minorHAnsi"/>
          <w:sz w:val="20"/>
          <w:szCs w:val="20"/>
        </w:rPr>
        <w:t>ț</w:t>
      </w:r>
      <w:r w:rsidRPr="00A7748B">
        <w:rPr>
          <w:rFonts w:cstheme="minorHAnsi"/>
          <w:sz w:val="20"/>
          <w:szCs w:val="20"/>
        </w:rPr>
        <w:t xml:space="preserve">a digitală a cadrelor didactice. Politicile europene </w:t>
      </w:r>
      <w:r w:rsidR="007F52CA" w:rsidRPr="00A7748B">
        <w:rPr>
          <w:rFonts w:cstheme="minorHAnsi"/>
          <w:sz w:val="20"/>
          <w:szCs w:val="20"/>
        </w:rPr>
        <w:t>ș</w:t>
      </w:r>
      <w:r w:rsidRPr="00A7748B">
        <w:rPr>
          <w:rFonts w:cstheme="minorHAnsi"/>
          <w:sz w:val="20"/>
          <w:szCs w:val="20"/>
        </w:rPr>
        <w:t>i na</w:t>
      </w:r>
      <w:r w:rsidR="007F52CA" w:rsidRPr="00A7748B">
        <w:rPr>
          <w:rFonts w:cstheme="minorHAnsi"/>
          <w:sz w:val="20"/>
          <w:szCs w:val="20"/>
        </w:rPr>
        <w:t>ț</w:t>
      </w:r>
      <w:r w:rsidRPr="00A7748B">
        <w:rPr>
          <w:rFonts w:cstheme="minorHAnsi"/>
          <w:sz w:val="20"/>
          <w:szCs w:val="20"/>
        </w:rPr>
        <w:t>ionale au analizat ca o prioritate nevoia ca to</w:t>
      </w:r>
      <w:r w:rsidR="007F52CA" w:rsidRPr="00A7748B">
        <w:rPr>
          <w:rFonts w:cstheme="minorHAnsi"/>
          <w:sz w:val="20"/>
          <w:szCs w:val="20"/>
        </w:rPr>
        <w:t>ț</w:t>
      </w:r>
      <w:r w:rsidRPr="00A7748B">
        <w:rPr>
          <w:rFonts w:cstheme="minorHAnsi"/>
          <w:sz w:val="20"/>
          <w:szCs w:val="20"/>
        </w:rPr>
        <w:t>i cetă</w:t>
      </w:r>
      <w:r w:rsidR="007F52CA" w:rsidRPr="00A7748B">
        <w:rPr>
          <w:rFonts w:cstheme="minorHAnsi"/>
          <w:sz w:val="20"/>
          <w:szCs w:val="20"/>
        </w:rPr>
        <w:t>ț</w:t>
      </w:r>
      <w:r w:rsidRPr="00A7748B">
        <w:rPr>
          <w:rFonts w:cstheme="minorHAnsi"/>
          <w:sz w:val="20"/>
          <w:szCs w:val="20"/>
        </w:rPr>
        <w:t>enii să în</w:t>
      </w:r>
      <w:r w:rsidR="007F52CA" w:rsidRPr="00A7748B">
        <w:rPr>
          <w:rFonts w:cstheme="minorHAnsi"/>
          <w:sz w:val="20"/>
          <w:szCs w:val="20"/>
        </w:rPr>
        <w:t>ț</w:t>
      </w:r>
      <w:r w:rsidRPr="00A7748B">
        <w:rPr>
          <w:rFonts w:cstheme="minorHAnsi"/>
          <w:sz w:val="20"/>
          <w:szCs w:val="20"/>
        </w:rPr>
        <w:t>eleagă că dezvoltarea competen</w:t>
      </w:r>
      <w:r w:rsidR="007F52CA" w:rsidRPr="00A7748B">
        <w:rPr>
          <w:rFonts w:cstheme="minorHAnsi"/>
          <w:sz w:val="20"/>
          <w:szCs w:val="20"/>
        </w:rPr>
        <w:t>ț</w:t>
      </w:r>
      <w:r w:rsidRPr="00A7748B">
        <w:rPr>
          <w:rFonts w:cstheme="minorHAnsi"/>
          <w:sz w:val="20"/>
          <w:szCs w:val="20"/>
        </w:rPr>
        <w:t>ei digitale trebuie să aibă loc pe tot parcursul vie</w:t>
      </w:r>
      <w:r w:rsidR="007F52CA" w:rsidRPr="00A7748B">
        <w:rPr>
          <w:rFonts w:cstheme="minorHAnsi"/>
          <w:sz w:val="20"/>
          <w:szCs w:val="20"/>
        </w:rPr>
        <w:t>ț</w:t>
      </w:r>
      <w:r w:rsidRPr="00A7748B">
        <w:rPr>
          <w:rFonts w:cstheme="minorHAnsi"/>
          <w:sz w:val="20"/>
          <w:szCs w:val="20"/>
        </w:rPr>
        <w:t>ii.</w:t>
      </w:r>
    </w:p>
    <w:p w14:paraId="0F0ABD39" w14:textId="4DAA7172" w:rsidR="00670D3A" w:rsidRPr="00A7748B" w:rsidRDefault="00553284" w:rsidP="00822BC1">
      <w:pPr>
        <w:pStyle w:val="Textnotdesubsol"/>
        <w:spacing w:before="120" w:after="120"/>
        <w:jc w:val="both"/>
        <w:rPr>
          <w:rFonts w:cstheme="minorHAnsi"/>
          <w:color w:val="000000" w:themeColor="text1"/>
        </w:rPr>
      </w:pPr>
      <w:r w:rsidRPr="00A7748B">
        <w:rPr>
          <w:rFonts w:cstheme="minorHAnsi"/>
        </w:rPr>
        <w:t>Art</w:t>
      </w:r>
      <w:r w:rsidR="007D330D" w:rsidRPr="00A7748B">
        <w:rPr>
          <w:rFonts w:cstheme="minorHAnsi"/>
        </w:rPr>
        <w:t>i</w:t>
      </w:r>
      <w:r w:rsidRPr="00A7748B">
        <w:rPr>
          <w:rFonts w:cstheme="minorHAnsi"/>
        </w:rPr>
        <w:t xml:space="preserve">colul </w:t>
      </w:r>
      <w:r w:rsidR="00670D3A" w:rsidRPr="00A7748B">
        <w:rPr>
          <w:rFonts w:cstheme="minorHAnsi"/>
          <w:b/>
        </w:rPr>
        <w:t xml:space="preserve">„The </w:t>
      </w:r>
      <w:proofErr w:type="spellStart"/>
      <w:r w:rsidR="00670D3A" w:rsidRPr="00A7748B">
        <w:rPr>
          <w:rFonts w:cstheme="minorHAnsi"/>
          <w:b/>
        </w:rPr>
        <w:t>Future</w:t>
      </w:r>
      <w:proofErr w:type="spellEnd"/>
      <w:r w:rsidR="00670D3A" w:rsidRPr="00A7748B">
        <w:rPr>
          <w:rFonts w:cstheme="minorHAnsi"/>
          <w:b/>
        </w:rPr>
        <w:t xml:space="preserve"> Of </w:t>
      </w:r>
      <w:proofErr w:type="spellStart"/>
      <w:r w:rsidR="00670D3A" w:rsidRPr="00A7748B">
        <w:rPr>
          <w:rFonts w:cstheme="minorHAnsi"/>
          <w:b/>
        </w:rPr>
        <w:t>Work</w:t>
      </w:r>
      <w:proofErr w:type="spellEnd"/>
      <w:r w:rsidR="00670D3A" w:rsidRPr="00A7748B">
        <w:rPr>
          <w:rFonts w:cstheme="minorHAnsi"/>
          <w:b/>
        </w:rPr>
        <w:t xml:space="preserve"> </w:t>
      </w:r>
      <w:proofErr w:type="spellStart"/>
      <w:r w:rsidR="00670D3A" w:rsidRPr="00A7748B">
        <w:rPr>
          <w:rFonts w:cstheme="minorHAnsi"/>
          <w:b/>
        </w:rPr>
        <w:t>And</w:t>
      </w:r>
      <w:proofErr w:type="spellEnd"/>
      <w:r w:rsidR="00670D3A" w:rsidRPr="00A7748B">
        <w:rPr>
          <w:rFonts w:cstheme="minorHAnsi"/>
          <w:b/>
        </w:rPr>
        <w:t xml:space="preserve"> </w:t>
      </w:r>
      <w:proofErr w:type="spellStart"/>
      <w:r w:rsidR="00670D3A" w:rsidRPr="00A7748B">
        <w:rPr>
          <w:rFonts w:cstheme="minorHAnsi"/>
          <w:b/>
        </w:rPr>
        <w:t>Education</w:t>
      </w:r>
      <w:proofErr w:type="spellEnd"/>
      <w:r w:rsidR="00670D3A" w:rsidRPr="00A7748B">
        <w:rPr>
          <w:rFonts w:cstheme="minorHAnsi"/>
          <w:b/>
        </w:rPr>
        <w:t xml:space="preserve"> For The Digital </w:t>
      </w:r>
      <w:proofErr w:type="spellStart"/>
      <w:r w:rsidR="00670D3A" w:rsidRPr="00A7748B">
        <w:rPr>
          <w:rFonts w:cstheme="minorHAnsi"/>
          <w:b/>
        </w:rPr>
        <w:t>Age</w:t>
      </w:r>
      <w:proofErr w:type="spellEnd"/>
      <w:r w:rsidR="00670D3A" w:rsidRPr="00A7748B">
        <w:rPr>
          <w:rFonts w:cstheme="minorHAnsi"/>
          <w:b/>
        </w:rPr>
        <w:t xml:space="preserve"> </w:t>
      </w:r>
      <w:proofErr w:type="spellStart"/>
      <w:r w:rsidR="00670D3A" w:rsidRPr="00A7748B">
        <w:rPr>
          <w:rFonts w:cstheme="minorHAnsi"/>
          <w:b/>
        </w:rPr>
        <w:t>Bridging</w:t>
      </w:r>
      <w:proofErr w:type="spellEnd"/>
      <w:r w:rsidR="00670D3A" w:rsidRPr="00A7748B">
        <w:rPr>
          <w:rFonts w:cstheme="minorHAnsi"/>
          <w:b/>
        </w:rPr>
        <w:t xml:space="preserve"> </w:t>
      </w:r>
      <w:proofErr w:type="spellStart"/>
      <w:r w:rsidR="00670D3A" w:rsidRPr="00A7748B">
        <w:rPr>
          <w:rFonts w:cstheme="minorHAnsi"/>
          <w:b/>
        </w:rPr>
        <w:t>the</w:t>
      </w:r>
      <w:proofErr w:type="spellEnd"/>
      <w:r w:rsidR="00670D3A" w:rsidRPr="00A7748B">
        <w:rPr>
          <w:rFonts w:cstheme="minorHAnsi"/>
          <w:b/>
        </w:rPr>
        <w:t xml:space="preserve"> </w:t>
      </w:r>
      <w:proofErr w:type="spellStart"/>
      <w:r w:rsidR="00670D3A" w:rsidRPr="00A7748B">
        <w:rPr>
          <w:rFonts w:cstheme="minorHAnsi"/>
          <w:b/>
        </w:rPr>
        <w:t>Gap</w:t>
      </w:r>
      <w:proofErr w:type="spellEnd"/>
      <w:r w:rsidR="00670D3A" w:rsidRPr="00A7748B">
        <w:rPr>
          <w:rFonts w:cstheme="minorHAnsi"/>
          <w:b/>
        </w:rPr>
        <w:t xml:space="preserve"> </w:t>
      </w:r>
      <w:proofErr w:type="spellStart"/>
      <w:r w:rsidR="00670D3A" w:rsidRPr="00A7748B">
        <w:rPr>
          <w:rFonts w:cstheme="minorHAnsi"/>
          <w:b/>
        </w:rPr>
        <w:t>Between</w:t>
      </w:r>
      <w:proofErr w:type="spellEnd"/>
      <w:r w:rsidR="00670D3A" w:rsidRPr="00A7748B">
        <w:rPr>
          <w:rFonts w:cstheme="minorHAnsi"/>
          <w:b/>
        </w:rPr>
        <w:t xml:space="preserve"> Digital </w:t>
      </w:r>
      <w:proofErr w:type="spellStart"/>
      <w:r w:rsidR="00670D3A" w:rsidRPr="00A7748B">
        <w:rPr>
          <w:rFonts w:cstheme="minorHAnsi"/>
          <w:b/>
        </w:rPr>
        <w:t>Skills</w:t>
      </w:r>
      <w:proofErr w:type="spellEnd"/>
      <w:r w:rsidR="00670D3A" w:rsidRPr="00A7748B">
        <w:rPr>
          <w:rFonts w:cstheme="minorHAnsi"/>
          <w:b/>
        </w:rPr>
        <w:t xml:space="preserve"> </w:t>
      </w:r>
      <w:proofErr w:type="spellStart"/>
      <w:r w:rsidR="00670D3A" w:rsidRPr="00A7748B">
        <w:rPr>
          <w:rFonts w:cstheme="minorHAnsi"/>
          <w:b/>
        </w:rPr>
        <w:t>and</w:t>
      </w:r>
      <w:proofErr w:type="spellEnd"/>
      <w:r w:rsidR="00670D3A" w:rsidRPr="00A7748B">
        <w:rPr>
          <w:rFonts w:cstheme="minorHAnsi"/>
          <w:b/>
        </w:rPr>
        <w:t xml:space="preserve"> </w:t>
      </w:r>
      <w:proofErr w:type="spellStart"/>
      <w:r w:rsidR="00670D3A" w:rsidRPr="00A7748B">
        <w:rPr>
          <w:rFonts w:cstheme="minorHAnsi"/>
          <w:b/>
        </w:rPr>
        <w:t>Employabil</w:t>
      </w:r>
      <w:r w:rsidRPr="00A7748B">
        <w:rPr>
          <w:rFonts w:cstheme="minorHAnsi"/>
          <w:b/>
        </w:rPr>
        <w:t>ity</w:t>
      </w:r>
      <w:proofErr w:type="spellEnd"/>
      <w:r w:rsidRPr="00A7748B">
        <w:rPr>
          <w:rFonts w:cstheme="minorHAnsi"/>
          <w:b/>
        </w:rPr>
        <w:t xml:space="preserve"> for </w:t>
      </w:r>
      <w:proofErr w:type="spellStart"/>
      <w:r w:rsidRPr="00A7748B">
        <w:rPr>
          <w:rFonts w:cstheme="minorHAnsi"/>
          <w:b/>
        </w:rPr>
        <w:t>Vulnerable</w:t>
      </w:r>
      <w:proofErr w:type="spellEnd"/>
      <w:r w:rsidRPr="00A7748B">
        <w:rPr>
          <w:rFonts w:cstheme="minorHAnsi"/>
          <w:b/>
        </w:rPr>
        <w:t xml:space="preserve"> </w:t>
      </w:r>
      <w:proofErr w:type="spellStart"/>
      <w:r w:rsidRPr="00A7748B">
        <w:rPr>
          <w:rFonts w:cstheme="minorHAnsi"/>
          <w:b/>
        </w:rPr>
        <w:t>Populations</w:t>
      </w:r>
      <w:proofErr w:type="spellEnd"/>
      <w:r w:rsidRPr="00A7748B">
        <w:rPr>
          <w:rFonts w:cstheme="minorHAnsi"/>
          <w:b/>
        </w:rPr>
        <w:t xml:space="preserve">” </w:t>
      </w:r>
      <w:r w:rsidR="00670D3A" w:rsidRPr="00A7748B">
        <w:rPr>
          <w:rFonts w:cstheme="minorHAnsi"/>
        </w:rPr>
        <w:t>prezintă importan</w:t>
      </w:r>
      <w:r w:rsidR="007F52CA" w:rsidRPr="00A7748B">
        <w:rPr>
          <w:rFonts w:cstheme="minorHAnsi"/>
        </w:rPr>
        <w:t>ț</w:t>
      </w:r>
      <w:r w:rsidR="00670D3A" w:rsidRPr="00A7748B">
        <w:rPr>
          <w:rFonts w:cstheme="minorHAnsi"/>
        </w:rPr>
        <w:t>a decalajelor între abilită</w:t>
      </w:r>
      <w:r w:rsidR="007F52CA" w:rsidRPr="00A7748B">
        <w:rPr>
          <w:rFonts w:cstheme="minorHAnsi"/>
        </w:rPr>
        <w:t>ț</w:t>
      </w:r>
      <w:r w:rsidR="00670D3A" w:rsidRPr="00A7748B">
        <w:rPr>
          <w:rFonts w:cstheme="minorHAnsi"/>
        </w:rPr>
        <w:t xml:space="preserve">ile digitale </w:t>
      </w:r>
      <w:r w:rsidR="007F52CA" w:rsidRPr="00A7748B">
        <w:rPr>
          <w:rFonts w:cstheme="minorHAnsi"/>
        </w:rPr>
        <w:t>ș</w:t>
      </w:r>
      <w:r w:rsidR="00670D3A" w:rsidRPr="00A7748B">
        <w:rPr>
          <w:rFonts w:cstheme="minorHAnsi"/>
        </w:rPr>
        <w:t>i popula</w:t>
      </w:r>
      <w:r w:rsidR="007F52CA" w:rsidRPr="00A7748B">
        <w:rPr>
          <w:rFonts w:cstheme="minorHAnsi"/>
        </w:rPr>
        <w:t>ț</w:t>
      </w:r>
      <w:r w:rsidR="00670D3A" w:rsidRPr="00A7748B">
        <w:rPr>
          <w:rFonts w:cstheme="minorHAnsi"/>
        </w:rPr>
        <w:t>ia din grupurile vulnerabile. Lipsa abilită</w:t>
      </w:r>
      <w:r w:rsidR="007F52CA" w:rsidRPr="00A7748B">
        <w:rPr>
          <w:rFonts w:cstheme="minorHAnsi"/>
        </w:rPr>
        <w:t>ț</w:t>
      </w:r>
      <w:r w:rsidR="00670D3A" w:rsidRPr="00A7748B">
        <w:rPr>
          <w:rFonts w:cstheme="minorHAnsi"/>
        </w:rPr>
        <w:t>ilor digitale este văzută ca principala piedică în ob</w:t>
      </w:r>
      <w:r w:rsidR="007F52CA" w:rsidRPr="00A7748B">
        <w:rPr>
          <w:rFonts w:cstheme="minorHAnsi"/>
        </w:rPr>
        <w:t>ț</w:t>
      </w:r>
      <w:r w:rsidR="00670D3A" w:rsidRPr="00A7748B">
        <w:rPr>
          <w:rFonts w:cstheme="minorHAnsi"/>
        </w:rPr>
        <w:t>inerea unor locuri de muncă care au la bază competen</w:t>
      </w:r>
      <w:r w:rsidR="007F52CA" w:rsidRPr="00A7748B">
        <w:rPr>
          <w:rFonts w:cstheme="minorHAnsi"/>
        </w:rPr>
        <w:t>ț</w:t>
      </w:r>
      <w:r w:rsidR="00670D3A" w:rsidRPr="00A7748B">
        <w:rPr>
          <w:rFonts w:cstheme="minorHAnsi"/>
        </w:rPr>
        <w:t>e digitale, lipsa abilită</w:t>
      </w:r>
      <w:r w:rsidR="007F52CA" w:rsidRPr="00A7748B">
        <w:rPr>
          <w:rFonts w:cstheme="minorHAnsi"/>
        </w:rPr>
        <w:t>ț</w:t>
      </w:r>
      <w:r w:rsidR="00670D3A" w:rsidRPr="00A7748B">
        <w:rPr>
          <w:rFonts w:cstheme="minorHAnsi"/>
        </w:rPr>
        <w:t>ilor digitale ducând la cre</w:t>
      </w:r>
      <w:r w:rsidR="007F52CA" w:rsidRPr="00A7748B">
        <w:rPr>
          <w:rFonts w:cstheme="minorHAnsi"/>
        </w:rPr>
        <w:t>ș</w:t>
      </w:r>
      <w:r w:rsidR="00670D3A" w:rsidRPr="00A7748B">
        <w:rPr>
          <w:rFonts w:cstheme="minorHAnsi"/>
        </w:rPr>
        <w:t>terea inegalită</w:t>
      </w:r>
      <w:r w:rsidR="007F52CA" w:rsidRPr="00A7748B">
        <w:rPr>
          <w:rFonts w:cstheme="minorHAnsi"/>
        </w:rPr>
        <w:t>ț</w:t>
      </w:r>
      <w:r w:rsidR="00670D3A" w:rsidRPr="00A7748B">
        <w:rPr>
          <w:rFonts w:cstheme="minorHAnsi"/>
        </w:rPr>
        <w:t xml:space="preserve">ilor sociale </w:t>
      </w:r>
      <w:r w:rsidR="007F52CA" w:rsidRPr="00A7748B">
        <w:rPr>
          <w:rFonts w:cstheme="minorHAnsi"/>
        </w:rPr>
        <w:t>ș</w:t>
      </w:r>
      <w:r w:rsidR="00670D3A" w:rsidRPr="00A7748B">
        <w:rPr>
          <w:rFonts w:cstheme="minorHAnsi"/>
        </w:rPr>
        <w:t>i la cre</w:t>
      </w:r>
      <w:r w:rsidR="007F52CA" w:rsidRPr="00A7748B">
        <w:rPr>
          <w:rFonts w:cstheme="minorHAnsi"/>
        </w:rPr>
        <w:t>ș</w:t>
      </w:r>
      <w:r w:rsidR="00670D3A" w:rsidRPr="00A7748B">
        <w:rPr>
          <w:rFonts w:cstheme="minorHAnsi"/>
        </w:rPr>
        <w:t xml:space="preserve">terea </w:t>
      </w:r>
      <w:r w:rsidR="007F52CA" w:rsidRPr="00A7748B">
        <w:rPr>
          <w:rFonts w:cstheme="minorHAnsi"/>
        </w:rPr>
        <w:t>ș</w:t>
      </w:r>
      <w:r w:rsidR="00670D3A" w:rsidRPr="00A7748B">
        <w:rPr>
          <w:rFonts w:cstheme="minorHAnsi"/>
        </w:rPr>
        <w:t>omajului</w:t>
      </w:r>
      <w:r w:rsidRPr="00A7748B">
        <w:rPr>
          <w:rFonts w:cstheme="minorHAnsi"/>
        </w:rPr>
        <w:t xml:space="preserve"> (</w:t>
      </w:r>
      <w:proofErr w:type="spellStart"/>
      <w:r w:rsidRPr="00A7748B">
        <w:rPr>
          <w:rFonts w:cstheme="minorHAnsi"/>
        </w:rPr>
        <w:t>Lyons</w:t>
      </w:r>
      <w:proofErr w:type="spellEnd"/>
      <w:r w:rsidRPr="00A7748B">
        <w:rPr>
          <w:rFonts w:cstheme="minorHAnsi"/>
        </w:rPr>
        <w:t xml:space="preserve">, </w:t>
      </w:r>
      <w:proofErr w:type="spellStart"/>
      <w:r w:rsidRPr="00A7748B">
        <w:rPr>
          <w:rFonts w:cstheme="minorHAnsi"/>
        </w:rPr>
        <w:t>Zucchetti</w:t>
      </w:r>
      <w:proofErr w:type="spellEnd"/>
      <w:r w:rsidRPr="00A7748B">
        <w:rPr>
          <w:rFonts w:cstheme="minorHAnsi"/>
        </w:rPr>
        <w:t xml:space="preserve">, </w:t>
      </w:r>
      <w:proofErr w:type="spellStart"/>
      <w:r w:rsidRPr="00A7748B">
        <w:rPr>
          <w:rFonts w:cstheme="minorHAnsi"/>
        </w:rPr>
        <w:t>Kass-Hanna</w:t>
      </w:r>
      <w:proofErr w:type="spellEnd"/>
      <w:r w:rsidRPr="00A7748B">
        <w:rPr>
          <w:rFonts w:cstheme="minorHAnsi"/>
        </w:rPr>
        <w:t xml:space="preserve">, </w:t>
      </w:r>
      <w:proofErr w:type="spellStart"/>
      <w:r w:rsidRPr="00A7748B">
        <w:rPr>
          <w:rFonts w:cstheme="minorHAnsi"/>
        </w:rPr>
        <w:t>Cobo</w:t>
      </w:r>
      <w:proofErr w:type="spellEnd"/>
      <w:r w:rsidRPr="00A7748B">
        <w:rPr>
          <w:rFonts w:cstheme="minorHAnsi"/>
        </w:rPr>
        <w:t>, 2019)</w:t>
      </w:r>
      <w:r w:rsidR="00670D3A" w:rsidRPr="00A7748B">
        <w:rPr>
          <w:rFonts w:cstheme="minorHAnsi"/>
        </w:rPr>
        <w:t>. În aceste medii interven</w:t>
      </w:r>
      <w:r w:rsidR="007F52CA" w:rsidRPr="00A7748B">
        <w:rPr>
          <w:rFonts w:cstheme="minorHAnsi"/>
        </w:rPr>
        <w:t>ț</w:t>
      </w:r>
      <w:r w:rsidR="00670D3A" w:rsidRPr="00A7748B">
        <w:rPr>
          <w:rFonts w:cstheme="minorHAnsi"/>
        </w:rPr>
        <w:t xml:space="preserve">ia guvernului este absolut </w:t>
      </w:r>
      <w:proofErr w:type="spellStart"/>
      <w:r w:rsidR="00670D3A" w:rsidRPr="00A7748B">
        <w:rPr>
          <w:rFonts w:cstheme="minorHAnsi"/>
        </w:rPr>
        <w:t>neceseară</w:t>
      </w:r>
      <w:proofErr w:type="spellEnd"/>
      <w:r w:rsidR="00670D3A" w:rsidRPr="00A7748B">
        <w:rPr>
          <w:rFonts w:cstheme="minorHAnsi"/>
        </w:rPr>
        <w:t xml:space="preserve"> pentru cre</w:t>
      </w:r>
      <w:r w:rsidR="007F52CA" w:rsidRPr="00A7748B">
        <w:rPr>
          <w:rFonts w:cstheme="minorHAnsi"/>
        </w:rPr>
        <w:t>ș</w:t>
      </w:r>
      <w:r w:rsidR="00670D3A" w:rsidRPr="00A7748B">
        <w:rPr>
          <w:rFonts w:cstheme="minorHAnsi"/>
        </w:rPr>
        <w:t>terea abilită</w:t>
      </w:r>
      <w:r w:rsidR="007F52CA" w:rsidRPr="00A7748B">
        <w:rPr>
          <w:rFonts w:cstheme="minorHAnsi"/>
        </w:rPr>
        <w:t>ț</w:t>
      </w:r>
      <w:r w:rsidR="00670D3A" w:rsidRPr="00A7748B">
        <w:rPr>
          <w:rFonts w:cstheme="minorHAnsi"/>
        </w:rPr>
        <w:t>ilor digitale, cre</w:t>
      </w:r>
      <w:r w:rsidR="007F52CA" w:rsidRPr="00A7748B">
        <w:rPr>
          <w:rFonts w:cstheme="minorHAnsi"/>
        </w:rPr>
        <w:t>ș</w:t>
      </w:r>
      <w:r w:rsidR="00670D3A" w:rsidRPr="00A7748B">
        <w:rPr>
          <w:rFonts w:cstheme="minorHAnsi"/>
        </w:rPr>
        <w:t xml:space="preserve">terea veniturilor </w:t>
      </w:r>
      <w:r w:rsidR="007F52CA" w:rsidRPr="00A7748B">
        <w:rPr>
          <w:rFonts w:cstheme="minorHAnsi"/>
        </w:rPr>
        <w:t>ș</w:t>
      </w:r>
      <w:r w:rsidR="00670D3A" w:rsidRPr="00A7748B">
        <w:rPr>
          <w:rFonts w:cstheme="minorHAnsi"/>
        </w:rPr>
        <w:t xml:space="preserve">i reducerea sărăciei. </w:t>
      </w:r>
    </w:p>
    <w:p w14:paraId="5BD0E6E5" w14:textId="5AC85489" w:rsidR="00670D3A" w:rsidRPr="00A7748B" w:rsidRDefault="00670D3A" w:rsidP="00822BC1">
      <w:pPr>
        <w:pStyle w:val="Textnotdesubsol"/>
        <w:spacing w:before="120" w:after="120"/>
        <w:jc w:val="both"/>
        <w:rPr>
          <w:rFonts w:cstheme="minorHAnsi"/>
        </w:rPr>
      </w:pPr>
      <w:r w:rsidRPr="00A7748B">
        <w:rPr>
          <w:rFonts w:cstheme="minorHAnsi"/>
        </w:rPr>
        <w:t>Centrul European pentru De</w:t>
      </w:r>
      <w:r w:rsidR="00E62BB8" w:rsidRPr="00A7748B">
        <w:rPr>
          <w:rFonts w:cstheme="minorHAnsi"/>
        </w:rPr>
        <w:t>zvoltarea Formării Profesionale</w:t>
      </w:r>
      <w:r w:rsidRPr="00A7748B">
        <w:rPr>
          <w:rFonts w:cstheme="minorHAnsi"/>
        </w:rPr>
        <w:t xml:space="preserve"> în articolul </w:t>
      </w:r>
      <w:r w:rsidRPr="00A7748B">
        <w:rPr>
          <w:rFonts w:cstheme="minorHAnsi"/>
          <w:b/>
        </w:rPr>
        <w:t xml:space="preserve">„The </w:t>
      </w:r>
      <w:proofErr w:type="spellStart"/>
      <w:r w:rsidRPr="00A7748B">
        <w:rPr>
          <w:rFonts w:cstheme="minorHAnsi"/>
          <w:b/>
        </w:rPr>
        <w:t>great</w:t>
      </w:r>
      <w:proofErr w:type="spellEnd"/>
      <w:r w:rsidRPr="00A7748B">
        <w:rPr>
          <w:rFonts w:cstheme="minorHAnsi"/>
          <w:b/>
        </w:rPr>
        <w:t xml:space="preserve"> divide: </w:t>
      </w:r>
      <w:proofErr w:type="spellStart"/>
      <w:r w:rsidRPr="00A7748B">
        <w:rPr>
          <w:rFonts w:cstheme="minorHAnsi"/>
          <w:b/>
        </w:rPr>
        <w:t>Digitalisation</w:t>
      </w:r>
      <w:proofErr w:type="spellEnd"/>
      <w:r w:rsidRPr="00A7748B">
        <w:rPr>
          <w:rFonts w:cstheme="minorHAnsi"/>
          <w:b/>
        </w:rPr>
        <w:t xml:space="preserve"> </w:t>
      </w:r>
      <w:proofErr w:type="spellStart"/>
      <w:r w:rsidRPr="00A7748B">
        <w:rPr>
          <w:rFonts w:cstheme="minorHAnsi"/>
          <w:b/>
        </w:rPr>
        <w:t>and</w:t>
      </w:r>
      <w:proofErr w:type="spellEnd"/>
      <w:r w:rsidRPr="00A7748B">
        <w:rPr>
          <w:rFonts w:cstheme="minorHAnsi"/>
          <w:b/>
        </w:rPr>
        <w:t xml:space="preserve"> digital </w:t>
      </w:r>
      <w:proofErr w:type="spellStart"/>
      <w:r w:rsidRPr="00A7748B">
        <w:rPr>
          <w:rFonts w:cstheme="minorHAnsi"/>
          <w:b/>
        </w:rPr>
        <w:t>skill</w:t>
      </w:r>
      <w:proofErr w:type="spellEnd"/>
      <w:r w:rsidRPr="00A7748B">
        <w:rPr>
          <w:rFonts w:cstheme="minorHAnsi"/>
          <w:b/>
        </w:rPr>
        <w:t xml:space="preserve"> </w:t>
      </w:r>
      <w:proofErr w:type="spellStart"/>
      <w:r w:rsidRPr="00A7748B">
        <w:rPr>
          <w:rFonts w:cstheme="minorHAnsi"/>
          <w:b/>
        </w:rPr>
        <w:t>gaps</w:t>
      </w:r>
      <w:proofErr w:type="spellEnd"/>
      <w:r w:rsidRPr="00A7748B">
        <w:rPr>
          <w:rFonts w:cstheme="minorHAnsi"/>
          <w:b/>
        </w:rPr>
        <w:t xml:space="preserve"> in </w:t>
      </w:r>
      <w:proofErr w:type="spellStart"/>
      <w:r w:rsidRPr="00A7748B">
        <w:rPr>
          <w:rFonts w:cstheme="minorHAnsi"/>
          <w:b/>
        </w:rPr>
        <w:t>the</w:t>
      </w:r>
      <w:proofErr w:type="spellEnd"/>
      <w:r w:rsidRPr="00A7748B">
        <w:rPr>
          <w:rFonts w:cstheme="minorHAnsi"/>
          <w:b/>
        </w:rPr>
        <w:t xml:space="preserve"> EU </w:t>
      </w:r>
      <w:proofErr w:type="spellStart"/>
      <w:r w:rsidRPr="00A7748B">
        <w:rPr>
          <w:rFonts w:cstheme="minorHAnsi"/>
          <w:b/>
        </w:rPr>
        <w:t>workforce</w:t>
      </w:r>
      <w:proofErr w:type="spellEnd"/>
      <w:r w:rsidRPr="00A7748B">
        <w:rPr>
          <w:rFonts w:cstheme="minorHAnsi"/>
          <w:b/>
        </w:rPr>
        <w:t xml:space="preserve">” </w:t>
      </w:r>
      <w:r w:rsidRPr="00A7748B">
        <w:rPr>
          <w:rFonts w:cstheme="minorHAnsi"/>
        </w:rPr>
        <w:t>prezintă importan</w:t>
      </w:r>
      <w:r w:rsidR="007F52CA" w:rsidRPr="00A7748B">
        <w:rPr>
          <w:rFonts w:cstheme="minorHAnsi"/>
        </w:rPr>
        <w:t>ț</w:t>
      </w:r>
      <w:r w:rsidRPr="00A7748B">
        <w:rPr>
          <w:rFonts w:cstheme="minorHAnsi"/>
        </w:rPr>
        <w:t>a digitalizării din perspectiva pie</w:t>
      </w:r>
      <w:r w:rsidR="007F52CA" w:rsidRPr="00A7748B">
        <w:rPr>
          <w:rFonts w:cstheme="minorHAnsi"/>
        </w:rPr>
        <w:t>ț</w:t>
      </w:r>
      <w:r w:rsidRPr="00A7748B">
        <w:rPr>
          <w:rFonts w:cstheme="minorHAnsi"/>
        </w:rPr>
        <w:t>ei muncii, reliefând că există un gol deoarece un număr tot mai mare de locuri de muncă necesită un nivel ridicat de cunoa</w:t>
      </w:r>
      <w:r w:rsidR="007F52CA" w:rsidRPr="00A7748B">
        <w:rPr>
          <w:rFonts w:cstheme="minorHAnsi"/>
        </w:rPr>
        <w:t>ș</w:t>
      </w:r>
      <w:r w:rsidRPr="00A7748B">
        <w:rPr>
          <w:rFonts w:cstheme="minorHAnsi"/>
        </w:rPr>
        <w:t xml:space="preserve">tere a utilizării tehnologiilor </w:t>
      </w:r>
      <w:r w:rsidR="007F52CA" w:rsidRPr="00A7748B">
        <w:rPr>
          <w:rFonts w:cstheme="minorHAnsi"/>
        </w:rPr>
        <w:t>ș</w:t>
      </w:r>
      <w:r w:rsidRPr="00A7748B">
        <w:rPr>
          <w:rFonts w:cstheme="minorHAnsi"/>
        </w:rPr>
        <w:t>i multe slujbe noi se bazează pe abilită</w:t>
      </w:r>
      <w:r w:rsidR="007F52CA" w:rsidRPr="00A7748B">
        <w:rPr>
          <w:rFonts w:cstheme="minorHAnsi"/>
        </w:rPr>
        <w:t>ț</w:t>
      </w:r>
      <w:r w:rsidRPr="00A7748B">
        <w:rPr>
          <w:rFonts w:cstheme="minorHAnsi"/>
        </w:rPr>
        <w:t>i digitale specializate</w:t>
      </w:r>
      <w:r w:rsidR="00553284" w:rsidRPr="00A7748B">
        <w:rPr>
          <w:rFonts w:cstheme="minorHAnsi"/>
        </w:rPr>
        <w:t xml:space="preserve"> (</w:t>
      </w:r>
      <w:proofErr w:type="spellStart"/>
      <w:r w:rsidR="00553284" w:rsidRPr="00A7748B">
        <w:rPr>
          <w:rFonts w:cstheme="minorHAnsi"/>
        </w:rPr>
        <w:t>Cedefop</w:t>
      </w:r>
      <w:proofErr w:type="spellEnd"/>
      <w:r w:rsidR="00553284" w:rsidRPr="00A7748B">
        <w:rPr>
          <w:rFonts w:cstheme="minorHAnsi"/>
        </w:rPr>
        <w:t>, 2016)</w:t>
      </w:r>
      <w:r w:rsidRPr="00A7748B">
        <w:rPr>
          <w:rFonts w:cstheme="minorHAnsi"/>
        </w:rPr>
        <w:t xml:space="preserve">. </w:t>
      </w:r>
    </w:p>
    <w:p w14:paraId="6A700B05" w14:textId="3B337348" w:rsidR="00670D3A" w:rsidRPr="00A7748B" w:rsidRDefault="00E62BB8" w:rsidP="00822BC1">
      <w:pPr>
        <w:pStyle w:val="Textnotdesubsol"/>
        <w:spacing w:before="120" w:after="120"/>
        <w:jc w:val="both"/>
        <w:rPr>
          <w:rFonts w:cstheme="minorHAnsi"/>
        </w:rPr>
      </w:pPr>
      <w:r w:rsidRPr="00A7748B">
        <w:rPr>
          <w:rFonts w:cstheme="minorHAnsi"/>
        </w:rPr>
        <w:t>A</w:t>
      </w:r>
      <w:r w:rsidR="00670D3A" w:rsidRPr="00A7748B">
        <w:rPr>
          <w:rFonts w:cstheme="minorHAnsi"/>
        </w:rPr>
        <w:t xml:space="preserve">rticolul </w:t>
      </w:r>
      <w:r w:rsidR="00670D3A" w:rsidRPr="00A7748B">
        <w:rPr>
          <w:rFonts w:cstheme="minorHAnsi"/>
          <w:b/>
        </w:rPr>
        <w:t xml:space="preserve">„Creative </w:t>
      </w:r>
      <w:proofErr w:type="spellStart"/>
      <w:r w:rsidR="00670D3A" w:rsidRPr="00A7748B">
        <w:rPr>
          <w:rFonts w:cstheme="minorHAnsi"/>
          <w:b/>
        </w:rPr>
        <w:t>Learning</w:t>
      </w:r>
      <w:proofErr w:type="spellEnd"/>
      <w:r w:rsidR="00670D3A" w:rsidRPr="00A7748B">
        <w:rPr>
          <w:rFonts w:cstheme="minorHAnsi"/>
          <w:b/>
        </w:rPr>
        <w:t xml:space="preserve"> </w:t>
      </w:r>
      <w:proofErr w:type="spellStart"/>
      <w:r w:rsidR="00670D3A" w:rsidRPr="00A7748B">
        <w:rPr>
          <w:rFonts w:cstheme="minorHAnsi"/>
          <w:b/>
        </w:rPr>
        <w:t>and</w:t>
      </w:r>
      <w:proofErr w:type="spellEnd"/>
      <w:r w:rsidR="00670D3A" w:rsidRPr="00A7748B">
        <w:rPr>
          <w:rFonts w:cstheme="minorHAnsi"/>
          <w:b/>
        </w:rPr>
        <w:t xml:space="preserve"> </w:t>
      </w:r>
      <w:proofErr w:type="spellStart"/>
      <w:r w:rsidR="00670D3A" w:rsidRPr="00A7748B">
        <w:rPr>
          <w:rFonts w:cstheme="minorHAnsi"/>
          <w:b/>
        </w:rPr>
        <w:t>Innovative</w:t>
      </w:r>
      <w:proofErr w:type="spellEnd"/>
      <w:r w:rsidR="00670D3A" w:rsidRPr="00A7748B">
        <w:rPr>
          <w:rFonts w:cstheme="minorHAnsi"/>
          <w:b/>
        </w:rPr>
        <w:t xml:space="preserve"> </w:t>
      </w:r>
      <w:proofErr w:type="spellStart"/>
      <w:r w:rsidR="00670D3A" w:rsidRPr="00A7748B">
        <w:rPr>
          <w:rFonts w:cstheme="minorHAnsi"/>
          <w:b/>
        </w:rPr>
        <w:t>Teaching</w:t>
      </w:r>
      <w:proofErr w:type="spellEnd"/>
      <w:r w:rsidR="00670D3A" w:rsidRPr="00A7748B">
        <w:rPr>
          <w:rFonts w:cstheme="minorHAnsi"/>
          <w:b/>
        </w:rPr>
        <w:t xml:space="preserve">: Final Report on </w:t>
      </w:r>
      <w:proofErr w:type="spellStart"/>
      <w:r w:rsidR="00670D3A" w:rsidRPr="00A7748B">
        <w:rPr>
          <w:rFonts w:cstheme="minorHAnsi"/>
          <w:b/>
        </w:rPr>
        <w:t>the</w:t>
      </w:r>
      <w:proofErr w:type="spellEnd"/>
      <w:r w:rsidR="00670D3A" w:rsidRPr="00A7748B">
        <w:rPr>
          <w:rFonts w:cstheme="minorHAnsi"/>
          <w:b/>
        </w:rPr>
        <w:t xml:space="preserve"> </w:t>
      </w:r>
      <w:proofErr w:type="spellStart"/>
      <w:r w:rsidR="00670D3A" w:rsidRPr="00A7748B">
        <w:rPr>
          <w:rFonts w:cstheme="minorHAnsi"/>
          <w:b/>
        </w:rPr>
        <w:t>Study</w:t>
      </w:r>
      <w:proofErr w:type="spellEnd"/>
      <w:r w:rsidR="00670D3A" w:rsidRPr="00A7748B">
        <w:rPr>
          <w:rFonts w:cstheme="minorHAnsi"/>
          <w:b/>
        </w:rPr>
        <w:t xml:space="preserve"> on </w:t>
      </w:r>
      <w:proofErr w:type="spellStart"/>
      <w:r w:rsidR="00670D3A" w:rsidRPr="00A7748B">
        <w:rPr>
          <w:rFonts w:cstheme="minorHAnsi"/>
          <w:b/>
        </w:rPr>
        <w:t>Creativity</w:t>
      </w:r>
      <w:proofErr w:type="spellEnd"/>
      <w:r w:rsidR="00670D3A" w:rsidRPr="00A7748B">
        <w:rPr>
          <w:rFonts w:cstheme="minorHAnsi"/>
          <w:b/>
        </w:rPr>
        <w:t xml:space="preserve"> </w:t>
      </w:r>
      <w:proofErr w:type="spellStart"/>
      <w:r w:rsidR="00670D3A" w:rsidRPr="00A7748B">
        <w:rPr>
          <w:rFonts w:cstheme="minorHAnsi"/>
          <w:b/>
        </w:rPr>
        <w:t>and</w:t>
      </w:r>
      <w:proofErr w:type="spellEnd"/>
      <w:r w:rsidR="00670D3A" w:rsidRPr="00A7748B">
        <w:rPr>
          <w:rFonts w:cstheme="minorHAnsi"/>
          <w:b/>
        </w:rPr>
        <w:t xml:space="preserve"> </w:t>
      </w:r>
      <w:proofErr w:type="spellStart"/>
      <w:r w:rsidR="00670D3A" w:rsidRPr="00A7748B">
        <w:rPr>
          <w:rFonts w:cstheme="minorHAnsi"/>
          <w:b/>
        </w:rPr>
        <w:t>Innovation</w:t>
      </w:r>
      <w:proofErr w:type="spellEnd"/>
      <w:r w:rsidR="00670D3A" w:rsidRPr="00A7748B">
        <w:rPr>
          <w:rFonts w:cstheme="minorHAnsi"/>
          <w:b/>
        </w:rPr>
        <w:t xml:space="preserve"> in </w:t>
      </w:r>
      <w:proofErr w:type="spellStart"/>
      <w:r w:rsidR="00670D3A" w:rsidRPr="00A7748B">
        <w:rPr>
          <w:rFonts w:cstheme="minorHAnsi"/>
          <w:b/>
        </w:rPr>
        <w:t>Educ</w:t>
      </w:r>
      <w:r w:rsidR="00553284" w:rsidRPr="00A7748B">
        <w:rPr>
          <w:rFonts w:cstheme="minorHAnsi"/>
          <w:b/>
        </w:rPr>
        <w:t>ation</w:t>
      </w:r>
      <w:proofErr w:type="spellEnd"/>
      <w:r w:rsidR="00553284" w:rsidRPr="00A7748B">
        <w:rPr>
          <w:rFonts w:cstheme="minorHAnsi"/>
          <w:b/>
        </w:rPr>
        <w:t xml:space="preserve"> in </w:t>
      </w:r>
      <w:proofErr w:type="spellStart"/>
      <w:r w:rsidR="00553284" w:rsidRPr="00A7748B">
        <w:rPr>
          <w:rFonts w:cstheme="minorHAnsi"/>
          <w:b/>
        </w:rPr>
        <w:t>the</w:t>
      </w:r>
      <w:proofErr w:type="spellEnd"/>
      <w:r w:rsidR="00553284" w:rsidRPr="00A7748B">
        <w:rPr>
          <w:rFonts w:cstheme="minorHAnsi"/>
          <w:b/>
        </w:rPr>
        <w:t xml:space="preserve"> EU </w:t>
      </w:r>
      <w:proofErr w:type="spellStart"/>
      <w:r w:rsidR="00553284" w:rsidRPr="00A7748B">
        <w:rPr>
          <w:rFonts w:cstheme="minorHAnsi"/>
          <w:b/>
        </w:rPr>
        <w:t>Member</w:t>
      </w:r>
      <w:proofErr w:type="spellEnd"/>
      <w:r w:rsidR="00553284" w:rsidRPr="00A7748B">
        <w:rPr>
          <w:rFonts w:cstheme="minorHAnsi"/>
          <w:b/>
        </w:rPr>
        <w:t xml:space="preserve"> </w:t>
      </w:r>
      <w:proofErr w:type="spellStart"/>
      <w:r w:rsidR="00553284" w:rsidRPr="00A7748B">
        <w:rPr>
          <w:rFonts w:cstheme="minorHAnsi"/>
          <w:b/>
        </w:rPr>
        <w:t>States</w:t>
      </w:r>
      <w:proofErr w:type="spellEnd"/>
      <w:r w:rsidR="00553284" w:rsidRPr="00A7748B">
        <w:rPr>
          <w:rFonts w:cstheme="minorHAnsi"/>
          <w:b/>
        </w:rPr>
        <w:t xml:space="preserve">” </w:t>
      </w:r>
      <w:r w:rsidR="00670D3A" w:rsidRPr="00A7748B">
        <w:rPr>
          <w:rFonts w:cstheme="minorHAnsi"/>
        </w:rPr>
        <w:t>prezintă că din punct de vedere ed</w:t>
      </w:r>
      <w:r w:rsidRPr="00A7748B">
        <w:rPr>
          <w:rFonts w:cstheme="minorHAnsi"/>
        </w:rPr>
        <w:t>uca</w:t>
      </w:r>
      <w:r w:rsidR="007F52CA" w:rsidRPr="00A7748B">
        <w:rPr>
          <w:rFonts w:cstheme="minorHAnsi"/>
        </w:rPr>
        <w:t>ț</w:t>
      </w:r>
      <w:r w:rsidRPr="00A7748B">
        <w:rPr>
          <w:rFonts w:cstheme="minorHAnsi"/>
        </w:rPr>
        <w:t>ional, în ceea ce prive</w:t>
      </w:r>
      <w:r w:rsidR="007F52CA" w:rsidRPr="00A7748B">
        <w:rPr>
          <w:rFonts w:cstheme="minorHAnsi"/>
        </w:rPr>
        <w:t>ș</w:t>
      </w:r>
      <w:r w:rsidRPr="00A7748B">
        <w:rPr>
          <w:rFonts w:cstheme="minorHAnsi"/>
        </w:rPr>
        <w:t xml:space="preserve">te </w:t>
      </w:r>
      <w:r w:rsidR="00670D3A" w:rsidRPr="00A7748B">
        <w:rPr>
          <w:rFonts w:cstheme="minorHAnsi"/>
        </w:rPr>
        <w:t>competen</w:t>
      </w:r>
      <w:r w:rsidR="007F52CA" w:rsidRPr="00A7748B">
        <w:rPr>
          <w:rFonts w:cstheme="minorHAnsi"/>
        </w:rPr>
        <w:t>ț</w:t>
      </w:r>
      <w:r w:rsidR="00670D3A" w:rsidRPr="00A7748B">
        <w:rPr>
          <w:rFonts w:cstheme="minorHAnsi"/>
        </w:rPr>
        <w:t>ele digitale, provocarea este legată nu numai de dezvoltarea competen</w:t>
      </w:r>
      <w:r w:rsidR="007F52CA" w:rsidRPr="00A7748B">
        <w:rPr>
          <w:rFonts w:cstheme="minorHAnsi"/>
        </w:rPr>
        <w:t>ț</w:t>
      </w:r>
      <w:r w:rsidR="00670D3A" w:rsidRPr="00A7748B">
        <w:rPr>
          <w:rFonts w:cstheme="minorHAnsi"/>
        </w:rPr>
        <w:t xml:space="preserve">elor digitale necesare, dar </w:t>
      </w:r>
      <w:r w:rsidR="007F52CA" w:rsidRPr="00A7748B">
        <w:rPr>
          <w:rFonts w:cstheme="minorHAnsi"/>
        </w:rPr>
        <w:t>ș</w:t>
      </w:r>
      <w:r w:rsidR="00670D3A" w:rsidRPr="00A7748B">
        <w:rPr>
          <w:rFonts w:cstheme="minorHAnsi"/>
        </w:rPr>
        <w:t>i de valorificarea utilizării tehnologiei în scop pedagogic</w:t>
      </w:r>
      <w:r w:rsidR="00553284" w:rsidRPr="00A7748B">
        <w:rPr>
          <w:rFonts w:cstheme="minorHAnsi"/>
        </w:rPr>
        <w:t xml:space="preserve"> (</w:t>
      </w:r>
      <w:proofErr w:type="spellStart"/>
      <w:r w:rsidR="00553284" w:rsidRPr="00A7748B">
        <w:rPr>
          <w:rFonts w:cstheme="minorHAnsi"/>
        </w:rPr>
        <w:t>Cachia</w:t>
      </w:r>
      <w:proofErr w:type="spellEnd"/>
      <w:r w:rsidR="00553284" w:rsidRPr="00A7748B">
        <w:rPr>
          <w:rFonts w:cstheme="minorHAnsi"/>
        </w:rPr>
        <w:t xml:space="preserve"> et al., 2014)</w:t>
      </w:r>
      <w:r w:rsidR="00670D3A" w:rsidRPr="00A7748B">
        <w:rPr>
          <w:rFonts w:cstheme="minorHAnsi"/>
        </w:rPr>
        <w:t xml:space="preserve">. </w:t>
      </w:r>
    </w:p>
    <w:p w14:paraId="6763A4F1" w14:textId="653AFF2D" w:rsidR="00670D3A" w:rsidRPr="00A7748B" w:rsidRDefault="00670D3A" w:rsidP="00822BC1">
      <w:pPr>
        <w:pStyle w:val="Textnotdesubsol"/>
        <w:spacing w:before="120" w:after="120"/>
        <w:jc w:val="both"/>
        <w:rPr>
          <w:rFonts w:cstheme="minorHAnsi"/>
        </w:rPr>
      </w:pPr>
      <w:r w:rsidRPr="00A7748B">
        <w:rPr>
          <w:rFonts w:cstheme="minorHAnsi"/>
        </w:rPr>
        <w:t>Analizând beneficiile utilizării tehnologiei digita</w:t>
      </w:r>
      <w:r w:rsidR="00E62BB8" w:rsidRPr="00A7748B">
        <w:rPr>
          <w:rFonts w:cstheme="minorHAnsi"/>
        </w:rPr>
        <w:t>le în educa</w:t>
      </w:r>
      <w:r w:rsidR="007F52CA" w:rsidRPr="00A7748B">
        <w:rPr>
          <w:rFonts w:cstheme="minorHAnsi"/>
        </w:rPr>
        <w:t>ț</w:t>
      </w:r>
      <w:r w:rsidR="00E62BB8" w:rsidRPr="00A7748B">
        <w:rPr>
          <w:rFonts w:cstheme="minorHAnsi"/>
        </w:rPr>
        <w:t xml:space="preserve">ie, </w:t>
      </w:r>
      <w:proofErr w:type="spellStart"/>
      <w:r w:rsidR="00E62BB8" w:rsidRPr="00A7748B">
        <w:rPr>
          <w:rFonts w:cstheme="minorHAnsi"/>
        </w:rPr>
        <w:t>Blossfeld</w:t>
      </w:r>
      <w:proofErr w:type="spellEnd"/>
      <w:r w:rsidRPr="00A7748B">
        <w:rPr>
          <w:rFonts w:cstheme="minorHAnsi"/>
        </w:rPr>
        <w:t xml:space="preserve"> în articolul </w:t>
      </w:r>
      <w:r w:rsidRPr="00A7748B">
        <w:rPr>
          <w:rFonts w:cstheme="minorHAnsi"/>
          <w:b/>
        </w:rPr>
        <w:t xml:space="preserve">„Suveranitatea digitală </w:t>
      </w:r>
      <w:r w:rsidR="007F52CA" w:rsidRPr="00A7748B">
        <w:rPr>
          <w:rFonts w:cstheme="minorHAnsi"/>
          <w:b/>
        </w:rPr>
        <w:t>ș</w:t>
      </w:r>
      <w:r w:rsidRPr="00A7748B">
        <w:rPr>
          <w:rFonts w:cstheme="minorHAnsi"/>
          <w:b/>
        </w:rPr>
        <w:t>i educa</w:t>
      </w:r>
      <w:r w:rsidR="007F52CA" w:rsidRPr="00A7748B">
        <w:rPr>
          <w:rFonts w:cstheme="minorHAnsi"/>
          <w:b/>
        </w:rPr>
        <w:t>ț</w:t>
      </w:r>
      <w:r w:rsidRPr="00A7748B">
        <w:rPr>
          <w:rFonts w:cstheme="minorHAnsi"/>
          <w:b/>
        </w:rPr>
        <w:t>ia”</w:t>
      </w:r>
      <w:r w:rsidRPr="00A7748B">
        <w:rPr>
          <w:rFonts w:cstheme="minorHAnsi"/>
        </w:rPr>
        <w:t xml:space="preserve"> prezintă că acestea ar putea să asigure medii de învă</w:t>
      </w:r>
      <w:r w:rsidR="007F52CA" w:rsidRPr="00A7748B">
        <w:rPr>
          <w:rFonts w:cstheme="minorHAnsi"/>
        </w:rPr>
        <w:t>ț</w:t>
      </w:r>
      <w:r w:rsidRPr="00A7748B">
        <w:rPr>
          <w:rFonts w:cstheme="minorHAnsi"/>
        </w:rPr>
        <w:t xml:space="preserve">are inovatoare </w:t>
      </w:r>
      <w:r w:rsidR="007F52CA" w:rsidRPr="00A7748B">
        <w:rPr>
          <w:rFonts w:cstheme="minorHAnsi"/>
        </w:rPr>
        <w:t>ș</w:t>
      </w:r>
      <w:r w:rsidRPr="00A7748B">
        <w:rPr>
          <w:rFonts w:cstheme="minorHAnsi"/>
        </w:rPr>
        <w:t>i stimulatoare, să faciliteze învă</w:t>
      </w:r>
      <w:r w:rsidR="007F52CA" w:rsidRPr="00A7748B">
        <w:rPr>
          <w:rFonts w:cstheme="minorHAnsi"/>
        </w:rPr>
        <w:t>ț</w:t>
      </w:r>
      <w:r w:rsidRPr="00A7748B">
        <w:rPr>
          <w:rFonts w:cstheme="minorHAnsi"/>
        </w:rPr>
        <w:t xml:space="preserve">area individualizată </w:t>
      </w:r>
      <w:r w:rsidR="007F52CA" w:rsidRPr="00A7748B">
        <w:rPr>
          <w:rFonts w:cstheme="minorHAnsi"/>
        </w:rPr>
        <w:t>ș</w:t>
      </w:r>
      <w:r w:rsidRPr="00A7748B">
        <w:rPr>
          <w:rFonts w:cstheme="minorHAnsi"/>
        </w:rPr>
        <w:t>i să crească motiva</w:t>
      </w:r>
      <w:r w:rsidR="007F52CA" w:rsidRPr="00A7748B">
        <w:rPr>
          <w:rFonts w:cstheme="minorHAnsi"/>
        </w:rPr>
        <w:t>ț</w:t>
      </w:r>
      <w:r w:rsidRPr="00A7748B">
        <w:rPr>
          <w:rFonts w:cstheme="minorHAnsi"/>
        </w:rPr>
        <w:t>ia elevilor</w:t>
      </w:r>
      <w:r w:rsidR="00553284" w:rsidRPr="00A7748B">
        <w:rPr>
          <w:rFonts w:cstheme="minorHAnsi"/>
        </w:rPr>
        <w:t xml:space="preserve"> (</w:t>
      </w:r>
      <w:proofErr w:type="spellStart"/>
      <w:r w:rsidR="00553284" w:rsidRPr="00A7748B">
        <w:rPr>
          <w:rFonts w:cstheme="minorHAnsi"/>
        </w:rPr>
        <w:t>Blossfeld</w:t>
      </w:r>
      <w:proofErr w:type="spellEnd"/>
      <w:r w:rsidR="00553284" w:rsidRPr="00A7748B">
        <w:rPr>
          <w:rFonts w:cstheme="minorHAnsi"/>
        </w:rPr>
        <w:t xml:space="preserve"> et al., 2018)</w:t>
      </w:r>
      <w:r w:rsidRPr="00A7748B">
        <w:rPr>
          <w:rFonts w:cstheme="minorHAnsi"/>
        </w:rPr>
        <w:t>.</w:t>
      </w:r>
    </w:p>
    <w:p w14:paraId="5D2F46D9" w14:textId="68634386" w:rsidR="00670D3A" w:rsidRPr="00A7748B" w:rsidRDefault="00670D3A" w:rsidP="00822BC1">
      <w:pPr>
        <w:spacing w:before="120" w:after="120" w:line="240" w:lineRule="auto"/>
        <w:jc w:val="both"/>
        <w:rPr>
          <w:rFonts w:cstheme="minorHAnsi"/>
          <w:sz w:val="20"/>
          <w:szCs w:val="20"/>
        </w:rPr>
      </w:pPr>
      <w:r w:rsidRPr="00A7748B">
        <w:rPr>
          <w:rFonts w:cstheme="minorHAnsi"/>
          <w:sz w:val="20"/>
          <w:szCs w:val="20"/>
        </w:rPr>
        <w:t xml:space="preserve">Criza generată de COVID 19 în România </w:t>
      </w:r>
      <w:r w:rsidR="007F52CA" w:rsidRPr="00A7748B">
        <w:rPr>
          <w:rFonts w:cstheme="minorHAnsi"/>
          <w:sz w:val="20"/>
          <w:szCs w:val="20"/>
        </w:rPr>
        <w:t>ș</w:t>
      </w:r>
      <w:r w:rsidRPr="00A7748B">
        <w:rPr>
          <w:rFonts w:cstheme="minorHAnsi"/>
          <w:sz w:val="20"/>
          <w:szCs w:val="20"/>
        </w:rPr>
        <w:t>i în celelalte state membre a reconfigurat practicile educa</w:t>
      </w:r>
      <w:r w:rsidR="007F52CA" w:rsidRPr="00A7748B">
        <w:rPr>
          <w:rFonts w:cstheme="minorHAnsi"/>
          <w:sz w:val="20"/>
          <w:szCs w:val="20"/>
        </w:rPr>
        <w:t>ț</w:t>
      </w:r>
      <w:r w:rsidRPr="00A7748B">
        <w:rPr>
          <w:rFonts w:cstheme="minorHAnsi"/>
          <w:sz w:val="20"/>
          <w:szCs w:val="20"/>
        </w:rPr>
        <w:t>ionale de la interac</w:t>
      </w:r>
      <w:r w:rsidR="007F52CA" w:rsidRPr="00A7748B">
        <w:rPr>
          <w:rFonts w:cstheme="minorHAnsi"/>
          <w:sz w:val="20"/>
          <w:szCs w:val="20"/>
        </w:rPr>
        <w:t>ț</w:t>
      </w:r>
      <w:r w:rsidRPr="00A7748B">
        <w:rPr>
          <w:rFonts w:cstheme="minorHAnsi"/>
          <w:sz w:val="20"/>
          <w:szCs w:val="20"/>
        </w:rPr>
        <w:t>iunea „fa</w:t>
      </w:r>
      <w:r w:rsidR="007F52CA" w:rsidRPr="00A7748B">
        <w:rPr>
          <w:rFonts w:cstheme="minorHAnsi"/>
          <w:sz w:val="20"/>
          <w:szCs w:val="20"/>
        </w:rPr>
        <w:t>ț</w:t>
      </w:r>
      <w:r w:rsidRPr="00A7748B">
        <w:rPr>
          <w:rFonts w:cstheme="minorHAnsi"/>
          <w:sz w:val="20"/>
          <w:szCs w:val="20"/>
        </w:rPr>
        <w:t>ă-în-fa</w:t>
      </w:r>
      <w:r w:rsidR="007F52CA" w:rsidRPr="00A7748B">
        <w:rPr>
          <w:rFonts w:cstheme="minorHAnsi"/>
          <w:sz w:val="20"/>
          <w:szCs w:val="20"/>
        </w:rPr>
        <w:t>ț</w:t>
      </w:r>
      <w:r w:rsidRPr="00A7748B">
        <w:rPr>
          <w:rFonts w:cstheme="minorHAnsi"/>
          <w:sz w:val="20"/>
          <w:szCs w:val="20"/>
        </w:rPr>
        <w:t>ă” la mediul online. În această perioadă, o mare parte din activită</w:t>
      </w:r>
      <w:r w:rsidR="007F52CA" w:rsidRPr="00A7748B">
        <w:rPr>
          <w:rFonts w:cstheme="minorHAnsi"/>
          <w:sz w:val="20"/>
          <w:szCs w:val="20"/>
        </w:rPr>
        <w:t>ț</w:t>
      </w:r>
      <w:r w:rsidRPr="00A7748B">
        <w:rPr>
          <w:rFonts w:cstheme="minorHAnsi"/>
          <w:sz w:val="20"/>
          <w:szCs w:val="20"/>
        </w:rPr>
        <w:t xml:space="preserve">i (care presupuneau munca de birou), dar </w:t>
      </w:r>
      <w:r w:rsidR="007F52CA" w:rsidRPr="00A7748B">
        <w:rPr>
          <w:rFonts w:cstheme="minorHAnsi"/>
          <w:sz w:val="20"/>
          <w:szCs w:val="20"/>
        </w:rPr>
        <w:t>ș</w:t>
      </w:r>
      <w:r w:rsidRPr="00A7748B">
        <w:rPr>
          <w:rFonts w:cstheme="minorHAnsi"/>
          <w:sz w:val="20"/>
          <w:szCs w:val="20"/>
        </w:rPr>
        <w:t>i procesul de predare-învă</w:t>
      </w:r>
      <w:r w:rsidR="007F52CA" w:rsidRPr="00A7748B">
        <w:rPr>
          <w:rFonts w:cstheme="minorHAnsi"/>
          <w:sz w:val="20"/>
          <w:szCs w:val="20"/>
        </w:rPr>
        <w:t>ț</w:t>
      </w:r>
      <w:r w:rsidRPr="00A7748B">
        <w:rPr>
          <w:rFonts w:cstheme="minorHAnsi"/>
          <w:sz w:val="20"/>
          <w:szCs w:val="20"/>
        </w:rPr>
        <w:t>are s-a mutat preponderent în mediul online. Situa</w:t>
      </w:r>
      <w:r w:rsidR="007F52CA" w:rsidRPr="00A7748B">
        <w:rPr>
          <w:rFonts w:cstheme="minorHAnsi"/>
          <w:sz w:val="20"/>
          <w:szCs w:val="20"/>
        </w:rPr>
        <w:t>ț</w:t>
      </w:r>
      <w:r w:rsidRPr="00A7748B">
        <w:rPr>
          <w:rFonts w:cstheme="minorHAnsi"/>
          <w:sz w:val="20"/>
          <w:szCs w:val="20"/>
        </w:rPr>
        <w:t>ia generată de pandemia de COVID 19 a adus în prim plan rolul educa</w:t>
      </w:r>
      <w:r w:rsidR="007F52CA" w:rsidRPr="00A7748B">
        <w:rPr>
          <w:rFonts w:cstheme="minorHAnsi"/>
          <w:sz w:val="20"/>
          <w:szCs w:val="20"/>
        </w:rPr>
        <w:t>ț</w:t>
      </w:r>
      <w:r w:rsidRPr="00A7748B">
        <w:rPr>
          <w:rFonts w:cstheme="minorHAnsi"/>
          <w:sz w:val="20"/>
          <w:szCs w:val="20"/>
        </w:rPr>
        <w:t>iei digitale ca obiectiv-cheie pentru predarea-învă</w:t>
      </w:r>
      <w:r w:rsidR="007F52CA" w:rsidRPr="00A7748B">
        <w:rPr>
          <w:rFonts w:cstheme="minorHAnsi"/>
          <w:sz w:val="20"/>
          <w:szCs w:val="20"/>
        </w:rPr>
        <w:t>ț</w:t>
      </w:r>
      <w:r w:rsidRPr="00A7748B">
        <w:rPr>
          <w:rFonts w:cstheme="minorHAnsi"/>
          <w:sz w:val="20"/>
          <w:szCs w:val="20"/>
        </w:rPr>
        <w:t xml:space="preserve">area, evaluarea de înaltă calitate, accesibilă </w:t>
      </w:r>
      <w:r w:rsidR="007F52CA" w:rsidRPr="00A7748B">
        <w:rPr>
          <w:rFonts w:cstheme="minorHAnsi"/>
          <w:sz w:val="20"/>
          <w:szCs w:val="20"/>
        </w:rPr>
        <w:t>ș</w:t>
      </w:r>
      <w:r w:rsidRPr="00A7748B">
        <w:rPr>
          <w:rFonts w:cstheme="minorHAnsi"/>
          <w:sz w:val="20"/>
          <w:szCs w:val="20"/>
        </w:rPr>
        <w:t xml:space="preserve">i favorabilă incluziunii, precum </w:t>
      </w:r>
      <w:r w:rsidR="007F52CA" w:rsidRPr="00A7748B">
        <w:rPr>
          <w:rFonts w:cstheme="minorHAnsi"/>
          <w:sz w:val="20"/>
          <w:szCs w:val="20"/>
        </w:rPr>
        <w:t>ș</w:t>
      </w:r>
      <w:r w:rsidRPr="00A7748B">
        <w:rPr>
          <w:rFonts w:cstheme="minorHAnsi"/>
          <w:sz w:val="20"/>
          <w:szCs w:val="20"/>
        </w:rPr>
        <w:t>i necesitatea unei abordări strategice privind dobândirea competen</w:t>
      </w:r>
      <w:r w:rsidR="007F52CA" w:rsidRPr="00A7748B">
        <w:rPr>
          <w:rFonts w:cstheme="minorHAnsi"/>
          <w:sz w:val="20"/>
          <w:szCs w:val="20"/>
        </w:rPr>
        <w:t>ț</w:t>
      </w:r>
      <w:r w:rsidRPr="00A7748B">
        <w:rPr>
          <w:rFonts w:cstheme="minorHAnsi"/>
          <w:sz w:val="20"/>
          <w:szCs w:val="20"/>
        </w:rPr>
        <w:t>elor digitale pe tot parcursul vie</w:t>
      </w:r>
      <w:r w:rsidR="007F52CA" w:rsidRPr="00A7748B">
        <w:rPr>
          <w:rFonts w:cstheme="minorHAnsi"/>
          <w:sz w:val="20"/>
          <w:szCs w:val="20"/>
        </w:rPr>
        <w:t>ț</w:t>
      </w:r>
      <w:r w:rsidRPr="00A7748B">
        <w:rPr>
          <w:rFonts w:cstheme="minorHAnsi"/>
          <w:sz w:val="20"/>
          <w:szCs w:val="20"/>
        </w:rPr>
        <w:t>ii, pentru to</w:t>
      </w:r>
      <w:r w:rsidR="007F52CA" w:rsidRPr="00A7748B">
        <w:rPr>
          <w:rFonts w:cstheme="minorHAnsi"/>
          <w:sz w:val="20"/>
          <w:szCs w:val="20"/>
        </w:rPr>
        <w:t>ț</w:t>
      </w:r>
      <w:r w:rsidRPr="00A7748B">
        <w:rPr>
          <w:rFonts w:cstheme="minorHAnsi"/>
          <w:sz w:val="20"/>
          <w:szCs w:val="20"/>
        </w:rPr>
        <w:t>i actorii implica</w:t>
      </w:r>
      <w:r w:rsidR="007F52CA" w:rsidRPr="00A7748B">
        <w:rPr>
          <w:rFonts w:cstheme="minorHAnsi"/>
          <w:sz w:val="20"/>
          <w:szCs w:val="20"/>
        </w:rPr>
        <w:t>ț</w:t>
      </w:r>
      <w:r w:rsidRPr="00A7748B">
        <w:rPr>
          <w:rFonts w:cstheme="minorHAnsi"/>
          <w:sz w:val="20"/>
          <w:szCs w:val="20"/>
        </w:rPr>
        <w:t xml:space="preserve">i </w:t>
      </w:r>
      <w:r w:rsidR="00553284" w:rsidRPr="00A7748B">
        <w:rPr>
          <w:rFonts w:cstheme="minorHAnsi"/>
          <w:sz w:val="20"/>
          <w:szCs w:val="20"/>
        </w:rPr>
        <w:t>(„Strategia privind digitalizarea educa</w:t>
      </w:r>
      <w:r w:rsidR="007F52CA" w:rsidRPr="00A7748B">
        <w:rPr>
          <w:rFonts w:cstheme="minorHAnsi"/>
          <w:sz w:val="20"/>
          <w:szCs w:val="20"/>
        </w:rPr>
        <w:t>ț</w:t>
      </w:r>
      <w:r w:rsidR="00553284" w:rsidRPr="00A7748B">
        <w:rPr>
          <w:rFonts w:cstheme="minorHAnsi"/>
          <w:sz w:val="20"/>
          <w:szCs w:val="20"/>
        </w:rPr>
        <w:t>iei din România”, Ministerul Educa</w:t>
      </w:r>
      <w:r w:rsidR="007F52CA" w:rsidRPr="00A7748B">
        <w:rPr>
          <w:rFonts w:cstheme="minorHAnsi"/>
          <w:sz w:val="20"/>
          <w:szCs w:val="20"/>
        </w:rPr>
        <w:t>ț</w:t>
      </w:r>
      <w:r w:rsidR="00553284" w:rsidRPr="00A7748B">
        <w:rPr>
          <w:rFonts w:cstheme="minorHAnsi"/>
          <w:sz w:val="20"/>
          <w:szCs w:val="20"/>
        </w:rPr>
        <w:t xml:space="preserve">iei </w:t>
      </w:r>
      <w:r w:rsidR="007F52CA" w:rsidRPr="00A7748B">
        <w:rPr>
          <w:rFonts w:cstheme="minorHAnsi"/>
          <w:sz w:val="20"/>
          <w:szCs w:val="20"/>
        </w:rPr>
        <w:t>ș</w:t>
      </w:r>
      <w:r w:rsidR="00553284" w:rsidRPr="00A7748B">
        <w:rPr>
          <w:rFonts w:cstheme="minorHAnsi"/>
          <w:sz w:val="20"/>
          <w:szCs w:val="20"/>
        </w:rPr>
        <w:t>i Cercetării, 2011)</w:t>
      </w:r>
      <w:r w:rsidRPr="00A7748B">
        <w:rPr>
          <w:rFonts w:cstheme="minorHAnsi"/>
          <w:sz w:val="20"/>
          <w:szCs w:val="20"/>
        </w:rPr>
        <w:t>. Mutarea unui număr mare de activită</w:t>
      </w:r>
      <w:r w:rsidR="007F52CA" w:rsidRPr="00A7748B">
        <w:rPr>
          <w:rFonts w:cstheme="minorHAnsi"/>
          <w:sz w:val="20"/>
          <w:szCs w:val="20"/>
        </w:rPr>
        <w:t>ț</w:t>
      </w:r>
      <w:r w:rsidRPr="00A7748B">
        <w:rPr>
          <w:rFonts w:cstheme="minorHAnsi"/>
          <w:sz w:val="20"/>
          <w:szCs w:val="20"/>
        </w:rPr>
        <w:t xml:space="preserve">i în mediul online, dar </w:t>
      </w:r>
      <w:r w:rsidR="007F52CA" w:rsidRPr="00A7748B">
        <w:rPr>
          <w:rFonts w:cstheme="minorHAnsi"/>
          <w:sz w:val="20"/>
          <w:szCs w:val="20"/>
        </w:rPr>
        <w:t>ș</w:t>
      </w:r>
      <w:r w:rsidRPr="00A7748B">
        <w:rPr>
          <w:rFonts w:cstheme="minorHAnsi"/>
          <w:sz w:val="20"/>
          <w:szCs w:val="20"/>
        </w:rPr>
        <w:t>i al procesului de predare-învă</w:t>
      </w:r>
      <w:r w:rsidR="007F52CA" w:rsidRPr="00A7748B">
        <w:rPr>
          <w:rFonts w:cstheme="minorHAnsi"/>
          <w:sz w:val="20"/>
          <w:szCs w:val="20"/>
        </w:rPr>
        <w:t>ț</w:t>
      </w:r>
      <w:r w:rsidRPr="00A7748B">
        <w:rPr>
          <w:rFonts w:cstheme="minorHAnsi"/>
          <w:sz w:val="20"/>
          <w:szCs w:val="20"/>
        </w:rPr>
        <w:t xml:space="preserve">are a adus în prim plan </w:t>
      </w:r>
      <w:r w:rsidR="007F52CA" w:rsidRPr="00A7748B">
        <w:rPr>
          <w:rFonts w:cstheme="minorHAnsi"/>
          <w:sz w:val="20"/>
          <w:szCs w:val="20"/>
        </w:rPr>
        <w:t>ș</w:t>
      </w:r>
      <w:r w:rsidRPr="00A7748B">
        <w:rPr>
          <w:rFonts w:cstheme="minorHAnsi"/>
          <w:sz w:val="20"/>
          <w:szCs w:val="20"/>
        </w:rPr>
        <w:t>i promovările cu care se confruntă România: lipsa de predictibilitate; re</w:t>
      </w:r>
      <w:r w:rsidR="007F52CA" w:rsidRPr="00A7748B">
        <w:rPr>
          <w:rFonts w:cstheme="minorHAnsi"/>
          <w:sz w:val="20"/>
          <w:szCs w:val="20"/>
        </w:rPr>
        <w:t>ț</w:t>
      </w:r>
      <w:r w:rsidRPr="00A7748B">
        <w:rPr>
          <w:rFonts w:cstheme="minorHAnsi"/>
          <w:sz w:val="20"/>
          <w:szCs w:val="20"/>
        </w:rPr>
        <w:t xml:space="preserve">ea </w:t>
      </w:r>
      <w:r w:rsidR="007F52CA" w:rsidRPr="00A7748B">
        <w:rPr>
          <w:rFonts w:cstheme="minorHAnsi"/>
          <w:sz w:val="20"/>
          <w:szCs w:val="20"/>
        </w:rPr>
        <w:t>ș</w:t>
      </w:r>
      <w:r w:rsidRPr="00A7748B">
        <w:rPr>
          <w:rFonts w:cstheme="minorHAnsi"/>
          <w:sz w:val="20"/>
          <w:szCs w:val="20"/>
        </w:rPr>
        <w:t>colară eterogenă, cu un puternic decalaj digital între unită</w:t>
      </w:r>
      <w:r w:rsidR="007F52CA" w:rsidRPr="00A7748B">
        <w:rPr>
          <w:rFonts w:cstheme="minorHAnsi"/>
          <w:sz w:val="20"/>
          <w:szCs w:val="20"/>
        </w:rPr>
        <w:t>ț</w:t>
      </w:r>
      <w:r w:rsidRPr="00A7748B">
        <w:rPr>
          <w:rFonts w:cstheme="minorHAnsi"/>
          <w:sz w:val="20"/>
          <w:szCs w:val="20"/>
        </w:rPr>
        <w:t>ile de învă</w:t>
      </w:r>
      <w:r w:rsidR="007F52CA" w:rsidRPr="00A7748B">
        <w:rPr>
          <w:rFonts w:cstheme="minorHAnsi"/>
          <w:sz w:val="20"/>
          <w:szCs w:val="20"/>
        </w:rPr>
        <w:t>ț</w:t>
      </w:r>
      <w:r w:rsidRPr="00A7748B">
        <w:rPr>
          <w:rFonts w:cstheme="minorHAnsi"/>
          <w:sz w:val="20"/>
          <w:szCs w:val="20"/>
        </w:rPr>
        <w:t>ământ; competen</w:t>
      </w:r>
      <w:r w:rsidR="007F52CA" w:rsidRPr="00A7748B">
        <w:rPr>
          <w:rFonts w:cstheme="minorHAnsi"/>
          <w:sz w:val="20"/>
          <w:szCs w:val="20"/>
        </w:rPr>
        <w:t>ț</w:t>
      </w:r>
      <w:r w:rsidRPr="00A7748B">
        <w:rPr>
          <w:rFonts w:cstheme="minorHAnsi"/>
          <w:sz w:val="20"/>
          <w:szCs w:val="20"/>
        </w:rPr>
        <w:t xml:space="preserve">e digitale insuficient dezvoltate pentru organizarea eficientă a procesului didactic în mediul online; acces redus la tehnologie </w:t>
      </w:r>
      <w:r w:rsidR="007F52CA" w:rsidRPr="00A7748B">
        <w:rPr>
          <w:rFonts w:cstheme="minorHAnsi"/>
          <w:sz w:val="20"/>
          <w:szCs w:val="20"/>
        </w:rPr>
        <w:t>ș</w:t>
      </w:r>
      <w:r w:rsidRPr="00A7748B">
        <w:rPr>
          <w:rFonts w:cstheme="minorHAnsi"/>
          <w:sz w:val="20"/>
          <w:szCs w:val="20"/>
        </w:rPr>
        <w:t>i conectivitate redusă la internet; posibilită</w:t>
      </w:r>
      <w:r w:rsidR="007F52CA" w:rsidRPr="00A7748B">
        <w:rPr>
          <w:rFonts w:cstheme="minorHAnsi"/>
          <w:sz w:val="20"/>
          <w:szCs w:val="20"/>
        </w:rPr>
        <w:t>ț</w:t>
      </w:r>
      <w:r w:rsidRPr="00A7748B">
        <w:rPr>
          <w:rFonts w:cstheme="minorHAnsi"/>
          <w:sz w:val="20"/>
          <w:szCs w:val="20"/>
        </w:rPr>
        <w:t>ile reduse ale familiilor în a acorda sprijin beneficiarilor educa</w:t>
      </w:r>
      <w:r w:rsidR="007F52CA" w:rsidRPr="00A7748B">
        <w:rPr>
          <w:rFonts w:cstheme="minorHAnsi"/>
          <w:sz w:val="20"/>
          <w:szCs w:val="20"/>
        </w:rPr>
        <w:t>ț</w:t>
      </w:r>
      <w:r w:rsidRPr="00A7748B">
        <w:rPr>
          <w:rFonts w:cstheme="minorHAnsi"/>
          <w:sz w:val="20"/>
          <w:szCs w:val="20"/>
        </w:rPr>
        <w:t>iei, copiii, pentru participare la lec</w:t>
      </w:r>
      <w:r w:rsidR="007F52CA" w:rsidRPr="00A7748B">
        <w:rPr>
          <w:rFonts w:cstheme="minorHAnsi"/>
          <w:sz w:val="20"/>
          <w:szCs w:val="20"/>
        </w:rPr>
        <w:t>ț</w:t>
      </w:r>
      <w:r w:rsidRPr="00A7748B">
        <w:rPr>
          <w:rFonts w:cstheme="minorHAnsi"/>
          <w:sz w:val="20"/>
          <w:szCs w:val="20"/>
        </w:rPr>
        <w:t>ii online</w:t>
      </w:r>
      <w:r w:rsidR="00553284" w:rsidRPr="00A7748B">
        <w:rPr>
          <w:rFonts w:cstheme="minorHAnsi"/>
          <w:sz w:val="20"/>
          <w:szCs w:val="20"/>
        </w:rPr>
        <w:t xml:space="preserve"> („Strategia privind digitalizarea educa</w:t>
      </w:r>
      <w:r w:rsidR="007F52CA" w:rsidRPr="00A7748B">
        <w:rPr>
          <w:rFonts w:cstheme="minorHAnsi"/>
          <w:sz w:val="20"/>
          <w:szCs w:val="20"/>
        </w:rPr>
        <w:t>ț</w:t>
      </w:r>
      <w:r w:rsidR="00553284" w:rsidRPr="00A7748B">
        <w:rPr>
          <w:rFonts w:cstheme="minorHAnsi"/>
          <w:sz w:val="20"/>
          <w:szCs w:val="20"/>
        </w:rPr>
        <w:t>iei din România”, Ministerul Educa</w:t>
      </w:r>
      <w:r w:rsidR="007F52CA" w:rsidRPr="00A7748B">
        <w:rPr>
          <w:rFonts w:cstheme="minorHAnsi"/>
          <w:sz w:val="20"/>
          <w:szCs w:val="20"/>
        </w:rPr>
        <w:t>ț</w:t>
      </w:r>
      <w:r w:rsidR="00553284" w:rsidRPr="00A7748B">
        <w:rPr>
          <w:rFonts w:cstheme="minorHAnsi"/>
          <w:sz w:val="20"/>
          <w:szCs w:val="20"/>
        </w:rPr>
        <w:t xml:space="preserve">iei </w:t>
      </w:r>
      <w:r w:rsidR="007F52CA" w:rsidRPr="00A7748B">
        <w:rPr>
          <w:rFonts w:cstheme="minorHAnsi"/>
          <w:sz w:val="20"/>
          <w:szCs w:val="20"/>
        </w:rPr>
        <w:t>ș</w:t>
      </w:r>
      <w:r w:rsidR="00553284" w:rsidRPr="00A7748B">
        <w:rPr>
          <w:rFonts w:cstheme="minorHAnsi"/>
          <w:sz w:val="20"/>
          <w:szCs w:val="20"/>
        </w:rPr>
        <w:t>i Cercetării, 2011)</w:t>
      </w:r>
      <w:r w:rsidRPr="00A7748B">
        <w:rPr>
          <w:rFonts w:cstheme="minorHAnsi"/>
          <w:sz w:val="20"/>
          <w:szCs w:val="20"/>
        </w:rPr>
        <w:t>.</w:t>
      </w:r>
    </w:p>
    <w:p w14:paraId="79BDD835" w14:textId="795D3C8A" w:rsidR="00670D3A" w:rsidRPr="00A7748B" w:rsidRDefault="00670D3A" w:rsidP="00822BC1">
      <w:pPr>
        <w:spacing w:after="120" w:line="240" w:lineRule="auto"/>
        <w:contextualSpacing/>
        <w:jc w:val="both"/>
        <w:rPr>
          <w:rFonts w:cstheme="minorHAnsi"/>
          <w:sz w:val="20"/>
          <w:szCs w:val="20"/>
        </w:rPr>
      </w:pPr>
      <w:r w:rsidRPr="00A7748B">
        <w:rPr>
          <w:rFonts w:cstheme="minorHAnsi"/>
          <w:sz w:val="20"/>
          <w:szCs w:val="20"/>
        </w:rPr>
        <w:t>În aceea</w:t>
      </w:r>
      <w:r w:rsidR="007F52CA" w:rsidRPr="00A7748B">
        <w:rPr>
          <w:rFonts w:cstheme="minorHAnsi"/>
          <w:sz w:val="20"/>
          <w:szCs w:val="20"/>
        </w:rPr>
        <w:t>ș</w:t>
      </w:r>
      <w:r w:rsidRPr="00A7748B">
        <w:rPr>
          <w:rFonts w:cstheme="minorHAnsi"/>
          <w:sz w:val="20"/>
          <w:szCs w:val="20"/>
        </w:rPr>
        <w:t>i măsură, pandemia COVID-19 a eviden</w:t>
      </w:r>
      <w:r w:rsidR="007F52CA" w:rsidRPr="00A7748B">
        <w:rPr>
          <w:rFonts w:cstheme="minorHAnsi"/>
          <w:sz w:val="20"/>
          <w:szCs w:val="20"/>
        </w:rPr>
        <w:t>ț</w:t>
      </w:r>
      <w:r w:rsidRPr="00A7748B">
        <w:rPr>
          <w:rFonts w:cstheme="minorHAnsi"/>
          <w:sz w:val="20"/>
          <w:szCs w:val="20"/>
        </w:rPr>
        <w:t xml:space="preserve">iat principalele lacune </w:t>
      </w:r>
      <w:r w:rsidR="007F52CA" w:rsidRPr="00A7748B">
        <w:rPr>
          <w:rFonts w:cstheme="minorHAnsi"/>
          <w:sz w:val="20"/>
          <w:szCs w:val="20"/>
        </w:rPr>
        <w:t>ș</w:t>
      </w:r>
      <w:r w:rsidRPr="00A7748B">
        <w:rPr>
          <w:rFonts w:cstheme="minorHAnsi"/>
          <w:sz w:val="20"/>
          <w:szCs w:val="20"/>
        </w:rPr>
        <w:t>i deficien</w:t>
      </w:r>
      <w:r w:rsidR="007F52CA" w:rsidRPr="00A7748B">
        <w:rPr>
          <w:rFonts w:cstheme="minorHAnsi"/>
          <w:sz w:val="20"/>
          <w:szCs w:val="20"/>
        </w:rPr>
        <w:t>ț</w:t>
      </w:r>
      <w:r w:rsidRPr="00A7748B">
        <w:rPr>
          <w:rFonts w:cstheme="minorHAnsi"/>
          <w:sz w:val="20"/>
          <w:szCs w:val="20"/>
        </w:rPr>
        <w:t>e semnificative în ceea ce prive</w:t>
      </w:r>
      <w:r w:rsidR="007F52CA" w:rsidRPr="00A7748B">
        <w:rPr>
          <w:rFonts w:cstheme="minorHAnsi"/>
          <w:sz w:val="20"/>
          <w:szCs w:val="20"/>
        </w:rPr>
        <w:t>ș</w:t>
      </w:r>
      <w:r w:rsidRPr="00A7748B">
        <w:rPr>
          <w:rFonts w:cstheme="minorHAnsi"/>
          <w:sz w:val="20"/>
          <w:szCs w:val="20"/>
        </w:rPr>
        <w:t>te abilită</w:t>
      </w:r>
      <w:r w:rsidR="007F52CA" w:rsidRPr="00A7748B">
        <w:rPr>
          <w:rFonts w:cstheme="minorHAnsi"/>
          <w:sz w:val="20"/>
          <w:szCs w:val="20"/>
        </w:rPr>
        <w:t>ț</w:t>
      </w:r>
      <w:r w:rsidRPr="00A7748B">
        <w:rPr>
          <w:rFonts w:cstheme="minorHAnsi"/>
          <w:sz w:val="20"/>
          <w:szCs w:val="20"/>
        </w:rPr>
        <w:t xml:space="preserve">ile digitale, conectivitatea </w:t>
      </w:r>
      <w:r w:rsidR="007F52CA" w:rsidRPr="00A7748B">
        <w:rPr>
          <w:rFonts w:cstheme="minorHAnsi"/>
          <w:sz w:val="20"/>
          <w:szCs w:val="20"/>
        </w:rPr>
        <w:t>ș</w:t>
      </w:r>
      <w:r w:rsidRPr="00A7748B">
        <w:rPr>
          <w:rFonts w:cstheme="minorHAnsi"/>
          <w:sz w:val="20"/>
          <w:szCs w:val="20"/>
        </w:rPr>
        <w:t>i utilizarea tehnologiilor în rândul popula</w:t>
      </w:r>
      <w:r w:rsidR="007F52CA" w:rsidRPr="00A7748B">
        <w:rPr>
          <w:rFonts w:cstheme="minorHAnsi"/>
          <w:sz w:val="20"/>
          <w:szCs w:val="20"/>
        </w:rPr>
        <w:t>ț</w:t>
      </w:r>
      <w:r w:rsidRPr="00A7748B">
        <w:rPr>
          <w:rFonts w:cstheme="minorHAnsi"/>
          <w:sz w:val="20"/>
          <w:szCs w:val="20"/>
        </w:rPr>
        <w:t xml:space="preserve">iei la modul general </w:t>
      </w:r>
      <w:r w:rsidR="007F52CA" w:rsidRPr="00A7748B">
        <w:rPr>
          <w:rFonts w:cstheme="minorHAnsi"/>
          <w:sz w:val="20"/>
          <w:szCs w:val="20"/>
        </w:rPr>
        <w:t>ș</w:t>
      </w:r>
      <w:r w:rsidRPr="00A7748B">
        <w:rPr>
          <w:rFonts w:cstheme="minorHAnsi"/>
          <w:sz w:val="20"/>
          <w:szCs w:val="20"/>
        </w:rPr>
        <w:t>i în rândul comunită</w:t>
      </w:r>
      <w:r w:rsidR="007F52CA" w:rsidRPr="00A7748B">
        <w:rPr>
          <w:rFonts w:cstheme="minorHAnsi"/>
          <w:sz w:val="20"/>
          <w:szCs w:val="20"/>
        </w:rPr>
        <w:t>ț</w:t>
      </w:r>
      <w:r w:rsidRPr="00A7748B">
        <w:rPr>
          <w:rFonts w:cstheme="minorHAnsi"/>
          <w:sz w:val="20"/>
          <w:szCs w:val="20"/>
        </w:rPr>
        <w:t xml:space="preserve">ile vulnerabile în particular. Indexul economiei </w:t>
      </w:r>
      <w:r w:rsidR="007F52CA" w:rsidRPr="00A7748B">
        <w:rPr>
          <w:rFonts w:cstheme="minorHAnsi"/>
          <w:sz w:val="20"/>
          <w:szCs w:val="20"/>
        </w:rPr>
        <w:t>ș</w:t>
      </w:r>
      <w:r w:rsidRPr="00A7748B">
        <w:rPr>
          <w:rFonts w:cstheme="minorHAnsi"/>
          <w:sz w:val="20"/>
          <w:szCs w:val="20"/>
        </w:rPr>
        <w:t>i societă</w:t>
      </w:r>
      <w:r w:rsidR="007F52CA" w:rsidRPr="00A7748B">
        <w:rPr>
          <w:rFonts w:cstheme="minorHAnsi"/>
          <w:sz w:val="20"/>
          <w:szCs w:val="20"/>
        </w:rPr>
        <w:t>ț</w:t>
      </w:r>
      <w:r w:rsidRPr="00A7748B">
        <w:rPr>
          <w:rFonts w:cstheme="minorHAnsi"/>
          <w:sz w:val="20"/>
          <w:szCs w:val="20"/>
        </w:rPr>
        <w:t>ii digitale din iunie 2020 eviden</w:t>
      </w:r>
      <w:r w:rsidR="007F52CA" w:rsidRPr="00A7748B">
        <w:rPr>
          <w:rFonts w:cstheme="minorHAnsi"/>
          <w:sz w:val="20"/>
          <w:szCs w:val="20"/>
        </w:rPr>
        <w:t>ț</w:t>
      </w:r>
      <w:r w:rsidRPr="00A7748B">
        <w:rPr>
          <w:rFonts w:cstheme="minorHAnsi"/>
          <w:sz w:val="20"/>
          <w:szCs w:val="20"/>
        </w:rPr>
        <w:t>ia că 42% dintre europeni nu au abilită</w:t>
      </w:r>
      <w:r w:rsidR="007F52CA" w:rsidRPr="00A7748B">
        <w:rPr>
          <w:rFonts w:cstheme="minorHAnsi"/>
          <w:sz w:val="20"/>
          <w:szCs w:val="20"/>
        </w:rPr>
        <w:t>ț</w:t>
      </w:r>
      <w:r w:rsidRPr="00A7748B">
        <w:rPr>
          <w:rFonts w:cstheme="minorHAnsi"/>
          <w:sz w:val="20"/>
          <w:szCs w:val="20"/>
        </w:rPr>
        <w:t>i digitale de bază, constatându-se un deficit de exper</w:t>
      </w:r>
      <w:r w:rsidR="007F52CA" w:rsidRPr="00A7748B">
        <w:rPr>
          <w:rFonts w:cstheme="minorHAnsi"/>
          <w:sz w:val="20"/>
          <w:szCs w:val="20"/>
        </w:rPr>
        <w:t>ț</w:t>
      </w:r>
      <w:r w:rsidRPr="00A7748B">
        <w:rPr>
          <w:rFonts w:cstheme="minorHAnsi"/>
          <w:sz w:val="20"/>
          <w:szCs w:val="20"/>
        </w:rPr>
        <w:t xml:space="preserve">i în domeniul digital (64 % din întreprinderile mari </w:t>
      </w:r>
      <w:r w:rsidR="007F52CA" w:rsidRPr="00A7748B">
        <w:rPr>
          <w:rFonts w:cstheme="minorHAnsi"/>
          <w:sz w:val="20"/>
          <w:szCs w:val="20"/>
        </w:rPr>
        <w:t>ș</w:t>
      </w:r>
      <w:r w:rsidRPr="00A7748B">
        <w:rPr>
          <w:rFonts w:cstheme="minorHAnsi"/>
          <w:sz w:val="20"/>
          <w:szCs w:val="20"/>
        </w:rPr>
        <w:t>i 56 % din IMM-urile care au recrutat speciali</w:t>
      </w:r>
      <w:r w:rsidR="007F52CA" w:rsidRPr="00A7748B">
        <w:rPr>
          <w:rFonts w:cstheme="minorHAnsi"/>
          <w:sz w:val="20"/>
          <w:szCs w:val="20"/>
        </w:rPr>
        <w:t>ș</w:t>
      </w:r>
      <w:r w:rsidRPr="00A7748B">
        <w:rPr>
          <w:rFonts w:cstheme="minorHAnsi"/>
          <w:sz w:val="20"/>
          <w:szCs w:val="20"/>
        </w:rPr>
        <w:t>ti în domeniul TIC în 2018 au raportat că au găsit foarte greu persoane care să ocupe posturile vacante de specialist în TIC)</w:t>
      </w:r>
      <w:r w:rsidR="00553284" w:rsidRPr="00A7748B">
        <w:rPr>
          <w:rFonts w:cstheme="minorHAnsi"/>
          <w:sz w:val="20"/>
          <w:szCs w:val="20"/>
        </w:rPr>
        <w:t xml:space="preserve"> (DESI, 2020)</w:t>
      </w:r>
      <w:r w:rsidRPr="00A7748B">
        <w:rPr>
          <w:rFonts w:cstheme="minorHAnsi"/>
          <w:sz w:val="20"/>
          <w:szCs w:val="20"/>
        </w:rPr>
        <w:t xml:space="preserve">. </w:t>
      </w:r>
    </w:p>
    <w:p w14:paraId="031C603E" w14:textId="4BC07863" w:rsidR="00670D3A" w:rsidRPr="00A7748B" w:rsidRDefault="00670D3A" w:rsidP="00822BC1">
      <w:pPr>
        <w:pStyle w:val="NormalWeb"/>
        <w:shd w:val="clear" w:color="auto" w:fill="FFFFFF"/>
        <w:spacing w:before="0" w:beforeAutospacing="0" w:after="120" w:afterAutospacing="0"/>
        <w:contextualSpacing/>
        <w:jc w:val="both"/>
        <w:rPr>
          <w:rFonts w:asciiTheme="minorHAnsi" w:hAnsiTheme="minorHAnsi" w:cstheme="minorHAnsi"/>
          <w:sz w:val="20"/>
          <w:szCs w:val="20"/>
        </w:rPr>
      </w:pPr>
      <w:r w:rsidRPr="00A7748B">
        <w:rPr>
          <w:rFonts w:asciiTheme="minorHAnsi" w:hAnsiTheme="minorHAnsi" w:cstheme="minorHAnsi"/>
          <w:color w:val="000000"/>
          <w:sz w:val="20"/>
          <w:szCs w:val="20"/>
        </w:rPr>
        <w:t>Îmbunătă</w:t>
      </w:r>
      <w:r w:rsidR="007F52CA" w:rsidRPr="00A7748B">
        <w:rPr>
          <w:rFonts w:asciiTheme="minorHAnsi" w:hAnsiTheme="minorHAnsi" w:cstheme="minorHAnsi"/>
          <w:color w:val="000000"/>
          <w:sz w:val="20"/>
          <w:szCs w:val="20"/>
        </w:rPr>
        <w:t>ț</w:t>
      </w:r>
      <w:r w:rsidRPr="00A7748B">
        <w:rPr>
          <w:rFonts w:asciiTheme="minorHAnsi" w:hAnsiTheme="minorHAnsi" w:cstheme="minorHAnsi"/>
          <w:color w:val="000000"/>
          <w:sz w:val="20"/>
          <w:szCs w:val="20"/>
        </w:rPr>
        <w:t xml:space="preserve">irea alfabetizării digitale, dar </w:t>
      </w:r>
      <w:r w:rsidR="007F52CA" w:rsidRPr="00A7748B">
        <w:rPr>
          <w:rFonts w:asciiTheme="minorHAnsi" w:hAnsiTheme="minorHAnsi" w:cstheme="minorHAnsi"/>
          <w:color w:val="000000"/>
          <w:sz w:val="20"/>
          <w:szCs w:val="20"/>
        </w:rPr>
        <w:t>ș</w:t>
      </w:r>
      <w:r w:rsidRPr="00A7748B">
        <w:rPr>
          <w:rFonts w:asciiTheme="minorHAnsi" w:hAnsiTheme="minorHAnsi" w:cstheme="minorHAnsi"/>
          <w:color w:val="000000"/>
          <w:sz w:val="20"/>
          <w:szCs w:val="20"/>
        </w:rPr>
        <w:t xml:space="preserve">i eliminarea principalelor lagune sunt cu atât mai importante </w:t>
      </w:r>
      <w:r w:rsidR="007F52CA" w:rsidRPr="00A7748B">
        <w:rPr>
          <w:rFonts w:asciiTheme="minorHAnsi" w:hAnsiTheme="minorHAnsi" w:cstheme="minorHAnsi"/>
          <w:color w:val="000000"/>
          <w:sz w:val="20"/>
          <w:szCs w:val="20"/>
        </w:rPr>
        <w:t>ș</w:t>
      </w:r>
      <w:r w:rsidRPr="00A7748B">
        <w:rPr>
          <w:rFonts w:asciiTheme="minorHAnsi" w:hAnsiTheme="minorHAnsi" w:cstheme="minorHAnsi"/>
          <w:color w:val="000000"/>
          <w:sz w:val="20"/>
          <w:szCs w:val="20"/>
        </w:rPr>
        <w:t>i relevante în contextul pandemiei de COVID-19, care a eviden</w:t>
      </w:r>
      <w:r w:rsidR="007F52CA" w:rsidRPr="00A7748B">
        <w:rPr>
          <w:rFonts w:asciiTheme="minorHAnsi" w:hAnsiTheme="minorHAnsi" w:cstheme="minorHAnsi"/>
          <w:color w:val="000000"/>
          <w:sz w:val="20"/>
          <w:szCs w:val="20"/>
        </w:rPr>
        <w:t>ț</w:t>
      </w:r>
      <w:r w:rsidRPr="00A7748B">
        <w:rPr>
          <w:rFonts w:asciiTheme="minorHAnsi" w:hAnsiTheme="minorHAnsi" w:cstheme="minorHAnsi"/>
          <w:color w:val="000000"/>
          <w:sz w:val="20"/>
          <w:szCs w:val="20"/>
        </w:rPr>
        <w:t>iat rolul esen</w:t>
      </w:r>
      <w:r w:rsidR="007F52CA" w:rsidRPr="00A7748B">
        <w:rPr>
          <w:rFonts w:asciiTheme="minorHAnsi" w:hAnsiTheme="minorHAnsi" w:cstheme="minorHAnsi"/>
          <w:color w:val="000000"/>
          <w:sz w:val="20"/>
          <w:szCs w:val="20"/>
        </w:rPr>
        <w:t>ț</w:t>
      </w:r>
      <w:r w:rsidRPr="00A7748B">
        <w:rPr>
          <w:rFonts w:asciiTheme="minorHAnsi" w:hAnsiTheme="minorHAnsi" w:cstheme="minorHAnsi"/>
          <w:color w:val="000000"/>
          <w:sz w:val="20"/>
          <w:szCs w:val="20"/>
        </w:rPr>
        <w:t xml:space="preserve">ial pe care îl au tehnologiile digitale, dar </w:t>
      </w:r>
      <w:r w:rsidR="007F52CA" w:rsidRPr="00A7748B">
        <w:rPr>
          <w:rFonts w:asciiTheme="minorHAnsi" w:hAnsiTheme="minorHAnsi" w:cstheme="minorHAnsi"/>
          <w:color w:val="000000"/>
          <w:sz w:val="20"/>
          <w:szCs w:val="20"/>
        </w:rPr>
        <w:t>ș</w:t>
      </w:r>
      <w:r w:rsidRPr="00A7748B">
        <w:rPr>
          <w:rFonts w:asciiTheme="minorHAnsi" w:hAnsiTheme="minorHAnsi" w:cstheme="minorHAnsi"/>
          <w:color w:val="000000"/>
          <w:sz w:val="20"/>
          <w:szCs w:val="20"/>
        </w:rPr>
        <w:t xml:space="preserve">i revizuirea unor acorduri </w:t>
      </w:r>
      <w:r w:rsidR="007F52CA" w:rsidRPr="00A7748B">
        <w:rPr>
          <w:rFonts w:asciiTheme="minorHAnsi" w:hAnsiTheme="minorHAnsi" w:cstheme="minorHAnsi"/>
          <w:color w:val="000000"/>
          <w:sz w:val="20"/>
          <w:szCs w:val="20"/>
        </w:rPr>
        <w:t>ș</w:t>
      </w:r>
      <w:r w:rsidRPr="00A7748B">
        <w:rPr>
          <w:rFonts w:asciiTheme="minorHAnsi" w:hAnsiTheme="minorHAnsi" w:cstheme="minorHAnsi"/>
          <w:color w:val="000000"/>
          <w:sz w:val="20"/>
          <w:szCs w:val="20"/>
        </w:rPr>
        <w:t xml:space="preserve">i strategii. </w:t>
      </w:r>
      <w:proofErr w:type="spellStart"/>
      <w:r w:rsidRPr="00A7748B">
        <w:rPr>
          <w:rFonts w:asciiTheme="minorHAnsi" w:hAnsiTheme="minorHAnsi" w:cstheme="minorHAnsi"/>
          <w:color w:val="000000"/>
          <w:sz w:val="20"/>
          <w:szCs w:val="20"/>
        </w:rPr>
        <w:t>Margrethe</w:t>
      </w:r>
      <w:proofErr w:type="spellEnd"/>
      <w:r w:rsidRPr="00A7748B">
        <w:rPr>
          <w:rFonts w:asciiTheme="minorHAnsi" w:hAnsiTheme="minorHAnsi" w:cstheme="minorHAnsi"/>
          <w:color w:val="000000"/>
          <w:sz w:val="20"/>
          <w:szCs w:val="20"/>
        </w:rPr>
        <w:t> </w:t>
      </w:r>
      <w:proofErr w:type="spellStart"/>
      <w:r w:rsidRPr="00A7748B">
        <w:rPr>
          <w:rStyle w:val="Robust"/>
          <w:rFonts w:asciiTheme="minorHAnsi" w:hAnsiTheme="minorHAnsi" w:cstheme="minorHAnsi"/>
          <w:color w:val="333333"/>
          <w:sz w:val="20"/>
          <w:szCs w:val="20"/>
        </w:rPr>
        <w:t>Vestager</w:t>
      </w:r>
      <w:proofErr w:type="spellEnd"/>
      <w:r w:rsidRPr="00A7748B">
        <w:rPr>
          <w:rFonts w:asciiTheme="minorHAnsi" w:hAnsiTheme="minorHAnsi" w:cstheme="minorHAnsi"/>
          <w:color w:val="000000"/>
          <w:sz w:val="20"/>
          <w:szCs w:val="20"/>
        </w:rPr>
        <w:t>, vicepre</w:t>
      </w:r>
      <w:r w:rsidR="007F52CA" w:rsidRPr="00A7748B">
        <w:rPr>
          <w:rFonts w:asciiTheme="minorHAnsi" w:hAnsiTheme="minorHAnsi" w:cstheme="minorHAnsi"/>
          <w:color w:val="000000"/>
          <w:sz w:val="20"/>
          <w:szCs w:val="20"/>
        </w:rPr>
        <w:t>ș</w:t>
      </w:r>
      <w:r w:rsidRPr="00A7748B">
        <w:rPr>
          <w:rFonts w:asciiTheme="minorHAnsi" w:hAnsiTheme="minorHAnsi" w:cstheme="minorHAnsi"/>
          <w:color w:val="000000"/>
          <w:sz w:val="20"/>
          <w:szCs w:val="20"/>
        </w:rPr>
        <w:t>edinte executiv Comisia Europeană a declarat: „</w:t>
      </w:r>
      <w:r w:rsidRPr="00A7748B">
        <w:rPr>
          <w:rStyle w:val="Accentuat"/>
          <w:rFonts w:asciiTheme="minorHAnsi" w:hAnsiTheme="minorHAnsi" w:cstheme="minorHAnsi"/>
          <w:color w:val="000000"/>
          <w:sz w:val="20"/>
          <w:szCs w:val="20"/>
        </w:rPr>
        <w:t>Criza declan</w:t>
      </w:r>
      <w:r w:rsidR="007F52CA" w:rsidRPr="00A7748B">
        <w:rPr>
          <w:rStyle w:val="Accentuat"/>
          <w:rFonts w:asciiTheme="minorHAnsi" w:hAnsiTheme="minorHAnsi" w:cstheme="minorHAnsi"/>
          <w:color w:val="000000"/>
          <w:sz w:val="20"/>
          <w:szCs w:val="20"/>
        </w:rPr>
        <w:t>ș</w:t>
      </w:r>
      <w:r w:rsidRPr="00A7748B">
        <w:rPr>
          <w:rStyle w:val="Accentuat"/>
          <w:rFonts w:asciiTheme="minorHAnsi" w:hAnsiTheme="minorHAnsi" w:cstheme="minorHAnsi"/>
          <w:color w:val="000000"/>
          <w:sz w:val="20"/>
          <w:szCs w:val="20"/>
        </w:rPr>
        <w:t>ată de COVID-19 a demonstrat cât de important este pentru cetă</w:t>
      </w:r>
      <w:r w:rsidR="007F52CA" w:rsidRPr="00A7748B">
        <w:rPr>
          <w:rStyle w:val="Accentuat"/>
          <w:rFonts w:asciiTheme="minorHAnsi" w:hAnsiTheme="minorHAnsi" w:cstheme="minorHAnsi"/>
          <w:color w:val="000000"/>
          <w:sz w:val="20"/>
          <w:szCs w:val="20"/>
        </w:rPr>
        <w:t>ț</w:t>
      </w:r>
      <w:r w:rsidRPr="00A7748B">
        <w:rPr>
          <w:rStyle w:val="Accentuat"/>
          <w:rFonts w:asciiTheme="minorHAnsi" w:hAnsiTheme="minorHAnsi" w:cstheme="minorHAnsi"/>
          <w:color w:val="000000"/>
          <w:sz w:val="20"/>
          <w:szCs w:val="20"/>
        </w:rPr>
        <w:t xml:space="preserve">eni </w:t>
      </w:r>
      <w:r w:rsidR="007F52CA" w:rsidRPr="00A7748B">
        <w:rPr>
          <w:rStyle w:val="Accentuat"/>
          <w:rFonts w:asciiTheme="minorHAnsi" w:hAnsiTheme="minorHAnsi" w:cstheme="minorHAnsi"/>
          <w:color w:val="000000"/>
          <w:sz w:val="20"/>
          <w:szCs w:val="20"/>
        </w:rPr>
        <w:t>ș</w:t>
      </w:r>
      <w:r w:rsidRPr="00A7748B">
        <w:rPr>
          <w:rStyle w:val="Accentuat"/>
          <w:rFonts w:asciiTheme="minorHAnsi" w:hAnsiTheme="minorHAnsi" w:cstheme="minorHAnsi"/>
          <w:color w:val="000000"/>
          <w:sz w:val="20"/>
          <w:szCs w:val="20"/>
        </w:rPr>
        <w:t>i întreprinderi să fie conecta</w:t>
      </w:r>
      <w:r w:rsidR="007F52CA" w:rsidRPr="00A7748B">
        <w:rPr>
          <w:rStyle w:val="Accentuat"/>
          <w:rFonts w:asciiTheme="minorHAnsi" w:hAnsiTheme="minorHAnsi" w:cstheme="minorHAnsi"/>
          <w:color w:val="000000"/>
          <w:sz w:val="20"/>
          <w:szCs w:val="20"/>
        </w:rPr>
        <w:t>ț</w:t>
      </w:r>
      <w:r w:rsidRPr="00A7748B">
        <w:rPr>
          <w:rStyle w:val="Accentuat"/>
          <w:rFonts w:asciiTheme="minorHAnsi" w:hAnsiTheme="minorHAnsi" w:cstheme="minorHAnsi"/>
          <w:color w:val="000000"/>
          <w:sz w:val="20"/>
          <w:szCs w:val="20"/>
        </w:rPr>
        <w:t xml:space="preserve">i </w:t>
      </w:r>
      <w:r w:rsidR="007F52CA" w:rsidRPr="00A7748B">
        <w:rPr>
          <w:rStyle w:val="Accentuat"/>
          <w:rFonts w:asciiTheme="minorHAnsi" w:hAnsiTheme="minorHAnsi" w:cstheme="minorHAnsi"/>
          <w:color w:val="000000"/>
          <w:sz w:val="20"/>
          <w:szCs w:val="20"/>
        </w:rPr>
        <w:t>ș</w:t>
      </w:r>
      <w:r w:rsidRPr="00A7748B">
        <w:rPr>
          <w:rStyle w:val="Accentuat"/>
          <w:rFonts w:asciiTheme="minorHAnsi" w:hAnsiTheme="minorHAnsi" w:cstheme="minorHAnsi"/>
          <w:color w:val="000000"/>
          <w:sz w:val="20"/>
          <w:szCs w:val="20"/>
        </w:rPr>
        <w:t>i să interac</w:t>
      </w:r>
      <w:r w:rsidR="007F52CA" w:rsidRPr="00A7748B">
        <w:rPr>
          <w:rStyle w:val="Accentuat"/>
          <w:rFonts w:asciiTheme="minorHAnsi" w:hAnsiTheme="minorHAnsi" w:cstheme="minorHAnsi"/>
          <w:color w:val="000000"/>
          <w:sz w:val="20"/>
          <w:szCs w:val="20"/>
        </w:rPr>
        <w:t>ț</w:t>
      </w:r>
      <w:r w:rsidRPr="00A7748B">
        <w:rPr>
          <w:rStyle w:val="Accentuat"/>
          <w:rFonts w:asciiTheme="minorHAnsi" w:hAnsiTheme="minorHAnsi" w:cstheme="minorHAnsi"/>
          <w:color w:val="000000"/>
          <w:sz w:val="20"/>
          <w:szCs w:val="20"/>
        </w:rPr>
        <w:t>ioneze online. Vom continua să colaborăm cu statele membre pentru a identifica domeniile în care sunt necesare mai multe investi</w:t>
      </w:r>
      <w:r w:rsidR="007F52CA" w:rsidRPr="00A7748B">
        <w:rPr>
          <w:rStyle w:val="Accentuat"/>
          <w:rFonts w:asciiTheme="minorHAnsi" w:hAnsiTheme="minorHAnsi" w:cstheme="minorHAnsi"/>
          <w:color w:val="000000"/>
          <w:sz w:val="20"/>
          <w:szCs w:val="20"/>
        </w:rPr>
        <w:t>ț</w:t>
      </w:r>
      <w:r w:rsidRPr="00A7748B">
        <w:rPr>
          <w:rStyle w:val="Accentuat"/>
          <w:rFonts w:asciiTheme="minorHAnsi" w:hAnsiTheme="minorHAnsi" w:cstheme="minorHAnsi"/>
          <w:color w:val="000000"/>
          <w:sz w:val="20"/>
          <w:szCs w:val="20"/>
        </w:rPr>
        <w:t>ii, astfel încât to</w:t>
      </w:r>
      <w:r w:rsidR="007F52CA" w:rsidRPr="00A7748B">
        <w:rPr>
          <w:rStyle w:val="Accentuat"/>
          <w:rFonts w:asciiTheme="minorHAnsi" w:hAnsiTheme="minorHAnsi" w:cstheme="minorHAnsi"/>
          <w:color w:val="000000"/>
          <w:sz w:val="20"/>
          <w:szCs w:val="20"/>
        </w:rPr>
        <w:t>ț</w:t>
      </w:r>
      <w:r w:rsidRPr="00A7748B">
        <w:rPr>
          <w:rStyle w:val="Accentuat"/>
          <w:rFonts w:asciiTheme="minorHAnsi" w:hAnsiTheme="minorHAnsi" w:cstheme="minorHAnsi"/>
          <w:color w:val="000000"/>
          <w:sz w:val="20"/>
          <w:szCs w:val="20"/>
        </w:rPr>
        <w:t xml:space="preserve">i europenii să poată beneficia de serviciile </w:t>
      </w:r>
      <w:r w:rsidR="007F52CA" w:rsidRPr="00A7748B">
        <w:rPr>
          <w:rStyle w:val="Accentuat"/>
          <w:rFonts w:asciiTheme="minorHAnsi" w:hAnsiTheme="minorHAnsi" w:cstheme="minorHAnsi"/>
          <w:color w:val="000000"/>
          <w:sz w:val="20"/>
          <w:szCs w:val="20"/>
        </w:rPr>
        <w:t>ș</w:t>
      </w:r>
      <w:r w:rsidRPr="00A7748B">
        <w:rPr>
          <w:rStyle w:val="Accentuat"/>
          <w:rFonts w:asciiTheme="minorHAnsi" w:hAnsiTheme="minorHAnsi" w:cstheme="minorHAnsi"/>
          <w:color w:val="000000"/>
          <w:sz w:val="20"/>
          <w:szCs w:val="20"/>
        </w:rPr>
        <w:t>i inova</w:t>
      </w:r>
      <w:r w:rsidR="007F52CA" w:rsidRPr="00A7748B">
        <w:rPr>
          <w:rStyle w:val="Accentuat"/>
          <w:rFonts w:asciiTheme="minorHAnsi" w:hAnsiTheme="minorHAnsi" w:cstheme="minorHAnsi"/>
          <w:color w:val="000000"/>
          <w:sz w:val="20"/>
          <w:szCs w:val="20"/>
        </w:rPr>
        <w:t>ț</w:t>
      </w:r>
      <w:r w:rsidRPr="00A7748B">
        <w:rPr>
          <w:rStyle w:val="Accentuat"/>
          <w:rFonts w:asciiTheme="minorHAnsi" w:hAnsiTheme="minorHAnsi" w:cstheme="minorHAnsi"/>
          <w:color w:val="000000"/>
          <w:sz w:val="20"/>
          <w:szCs w:val="20"/>
        </w:rPr>
        <w:t>iile digitale</w:t>
      </w:r>
      <w:r w:rsidR="00553284" w:rsidRPr="00A7748B">
        <w:rPr>
          <w:rStyle w:val="Accentuat"/>
          <w:rFonts w:asciiTheme="minorHAnsi" w:hAnsiTheme="minorHAnsi" w:cstheme="minorHAnsi"/>
          <w:color w:val="000000"/>
          <w:sz w:val="20"/>
          <w:szCs w:val="20"/>
        </w:rPr>
        <w:t xml:space="preserve"> </w:t>
      </w:r>
      <w:r w:rsidR="00553284" w:rsidRPr="00A7748B">
        <w:rPr>
          <w:rStyle w:val="Accentuat"/>
          <w:rFonts w:asciiTheme="minorHAnsi" w:hAnsiTheme="minorHAnsi" w:cstheme="minorHAnsi"/>
          <w:i w:val="0"/>
          <w:color w:val="000000"/>
          <w:sz w:val="20"/>
          <w:szCs w:val="20"/>
        </w:rPr>
        <w:t>(DESI, 2020)</w:t>
      </w:r>
      <w:r w:rsidRPr="00A7748B">
        <w:rPr>
          <w:rStyle w:val="Accentuat"/>
          <w:rFonts w:asciiTheme="minorHAnsi" w:hAnsiTheme="minorHAnsi" w:cstheme="minorHAnsi"/>
          <w:color w:val="000000"/>
          <w:sz w:val="20"/>
          <w:szCs w:val="20"/>
        </w:rPr>
        <w:t>.</w:t>
      </w:r>
      <w:r w:rsidRPr="00A7748B">
        <w:rPr>
          <w:rFonts w:asciiTheme="minorHAnsi" w:hAnsiTheme="minorHAnsi" w:cstheme="minorHAnsi"/>
          <w:color w:val="000000"/>
          <w:sz w:val="20"/>
          <w:szCs w:val="20"/>
        </w:rPr>
        <w:t xml:space="preserve">” </w:t>
      </w:r>
    </w:p>
    <w:p w14:paraId="3C74DA30" w14:textId="7F41C8E5" w:rsidR="00670D3A" w:rsidRPr="00A7748B" w:rsidRDefault="00670D3A" w:rsidP="00822BC1">
      <w:pPr>
        <w:spacing w:after="120" w:line="240" w:lineRule="auto"/>
        <w:contextualSpacing/>
        <w:jc w:val="both"/>
        <w:rPr>
          <w:rFonts w:cstheme="minorHAnsi"/>
          <w:sz w:val="20"/>
          <w:szCs w:val="20"/>
        </w:rPr>
      </w:pPr>
      <w:r w:rsidRPr="00A7748B">
        <w:rPr>
          <w:rFonts w:cstheme="minorHAnsi"/>
          <w:b/>
          <w:sz w:val="20"/>
          <w:szCs w:val="20"/>
        </w:rPr>
        <w:t xml:space="preserve">„European </w:t>
      </w:r>
      <w:proofErr w:type="spellStart"/>
      <w:r w:rsidRPr="00A7748B">
        <w:rPr>
          <w:rFonts w:cstheme="minorHAnsi"/>
          <w:b/>
          <w:sz w:val="20"/>
          <w:szCs w:val="20"/>
        </w:rPr>
        <w:t>Skills</w:t>
      </w:r>
      <w:proofErr w:type="spellEnd"/>
      <w:r w:rsidRPr="00A7748B">
        <w:rPr>
          <w:rFonts w:cstheme="minorHAnsi"/>
          <w:b/>
          <w:sz w:val="20"/>
          <w:szCs w:val="20"/>
        </w:rPr>
        <w:t xml:space="preserve"> Agenda for </w:t>
      </w:r>
      <w:proofErr w:type="spellStart"/>
      <w:r w:rsidRPr="00A7748B">
        <w:rPr>
          <w:rFonts w:cstheme="minorHAnsi"/>
          <w:b/>
          <w:sz w:val="20"/>
          <w:szCs w:val="20"/>
        </w:rPr>
        <w:t>Sustainable</w:t>
      </w:r>
      <w:proofErr w:type="spellEnd"/>
      <w:r w:rsidRPr="00A7748B">
        <w:rPr>
          <w:rFonts w:cstheme="minorHAnsi"/>
          <w:b/>
          <w:sz w:val="20"/>
          <w:szCs w:val="20"/>
        </w:rPr>
        <w:t xml:space="preserve"> </w:t>
      </w:r>
      <w:proofErr w:type="spellStart"/>
      <w:r w:rsidRPr="00A7748B">
        <w:rPr>
          <w:rFonts w:cstheme="minorHAnsi"/>
          <w:b/>
          <w:sz w:val="20"/>
          <w:szCs w:val="20"/>
        </w:rPr>
        <w:t>Competitiveness</w:t>
      </w:r>
      <w:proofErr w:type="spellEnd"/>
      <w:r w:rsidRPr="00A7748B">
        <w:rPr>
          <w:rFonts w:cstheme="minorHAnsi"/>
          <w:b/>
          <w:sz w:val="20"/>
          <w:szCs w:val="20"/>
        </w:rPr>
        <w:t xml:space="preserve">, Social </w:t>
      </w:r>
      <w:proofErr w:type="spellStart"/>
      <w:r w:rsidRPr="00A7748B">
        <w:rPr>
          <w:rFonts w:cstheme="minorHAnsi"/>
          <w:b/>
          <w:sz w:val="20"/>
          <w:szCs w:val="20"/>
        </w:rPr>
        <w:t>Fairness</w:t>
      </w:r>
      <w:proofErr w:type="spellEnd"/>
      <w:r w:rsidRPr="00A7748B">
        <w:rPr>
          <w:rFonts w:cstheme="minorHAnsi"/>
          <w:b/>
          <w:sz w:val="20"/>
          <w:szCs w:val="20"/>
        </w:rPr>
        <w:t xml:space="preserve"> </w:t>
      </w:r>
      <w:proofErr w:type="spellStart"/>
      <w:r w:rsidRPr="00A7748B">
        <w:rPr>
          <w:rFonts w:cstheme="minorHAnsi"/>
          <w:b/>
          <w:sz w:val="20"/>
          <w:szCs w:val="20"/>
        </w:rPr>
        <w:t>and</w:t>
      </w:r>
      <w:proofErr w:type="spellEnd"/>
      <w:r w:rsidRPr="00A7748B">
        <w:rPr>
          <w:rFonts w:cstheme="minorHAnsi"/>
          <w:b/>
          <w:sz w:val="20"/>
          <w:szCs w:val="20"/>
        </w:rPr>
        <w:t xml:space="preserve"> </w:t>
      </w:r>
      <w:proofErr w:type="spellStart"/>
      <w:r w:rsidRPr="00A7748B">
        <w:rPr>
          <w:rFonts w:cstheme="minorHAnsi"/>
          <w:b/>
          <w:sz w:val="20"/>
          <w:szCs w:val="20"/>
        </w:rPr>
        <w:t>Resilience</w:t>
      </w:r>
      <w:proofErr w:type="spellEnd"/>
      <w:r w:rsidRPr="00A7748B">
        <w:rPr>
          <w:rFonts w:cstheme="minorHAnsi"/>
          <w:b/>
          <w:sz w:val="20"/>
          <w:szCs w:val="20"/>
        </w:rPr>
        <w:t xml:space="preserve">” </w:t>
      </w:r>
      <w:r w:rsidRPr="00A7748B">
        <w:rPr>
          <w:rFonts w:cstheme="minorHAnsi"/>
          <w:sz w:val="20"/>
          <w:szCs w:val="20"/>
        </w:rPr>
        <w:t>lansată la  1 iulie 2020, de către Comisia Europeană cuprinde o agendă europeană a competen</w:t>
      </w:r>
      <w:r w:rsidR="007F52CA" w:rsidRPr="00A7748B">
        <w:rPr>
          <w:rFonts w:cstheme="minorHAnsi"/>
          <w:sz w:val="20"/>
          <w:szCs w:val="20"/>
        </w:rPr>
        <w:t>ț</w:t>
      </w:r>
      <w:r w:rsidRPr="00A7748B">
        <w:rPr>
          <w:rFonts w:cstheme="minorHAnsi"/>
          <w:sz w:val="20"/>
          <w:szCs w:val="20"/>
        </w:rPr>
        <w:t xml:space="preserve">elor pentru competitivitate durabilă, echitate socială </w:t>
      </w:r>
      <w:r w:rsidR="007F52CA" w:rsidRPr="00A7748B">
        <w:rPr>
          <w:rFonts w:cstheme="minorHAnsi"/>
          <w:sz w:val="20"/>
          <w:szCs w:val="20"/>
        </w:rPr>
        <w:t>ș</w:t>
      </w:r>
      <w:r w:rsidRPr="00A7748B">
        <w:rPr>
          <w:rFonts w:cstheme="minorHAnsi"/>
          <w:sz w:val="20"/>
          <w:szCs w:val="20"/>
        </w:rPr>
        <w:t>i propune 12 ac</w:t>
      </w:r>
      <w:r w:rsidR="007F52CA" w:rsidRPr="00A7748B">
        <w:rPr>
          <w:rFonts w:cstheme="minorHAnsi"/>
          <w:sz w:val="20"/>
          <w:szCs w:val="20"/>
        </w:rPr>
        <w:t>ț</w:t>
      </w:r>
      <w:r w:rsidRPr="00A7748B">
        <w:rPr>
          <w:rFonts w:cstheme="minorHAnsi"/>
          <w:sz w:val="20"/>
          <w:szCs w:val="20"/>
        </w:rPr>
        <w:t>iuni ale UE care vizează sprijinirea parteneriatelor pentru competen</w:t>
      </w:r>
      <w:r w:rsidR="007F52CA" w:rsidRPr="00A7748B">
        <w:rPr>
          <w:rFonts w:cstheme="minorHAnsi"/>
          <w:sz w:val="20"/>
          <w:szCs w:val="20"/>
        </w:rPr>
        <w:t>ț</w:t>
      </w:r>
      <w:r w:rsidRPr="00A7748B">
        <w:rPr>
          <w:rFonts w:cstheme="minorHAnsi"/>
          <w:sz w:val="20"/>
          <w:szCs w:val="20"/>
        </w:rPr>
        <w:t>e, cre</w:t>
      </w:r>
      <w:r w:rsidR="007F52CA" w:rsidRPr="00A7748B">
        <w:rPr>
          <w:rFonts w:cstheme="minorHAnsi"/>
          <w:sz w:val="20"/>
          <w:szCs w:val="20"/>
        </w:rPr>
        <w:t>ș</w:t>
      </w:r>
      <w:r w:rsidRPr="00A7748B">
        <w:rPr>
          <w:rFonts w:cstheme="minorHAnsi"/>
          <w:sz w:val="20"/>
          <w:szCs w:val="20"/>
        </w:rPr>
        <w:t xml:space="preserve">terea </w:t>
      </w:r>
      <w:r w:rsidR="007F52CA" w:rsidRPr="00A7748B">
        <w:rPr>
          <w:rFonts w:cstheme="minorHAnsi"/>
          <w:sz w:val="20"/>
          <w:szCs w:val="20"/>
        </w:rPr>
        <w:t>ș</w:t>
      </w:r>
      <w:r w:rsidRPr="00A7748B">
        <w:rPr>
          <w:rFonts w:cstheme="minorHAnsi"/>
          <w:sz w:val="20"/>
          <w:szCs w:val="20"/>
        </w:rPr>
        <w:t xml:space="preserve">i recalificarea locurilor de muncă </w:t>
      </w:r>
      <w:r w:rsidR="007F52CA" w:rsidRPr="00A7748B">
        <w:rPr>
          <w:rFonts w:cstheme="minorHAnsi"/>
          <w:sz w:val="20"/>
          <w:szCs w:val="20"/>
        </w:rPr>
        <w:t>ș</w:t>
      </w:r>
      <w:r w:rsidRPr="00A7748B">
        <w:rPr>
          <w:rFonts w:cstheme="minorHAnsi"/>
          <w:sz w:val="20"/>
          <w:szCs w:val="20"/>
        </w:rPr>
        <w:t>i abilitarea oamenilor să continue să înve</w:t>
      </w:r>
      <w:r w:rsidR="007F52CA" w:rsidRPr="00A7748B">
        <w:rPr>
          <w:rFonts w:cstheme="minorHAnsi"/>
          <w:sz w:val="20"/>
          <w:szCs w:val="20"/>
        </w:rPr>
        <w:t>ț</w:t>
      </w:r>
      <w:r w:rsidRPr="00A7748B">
        <w:rPr>
          <w:rFonts w:cstheme="minorHAnsi"/>
          <w:sz w:val="20"/>
          <w:szCs w:val="20"/>
        </w:rPr>
        <w:t>e de-a lungul vie</w:t>
      </w:r>
      <w:r w:rsidR="007F52CA" w:rsidRPr="00A7748B">
        <w:rPr>
          <w:rFonts w:cstheme="minorHAnsi"/>
          <w:sz w:val="20"/>
          <w:szCs w:val="20"/>
        </w:rPr>
        <w:t>ț</w:t>
      </w:r>
      <w:r w:rsidRPr="00A7748B">
        <w:rPr>
          <w:rFonts w:cstheme="minorHAnsi"/>
          <w:sz w:val="20"/>
          <w:szCs w:val="20"/>
        </w:rPr>
        <w:t>ii. Agenda cuprinde următoarele obiective: consolidarea competitivită</w:t>
      </w:r>
      <w:r w:rsidR="007F52CA" w:rsidRPr="00A7748B">
        <w:rPr>
          <w:rFonts w:cstheme="minorHAnsi"/>
          <w:sz w:val="20"/>
          <w:szCs w:val="20"/>
        </w:rPr>
        <w:t>ț</w:t>
      </w:r>
      <w:r w:rsidRPr="00A7748B">
        <w:rPr>
          <w:rFonts w:cstheme="minorHAnsi"/>
          <w:sz w:val="20"/>
          <w:szCs w:val="20"/>
        </w:rPr>
        <w:t>ii durabile; asigurarea echită</w:t>
      </w:r>
      <w:r w:rsidR="007F52CA" w:rsidRPr="00A7748B">
        <w:rPr>
          <w:rFonts w:cstheme="minorHAnsi"/>
          <w:sz w:val="20"/>
          <w:szCs w:val="20"/>
        </w:rPr>
        <w:t>ț</w:t>
      </w:r>
      <w:r w:rsidRPr="00A7748B">
        <w:rPr>
          <w:rFonts w:cstheme="minorHAnsi"/>
          <w:sz w:val="20"/>
          <w:szCs w:val="20"/>
        </w:rPr>
        <w:t>ii sociale; cre</w:t>
      </w:r>
      <w:r w:rsidR="007F52CA" w:rsidRPr="00A7748B">
        <w:rPr>
          <w:rFonts w:cstheme="minorHAnsi"/>
          <w:sz w:val="20"/>
          <w:szCs w:val="20"/>
        </w:rPr>
        <w:t>ș</w:t>
      </w:r>
      <w:r w:rsidRPr="00A7748B">
        <w:rPr>
          <w:rFonts w:cstheme="minorHAnsi"/>
          <w:sz w:val="20"/>
          <w:szCs w:val="20"/>
        </w:rPr>
        <w:t>terea rezilien</w:t>
      </w:r>
      <w:r w:rsidR="007F52CA" w:rsidRPr="00A7748B">
        <w:rPr>
          <w:rFonts w:cstheme="minorHAnsi"/>
          <w:sz w:val="20"/>
          <w:szCs w:val="20"/>
        </w:rPr>
        <w:t>ț</w:t>
      </w:r>
      <w:r w:rsidRPr="00A7748B">
        <w:rPr>
          <w:rFonts w:cstheme="minorHAnsi"/>
          <w:sz w:val="20"/>
          <w:szCs w:val="20"/>
        </w:rPr>
        <w:t>ei sociale; promovarea învă</w:t>
      </w:r>
      <w:r w:rsidR="007F52CA" w:rsidRPr="00A7748B">
        <w:rPr>
          <w:rFonts w:cstheme="minorHAnsi"/>
          <w:sz w:val="20"/>
          <w:szCs w:val="20"/>
        </w:rPr>
        <w:t>ț</w:t>
      </w:r>
      <w:r w:rsidRPr="00A7748B">
        <w:rPr>
          <w:rFonts w:cstheme="minorHAnsi"/>
          <w:sz w:val="20"/>
          <w:szCs w:val="20"/>
        </w:rPr>
        <w:t>ării pe tot parcursul vie</w:t>
      </w:r>
      <w:r w:rsidR="007F52CA" w:rsidRPr="00A7748B">
        <w:rPr>
          <w:rFonts w:cstheme="minorHAnsi"/>
          <w:sz w:val="20"/>
          <w:szCs w:val="20"/>
        </w:rPr>
        <w:t>ț</w:t>
      </w:r>
      <w:r w:rsidRPr="00A7748B">
        <w:rPr>
          <w:rFonts w:cstheme="minorHAnsi"/>
          <w:sz w:val="20"/>
          <w:szCs w:val="20"/>
        </w:rPr>
        <w:t>ii; formarea competen</w:t>
      </w:r>
      <w:r w:rsidR="007F52CA" w:rsidRPr="00A7748B">
        <w:rPr>
          <w:rFonts w:cstheme="minorHAnsi"/>
          <w:sz w:val="20"/>
          <w:szCs w:val="20"/>
        </w:rPr>
        <w:t>ț</w:t>
      </w:r>
      <w:r w:rsidRPr="00A7748B">
        <w:rPr>
          <w:rFonts w:cstheme="minorHAnsi"/>
          <w:sz w:val="20"/>
          <w:szCs w:val="20"/>
        </w:rPr>
        <w:t>elor pentru un loc de muncă; rezilien</w:t>
      </w:r>
      <w:r w:rsidR="007F52CA" w:rsidRPr="00A7748B">
        <w:rPr>
          <w:rFonts w:cstheme="minorHAnsi"/>
          <w:sz w:val="20"/>
          <w:szCs w:val="20"/>
        </w:rPr>
        <w:t>ț</w:t>
      </w:r>
      <w:r w:rsidRPr="00A7748B">
        <w:rPr>
          <w:rFonts w:cstheme="minorHAnsi"/>
          <w:sz w:val="20"/>
          <w:szCs w:val="20"/>
        </w:rPr>
        <w:t>a economiei la nivelul UE. Cele 12 ac</w:t>
      </w:r>
      <w:r w:rsidR="007F52CA" w:rsidRPr="00A7748B">
        <w:rPr>
          <w:rFonts w:cstheme="minorHAnsi"/>
          <w:sz w:val="20"/>
          <w:szCs w:val="20"/>
        </w:rPr>
        <w:t>ț</w:t>
      </w:r>
      <w:r w:rsidRPr="00A7748B">
        <w:rPr>
          <w:rFonts w:cstheme="minorHAnsi"/>
          <w:sz w:val="20"/>
          <w:szCs w:val="20"/>
        </w:rPr>
        <w:t>iuni ale UE pun accentul pe abilită</w:t>
      </w:r>
      <w:r w:rsidR="007F52CA" w:rsidRPr="00A7748B">
        <w:rPr>
          <w:rFonts w:cstheme="minorHAnsi"/>
          <w:sz w:val="20"/>
          <w:szCs w:val="20"/>
        </w:rPr>
        <w:t>ț</w:t>
      </w:r>
      <w:r w:rsidRPr="00A7748B">
        <w:rPr>
          <w:rFonts w:cstheme="minorHAnsi"/>
          <w:sz w:val="20"/>
          <w:szCs w:val="20"/>
        </w:rPr>
        <w:t xml:space="preserve">i </w:t>
      </w:r>
      <w:r w:rsidR="007F52CA" w:rsidRPr="00A7748B">
        <w:rPr>
          <w:rFonts w:cstheme="minorHAnsi"/>
          <w:sz w:val="20"/>
          <w:szCs w:val="20"/>
        </w:rPr>
        <w:t>ș</w:t>
      </w:r>
      <w:r w:rsidRPr="00A7748B">
        <w:rPr>
          <w:rFonts w:cstheme="minorHAnsi"/>
          <w:sz w:val="20"/>
          <w:szCs w:val="20"/>
        </w:rPr>
        <w:t>i educa</w:t>
      </w:r>
      <w:r w:rsidR="007F52CA" w:rsidRPr="00A7748B">
        <w:rPr>
          <w:rFonts w:cstheme="minorHAnsi"/>
          <w:sz w:val="20"/>
          <w:szCs w:val="20"/>
        </w:rPr>
        <w:t>ț</w:t>
      </w:r>
      <w:r w:rsidRPr="00A7748B">
        <w:rPr>
          <w:rFonts w:cstheme="minorHAnsi"/>
          <w:sz w:val="20"/>
          <w:szCs w:val="20"/>
        </w:rPr>
        <w:t>ie profesională, propunând: o recomandare a Consiliului privind educa</w:t>
      </w:r>
      <w:r w:rsidR="007F52CA" w:rsidRPr="00A7748B">
        <w:rPr>
          <w:rFonts w:cstheme="minorHAnsi"/>
          <w:sz w:val="20"/>
          <w:szCs w:val="20"/>
        </w:rPr>
        <w:t>ț</w:t>
      </w:r>
      <w:r w:rsidRPr="00A7748B">
        <w:rPr>
          <w:rFonts w:cstheme="minorHAnsi"/>
          <w:sz w:val="20"/>
          <w:szCs w:val="20"/>
        </w:rPr>
        <w:t xml:space="preserve">ia </w:t>
      </w:r>
      <w:r w:rsidR="007F52CA" w:rsidRPr="00A7748B">
        <w:rPr>
          <w:rFonts w:cstheme="minorHAnsi"/>
          <w:sz w:val="20"/>
          <w:szCs w:val="20"/>
        </w:rPr>
        <w:t>ș</w:t>
      </w:r>
      <w:r w:rsidRPr="00A7748B">
        <w:rPr>
          <w:rFonts w:cstheme="minorHAnsi"/>
          <w:sz w:val="20"/>
          <w:szCs w:val="20"/>
        </w:rPr>
        <w:t xml:space="preserve">i formarea profesională (VET) pentru competitivitate durabilă, echitate socială </w:t>
      </w:r>
      <w:r w:rsidR="007F52CA" w:rsidRPr="00A7748B">
        <w:rPr>
          <w:rFonts w:cstheme="minorHAnsi"/>
          <w:sz w:val="20"/>
          <w:szCs w:val="20"/>
        </w:rPr>
        <w:t>ș</w:t>
      </w:r>
      <w:r w:rsidRPr="00A7748B">
        <w:rPr>
          <w:rFonts w:cstheme="minorHAnsi"/>
          <w:sz w:val="20"/>
          <w:szCs w:val="20"/>
        </w:rPr>
        <w:t>i rezilien</w:t>
      </w:r>
      <w:r w:rsidR="007F52CA" w:rsidRPr="00A7748B">
        <w:rPr>
          <w:rFonts w:cstheme="minorHAnsi"/>
          <w:sz w:val="20"/>
          <w:szCs w:val="20"/>
        </w:rPr>
        <w:t>ț</w:t>
      </w:r>
      <w:r w:rsidRPr="00A7748B">
        <w:rPr>
          <w:rFonts w:cstheme="minorHAnsi"/>
          <w:sz w:val="20"/>
          <w:szCs w:val="20"/>
        </w:rPr>
        <w:t>ă care pune accentul pe formarea competen</w:t>
      </w:r>
      <w:r w:rsidR="007F52CA" w:rsidRPr="00A7748B">
        <w:rPr>
          <w:rFonts w:cstheme="minorHAnsi"/>
          <w:sz w:val="20"/>
          <w:szCs w:val="20"/>
        </w:rPr>
        <w:t>ț</w:t>
      </w:r>
      <w:r w:rsidRPr="00A7748B">
        <w:rPr>
          <w:rFonts w:cstheme="minorHAnsi"/>
          <w:sz w:val="20"/>
          <w:szCs w:val="20"/>
        </w:rPr>
        <w:t>elor la tineri / adul</w:t>
      </w:r>
      <w:r w:rsidR="007F52CA" w:rsidRPr="00A7748B">
        <w:rPr>
          <w:rFonts w:cstheme="minorHAnsi"/>
          <w:sz w:val="20"/>
          <w:szCs w:val="20"/>
        </w:rPr>
        <w:t>ț</w:t>
      </w:r>
      <w:r w:rsidRPr="00A7748B">
        <w:rPr>
          <w:rFonts w:cstheme="minorHAnsi"/>
          <w:sz w:val="20"/>
          <w:szCs w:val="20"/>
        </w:rPr>
        <w:t>i pentru realizarea tranzi</w:t>
      </w:r>
      <w:r w:rsidR="007F52CA" w:rsidRPr="00A7748B">
        <w:rPr>
          <w:rFonts w:cstheme="minorHAnsi"/>
          <w:sz w:val="20"/>
          <w:szCs w:val="20"/>
        </w:rPr>
        <w:t>ț</w:t>
      </w:r>
      <w:r w:rsidRPr="00A7748B">
        <w:rPr>
          <w:rFonts w:cstheme="minorHAnsi"/>
          <w:sz w:val="20"/>
          <w:szCs w:val="20"/>
        </w:rPr>
        <w:t xml:space="preserve">iilor ecologice </w:t>
      </w:r>
      <w:r w:rsidR="007F52CA" w:rsidRPr="00A7748B">
        <w:rPr>
          <w:rFonts w:cstheme="minorHAnsi"/>
          <w:sz w:val="20"/>
          <w:szCs w:val="20"/>
        </w:rPr>
        <w:t>ș</w:t>
      </w:r>
      <w:r w:rsidRPr="00A7748B">
        <w:rPr>
          <w:rFonts w:cstheme="minorHAnsi"/>
          <w:sz w:val="20"/>
          <w:szCs w:val="20"/>
        </w:rPr>
        <w:t>i digitale, asigurând totodată incluziunea; - un set de indicatori pentru învă</w:t>
      </w:r>
      <w:r w:rsidR="007F52CA" w:rsidRPr="00A7748B">
        <w:rPr>
          <w:rFonts w:cstheme="minorHAnsi"/>
          <w:sz w:val="20"/>
          <w:szCs w:val="20"/>
        </w:rPr>
        <w:t>ț</w:t>
      </w:r>
      <w:r w:rsidRPr="00A7748B">
        <w:rPr>
          <w:rFonts w:cstheme="minorHAnsi"/>
          <w:sz w:val="20"/>
          <w:szCs w:val="20"/>
        </w:rPr>
        <w:t>area adul</w:t>
      </w:r>
      <w:r w:rsidR="007F52CA" w:rsidRPr="00A7748B">
        <w:rPr>
          <w:rFonts w:cstheme="minorHAnsi"/>
          <w:sz w:val="20"/>
          <w:szCs w:val="20"/>
        </w:rPr>
        <w:t>ț</w:t>
      </w:r>
      <w:r w:rsidRPr="00A7748B">
        <w:rPr>
          <w:rFonts w:cstheme="minorHAnsi"/>
          <w:sz w:val="20"/>
          <w:szCs w:val="20"/>
        </w:rPr>
        <w:t>ilor. Până în 2025, 230 de milioane de adul</w:t>
      </w:r>
      <w:r w:rsidR="007F52CA" w:rsidRPr="00A7748B">
        <w:rPr>
          <w:rFonts w:cstheme="minorHAnsi"/>
          <w:sz w:val="20"/>
          <w:szCs w:val="20"/>
        </w:rPr>
        <w:t>ț</w:t>
      </w:r>
      <w:r w:rsidRPr="00A7748B">
        <w:rPr>
          <w:rFonts w:cstheme="minorHAnsi"/>
          <w:sz w:val="20"/>
          <w:szCs w:val="20"/>
        </w:rPr>
        <w:t>i ar trebui să aibă cel pu</w:t>
      </w:r>
      <w:r w:rsidR="007F52CA" w:rsidRPr="00A7748B">
        <w:rPr>
          <w:rFonts w:cstheme="minorHAnsi"/>
          <w:sz w:val="20"/>
          <w:szCs w:val="20"/>
        </w:rPr>
        <w:t>ț</w:t>
      </w:r>
      <w:r w:rsidRPr="00A7748B">
        <w:rPr>
          <w:rFonts w:cstheme="minorHAnsi"/>
          <w:sz w:val="20"/>
          <w:szCs w:val="20"/>
        </w:rPr>
        <w:t>in competen</w:t>
      </w:r>
      <w:r w:rsidR="007F52CA" w:rsidRPr="00A7748B">
        <w:rPr>
          <w:rFonts w:cstheme="minorHAnsi"/>
          <w:sz w:val="20"/>
          <w:szCs w:val="20"/>
        </w:rPr>
        <w:t>ț</w:t>
      </w:r>
      <w:r w:rsidRPr="00A7748B">
        <w:rPr>
          <w:rFonts w:cstheme="minorHAnsi"/>
          <w:sz w:val="20"/>
          <w:szCs w:val="20"/>
        </w:rPr>
        <w:t>e digitale de bază, însemnând 70% din popula</w:t>
      </w:r>
      <w:r w:rsidR="007F52CA" w:rsidRPr="00A7748B">
        <w:rPr>
          <w:rFonts w:cstheme="minorHAnsi"/>
          <w:sz w:val="20"/>
          <w:szCs w:val="20"/>
        </w:rPr>
        <w:t>ț</w:t>
      </w:r>
      <w:r w:rsidRPr="00A7748B">
        <w:rPr>
          <w:rFonts w:cstheme="minorHAnsi"/>
          <w:sz w:val="20"/>
          <w:szCs w:val="20"/>
        </w:rPr>
        <w:t>ia adultă a UE)</w:t>
      </w:r>
      <w:r w:rsidR="00553284" w:rsidRPr="00A7748B">
        <w:rPr>
          <w:rFonts w:cstheme="minorHAnsi"/>
          <w:sz w:val="20"/>
          <w:szCs w:val="20"/>
        </w:rPr>
        <w:t xml:space="preserve"> (Comisia Europeană, 2020)</w:t>
      </w:r>
      <w:r w:rsidRPr="00A7748B">
        <w:rPr>
          <w:rFonts w:cstheme="minorHAnsi"/>
          <w:sz w:val="20"/>
          <w:szCs w:val="20"/>
        </w:rPr>
        <w:t>.</w:t>
      </w:r>
    </w:p>
    <w:p w14:paraId="0B04E6E4" w14:textId="77777777" w:rsidR="00F86C0F" w:rsidRPr="00A7748B" w:rsidRDefault="00F86C0F" w:rsidP="00822BC1">
      <w:pPr>
        <w:spacing w:after="120" w:line="240" w:lineRule="auto"/>
        <w:contextualSpacing/>
        <w:jc w:val="both"/>
        <w:rPr>
          <w:rFonts w:cstheme="minorHAnsi"/>
          <w:sz w:val="20"/>
          <w:szCs w:val="20"/>
        </w:rPr>
      </w:pPr>
    </w:p>
    <w:p w14:paraId="69E34105" w14:textId="3441A4B6" w:rsidR="00670D3A" w:rsidRPr="00A7748B" w:rsidRDefault="00670D3A" w:rsidP="00822BC1">
      <w:pPr>
        <w:spacing w:after="120" w:line="240" w:lineRule="auto"/>
        <w:contextualSpacing/>
        <w:jc w:val="both"/>
        <w:rPr>
          <w:rFonts w:cstheme="minorHAnsi"/>
          <w:sz w:val="20"/>
          <w:szCs w:val="20"/>
        </w:rPr>
      </w:pPr>
      <w:r w:rsidRPr="00A7748B">
        <w:rPr>
          <w:rFonts w:cstheme="minorHAnsi"/>
          <w:sz w:val="20"/>
          <w:szCs w:val="20"/>
        </w:rPr>
        <w:t xml:space="preserve"> </w:t>
      </w:r>
      <w:r w:rsidRPr="00A7748B">
        <w:rPr>
          <w:rFonts w:cstheme="minorHAnsi"/>
          <w:b/>
          <w:sz w:val="20"/>
          <w:szCs w:val="20"/>
        </w:rPr>
        <w:t xml:space="preserve">„Digital </w:t>
      </w:r>
      <w:proofErr w:type="spellStart"/>
      <w:r w:rsidRPr="00A7748B">
        <w:rPr>
          <w:rFonts w:cstheme="minorHAnsi"/>
          <w:b/>
          <w:sz w:val="20"/>
          <w:szCs w:val="20"/>
        </w:rPr>
        <w:t>Education</w:t>
      </w:r>
      <w:proofErr w:type="spellEnd"/>
      <w:r w:rsidRPr="00A7748B">
        <w:rPr>
          <w:rFonts w:cstheme="minorHAnsi"/>
          <w:b/>
          <w:sz w:val="20"/>
          <w:szCs w:val="20"/>
        </w:rPr>
        <w:t xml:space="preserve"> </w:t>
      </w:r>
      <w:proofErr w:type="spellStart"/>
      <w:r w:rsidRPr="00A7748B">
        <w:rPr>
          <w:rFonts w:cstheme="minorHAnsi"/>
          <w:b/>
          <w:sz w:val="20"/>
          <w:szCs w:val="20"/>
        </w:rPr>
        <w:t>Action</w:t>
      </w:r>
      <w:proofErr w:type="spellEnd"/>
      <w:r w:rsidRPr="00A7748B">
        <w:rPr>
          <w:rFonts w:cstheme="minorHAnsi"/>
          <w:b/>
          <w:sz w:val="20"/>
          <w:szCs w:val="20"/>
        </w:rPr>
        <w:t xml:space="preserve"> Plan 2021-2027. „</w:t>
      </w:r>
      <w:proofErr w:type="spellStart"/>
      <w:r w:rsidRPr="00A7748B">
        <w:rPr>
          <w:rFonts w:cstheme="minorHAnsi"/>
          <w:b/>
          <w:sz w:val="20"/>
          <w:szCs w:val="20"/>
        </w:rPr>
        <w:t>Resetting</w:t>
      </w:r>
      <w:proofErr w:type="spellEnd"/>
      <w:r w:rsidRPr="00A7748B">
        <w:rPr>
          <w:rFonts w:cstheme="minorHAnsi"/>
          <w:b/>
          <w:sz w:val="20"/>
          <w:szCs w:val="20"/>
        </w:rPr>
        <w:t xml:space="preserve"> </w:t>
      </w:r>
      <w:proofErr w:type="spellStart"/>
      <w:r w:rsidRPr="00A7748B">
        <w:rPr>
          <w:rFonts w:cstheme="minorHAnsi"/>
          <w:b/>
          <w:sz w:val="20"/>
          <w:szCs w:val="20"/>
        </w:rPr>
        <w:t>education</w:t>
      </w:r>
      <w:proofErr w:type="spellEnd"/>
      <w:r w:rsidRPr="00A7748B">
        <w:rPr>
          <w:rFonts w:cstheme="minorHAnsi"/>
          <w:b/>
          <w:sz w:val="20"/>
          <w:szCs w:val="20"/>
        </w:rPr>
        <w:t xml:space="preserve"> </w:t>
      </w:r>
      <w:proofErr w:type="spellStart"/>
      <w:r w:rsidRPr="00A7748B">
        <w:rPr>
          <w:rFonts w:cstheme="minorHAnsi"/>
          <w:b/>
          <w:sz w:val="20"/>
          <w:szCs w:val="20"/>
        </w:rPr>
        <w:t>and</w:t>
      </w:r>
      <w:proofErr w:type="spellEnd"/>
      <w:r w:rsidRPr="00A7748B">
        <w:rPr>
          <w:rFonts w:cstheme="minorHAnsi"/>
          <w:b/>
          <w:sz w:val="20"/>
          <w:szCs w:val="20"/>
        </w:rPr>
        <w:t xml:space="preserve"> training for </w:t>
      </w:r>
      <w:proofErr w:type="spellStart"/>
      <w:r w:rsidRPr="00A7748B">
        <w:rPr>
          <w:rFonts w:cstheme="minorHAnsi"/>
          <w:b/>
          <w:sz w:val="20"/>
          <w:szCs w:val="20"/>
        </w:rPr>
        <w:t>the</w:t>
      </w:r>
      <w:proofErr w:type="spellEnd"/>
      <w:r w:rsidRPr="00A7748B">
        <w:rPr>
          <w:rFonts w:cstheme="minorHAnsi"/>
          <w:b/>
          <w:sz w:val="20"/>
          <w:szCs w:val="20"/>
        </w:rPr>
        <w:t xml:space="preserve"> digital </w:t>
      </w:r>
      <w:proofErr w:type="spellStart"/>
      <w:r w:rsidRPr="00A7748B">
        <w:rPr>
          <w:rFonts w:cstheme="minorHAnsi"/>
          <w:b/>
          <w:sz w:val="20"/>
          <w:szCs w:val="20"/>
        </w:rPr>
        <w:t>age</w:t>
      </w:r>
      <w:proofErr w:type="spellEnd"/>
      <w:r w:rsidRPr="00A7748B">
        <w:rPr>
          <w:rFonts w:cstheme="minorHAnsi"/>
          <w:b/>
          <w:sz w:val="20"/>
          <w:szCs w:val="20"/>
        </w:rPr>
        <w:t xml:space="preserve">”, European </w:t>
      </w:r>
      <w:proofErr w:type="spellStart"/>
      <w:r w:rsidRPr="00A7748B">
        <w:rPr>
          <w:rFonts w:cstheme="minorHAnsi"/>
          <w:b/>
          <w:sz w:val="20"/>
          <w:szCs w:val="20"/>
        </w:rPr>
        <w:t>Commission</w:t>
      </w:r>
      <w:proofErr w:type="spellEnd"/>
      <w:r w:rsidRPr="00A7748B">
        <w:rPr>
          <w:rFonts w:cstheme="minorHAnsi"/>
          <w:sz w:val="20"/>
          <w:szCs w:val="20"/>
        </w:rPr>
        <w:t xml:space="preserve"> (lansat la 30 septembrie 2020) completează planul de ac</w:t>
      </w:r>
      <w:r w:rsidR="007F52CA" w:rsidRPr="00A7748B">
        <w:rPr>
          <w:rFonts w:cstheme="minorHAnsi"/>
          <w:sz w:val="20"/>
          <w:szCs w:val="20"/>
        </w:rPr>
        <w:t>ț</w:t>
      </w:r>
      <w:r w:rsidRPr="00A7748B">
        <w:rPr>
          <w:rFonts w:cstheme="minorHAnsi"/>
          <w:sz w:val="20"/>
          <w:szCs w:val="20"/>
        </w:rPr>
        <w:t>iune în domeniul educa</w:t>
      </w:r>
      <w:r w:rsidR="007F52CA" w:rsidRPr="00A7748B">
        <w:rPr>
          <w:rFonts w:cstheme="minorHAnsi"/>
          <w:sz w:val="20"/>
          <w:szCs w:val="20"/>
        </w:rPr>
        <w:t>ț</w:t>
      </w:r>
      <w:r w:rsidRPr="00A7748B">
        <w:rPr>
          <w:rFonts w:cstheme="minorHAnsi"/>
          <w:sz w:val="20"/>
          <w:szCs w:val="20"/>
        </w:rPr>
        <w:t>iei digitale (adoptat în ianuarie 2018), forma revizuită constituind parte a viziunii privind Spa</w:t>
      </w:r>
      <w:r w:rsidR="007F52CA" w:rsidRPr="00A7748B">
        <w:rPr>
          <w:rFonts w:cstheme="minorHAnsi"/>
          <w:sz w:val="20"/>
          <w:szCs w:val="20"/>
        </w:rPr>
        <w:t>ț</w:t>
      </w:r>
      <w:r w:rsidRPr="00A7748B">
        <w:rPr>
          <w:rFonts w:cstheme="minorHAnsi"/>
          <w:sz w:val="20"/>
          <w:szCs w:val="20"/>
        </w:rPr>
        <w:t>iul european al educa</w:t>
      </w:r>
      <w:r w:rsidR="007F52CA" w:rsidRPr="00A7748B">
        <w:rPr>
          <w:rFonts w:cstheme="minorHAnsi"/>
          <w:sz w:val="20"/>
          <w:szCs w:val="20"/>
        </w:rPr>
        <w:t>ț</w:t>
      </w:r>
      <w:r w:rsidRPr="00A7748B">
        <w:rPr>
          <w:rFonts w:cstheme="minorHAnsi"/>
          <w:sz w:val="20"/>
          <w:szCs w:val="20"/>
        </w:rPr>
        <w:t>iei. Pentru elaborarea planului, Comisia Europeană a realizat în perioada iunie – septembrie 2020 un amplu proces de consultare publică pentru revizuirea planului de ac</w:t>
      </w:r>
      <w:r w:rsidR="007F52CA" w:rsidRPr="00A7748B">
        <w:rPr>
          <w:rFonts w:cstheme="minorHAnsi"/>
          <w:sz w:val="20"/>
          <w:szCs w:val="20"/>
        </w:rPr>
        <w:t>ț</w:t>
      </w:r>
      <w:r w:rsidRPr="00A7748B">
        <w:rPr>
          <w:rFonts w:cstheme="minorHAnsi"/>
          <w:sz w:val="20"/>
          <w:szCs w:val="20"/>
        </w:rPr>
        <w:t>iune pentru educa</w:t>
      </w:r>
      <w:r w:rsidR="007F52CA" w:rsidRPr="00A7748B">
        <w:rPr>
          <w:rFonts w:cstheme="minorHAnsi"/>
          <w:sz w:val="20"/>
          <w:szCs w:val="20"/>
        </w:rPr>
        <w:t>ț</w:t>
      </w:r>
      <w:r w:rsidRPr="00A7748B">
        <w:rPr>
          <w:rFonts w:cstheme="minorHAnsi"/>
          <w:sz w:val="20"/>
          <w:szCs w:val="20"/>
        </w:rPr>
        <w:t>ie digitală, la care au contribuit peste 2700 de contribu</w:t>
      </w:r>
      <w:r w:rsidR="007F52CA" w:rsidRPr="00A7748B">
        <w:rPr>
          <w:rFonts w:cstheme="minorHAnsi"/>
          <w:sz w:val="20"/>
          <w:szCs w:val="20"/>
        </w:rPr>
        <w:t>ț</w:t>
      </w:r>
      <w:r w:rsidRPr="00A7748B">
        <w:rPr>
          <w:rFonts w:cstheme="minorHAnsi"/>
          <w:sz w:val="20"/>
          <w:szCs w:val="20"/>
        </w:rPr>
        <w:t>ii (1576 contribu</w:t>
      </w:r>
      <w:r w:rsidR="007F52CA" w:rsidRPr="00A7748B">
        <w:rPr>
          <w:rFonts w:cstheme="minorHAnsi"/>
          <w:sz w:val="20"/>
          <w:szCs w:val="20"/>
        </w:rPr>
        <w:t>ț</w:t>
      </w:r>
      <w:r w:rsidRPr="00A7748B">
        <w:rPr>
          <w:rFonts w:cstheme="minorHAnsi"/>
          <w:sz w:val="20"/>
          <w:szCs w:val="20"/>
        </w:rPr>
        <w:t xml:space="preserve">ii au fost din România) </w:t>
      </w:r>
      <w:r w:rsidR="007F52CA" w:rsidRPr="00A7748B">
        <w:rPr>
          <w:rFonts w:cstheme="minorHAnsi"/>
          <w:sz w:val="20"/>
          <w:szCs w:val="20"/>
        </w:rPr>
        <w:t>ș</w:t>
      </w:r>
      <w:r w:rsidRPr="00A7748B">
        <w:rPr>
          <w:rFonts w:cstheme="minorHAnsi"/>
          <w:sz w:val="20"/>
          <w:szCs w:val="20"/>
        </w:rPr>
        <w:t>i 136 de documente de pozi</w:t>
      </w:r>
      <w:r w:rsidR="007F52CA" w:rsidRPr="00A7748B">
        <w:rPr>
          <w:rFonts w:cstheme="minorHAnsi"/>
          <w:sz w:val="20"/>
          <w:szCs w:val="20"/>
        </w:rPr>
        <w:t>ț</w:t>
      </w:r>
      <w:r w:rsidRPr="00A7748B">
        <w:rPr>
          <w:rFonts w:cstheme="minorHAnsi"/>
          <w:sz w:val="20"/>
          <w:szCs w:val="20"/>
        </w:rPr>
        <w:t xml:space="preserve">ie din 60 de </w:t>
      </w:r>
      <w:r w:rsidR="007F52CA" w:rsidRPr="00A7748B">
        <w:rPr>
          <w:rFonts w:cstheme="minorHAnsi"/>
          <w:sz w:val="20"/>
          <w:szCs w:val="20"/>
        </w:rPr>
        <w:t>ț</w:t>
      </w:r>
      <w:r w:rsidRPr="00A7748B">
        <w:rPr>
          <w:rFonts w:cstheme="minorHAnsi"/>
          <w:sz w:val="20"/>
          <w:szCs w:val="20"/>
        </w:rPr>
        <w:t>ări. Principalele probleme identificate la nivelul UE potrivit studiului men</w:t>
      </w:r>
      <w:r w:rsidR="007F52CA" w:rsidRPr="00A7748B">
        <w:rPr>
          <w:rFonts w:cstheme="minorHAnsi"/>
          <w:sz w:val="20"/>
          <w:szCs w:val="20"/>
        </w:rPr>
        <w:t>ț</w:t>
      </w:r>
      <w:r w:rsidRPr="00A7748B">
        <w:rPr>
          <w:rFonts w:cstheme="minorHAnsi"/>
          <w:sz w:val="20"/>
          <w:szCs w:val="20"/>
        </w:rPr>
        <w:t xml:space="preserve">ionat, la nivelul UE în urma studiului realizat au reflectat: </w:t>
      </w:r>
    </w:p>
    <w:p w14:paraId="4E4257FF" w14:textId="43FD1235" w:rsidR="00670D3A" w:rsidRPr="00A7748B" w:rsidRDefault="00670D3A" w:rsidP="00732926">
      <w:pPr>
        <w:pStyle w:val="Listparagraf"/>
        <w:numPr>
          <w:ilvl w:val="0"/>
          <w:numId w:val="2"/>
        </w:numPr>
        <w:spacing w:before="0"/>
        <w:ind w:left="851" w:hanging="357"/>
        <w:contextualSpacing w:val="0"/>
        <w:rPr>
          <w:rFonts w:asciiTheme="minorHAnsi" w:hAnsiTheme="minorHAnsi"/>
        </w:rPr>
      </w:pPr>
      <w:r w:rsidRPr="00A7748B">
        <w:rPr>
          <w:rFonts w:asciiTheme="minorHAnsi" w:hAnsiTheme="minorHAnsi"/>
        </w:rPr>
        <w:t>aproximativ 60 % dintre responden</w:t>
      </w:r>
      <w:r w:rsidR="007F52CA" w:rsidRPr="00A7748B">
        <w:rPr>
          <w:rFonts w:asciiTheme="minorHAnsi" w:hAnsiTheme="minorHAnsi"/>
        </w:rPr>
        <w:t>ț</w:t>
      </w:r>
      <w:r w:rsidRPr="00A7748B">
        <w:rPr>
          <w:rFonts w:asciiTheme="minorHAnsi" w:hAnsiTheme="minorHAnsi"/>
        </w:rPr>
        <w:t>i nu au folosit instrumente de învă</w:t>
      </w:r>
      <w:r w:rsidR="007F52CA" w:rsidRPr="00A7748B">
        <w:rPr>
          <w:rFonts w:asciiTheme="minorHAnsi" w:hAnsiTheme="minorHAnsi"/>
        </w:rPr>
        <w:t>ț</w:t>
      </w:r>
      <w:r w:rsidRPr="00A7748B">
        <w:rPr>
          <w:rFonts w:asciiTheme="minorHAnsi" w:hAnsiTheme="minorHAnsi"/>
        </w:rPr>
        <w:t>are la distan</w:t>
      </w:r>
      <w:r w:rsidR="007F52CA" w:rsidRPr="00A7748B">
        <w:rPr>
          <w:rFonts w:asciiTheme="minorHAnsi" w:hAnsiTheme="minorHAnsi"/>
        </w:rPr>
        <w:t>ț</w:t>
      </w:r>
      <w:r w:rsidRPr="00A7748B">
        <w:rPr>
          <w:rFonts w:asciiTheme="minorHAnsi" w:hAnsiTheme="minorHAnsi"/>
        </w:rPr>
        <w:t xml:space="preserve">ă </w:t>
      </w:r>
      <w:r w:rsidR="007F52CA" w:rsidRPr="00A7748B">
        <w:rPr>
          <w:rFonts w:asciiTheme="minorHAnsi" w:hAnsiTheme="minorHAnsi"/>
        </w:rPr>
        <w:t>ș</w:t>
      </w:r>
      <w:r w:rsidRPr="00A7748B">
        <w:rPr>
          <w:rFonts w:asciiTheme="minorHAnsi" w:hAnsiTheme="minorHAnsi"/>
        </w:rPr>
        <w:t>i online înainte de criză;</w:t>
      </w:r>
    </w:p>
    <w:p w14:paraId="6236C327" w14:textId="0780B2CE" w:rsidR="00670D3A" w:rsidRPr="00A7748B" w:rsidRDefault="00670D3A" w:rsidP="00732926">
      <w:pPr>
        <w:pStyle w:val="Listparagraf"/>
        <w:numPr>
          <w:ilvl w:val="0"/>
          <w:numId w:val="2"/>
        </w:numPr>
        <w:spacing w:before="0"/>
        <w:ind w:left="851" w:hanging="357"/>
        <w:contextualSpacing w:val="0"/>
        <w:rPr>
          <w:rFonts w:asciiTheme="minorHAnsi" w:hAnsiTheme="minorHAnsi"/>
        </w:rPr>
      </w:pPr>
      <w:r w:rsidRPr="00A7748B">
        <w:rPr>
          <w:rFonts w:asciiTheme="minorHAnsi" w:hAnsiTheme="minorHAnsi"/>
        </w:rPr>
        <w:t>95% dintre responden</w:t>
      </w:r>
      <w:r w:rsidR="007F52CA" w:rsidRPr="00A7748B">
        <w:rPr>
          <w:rFonts w:asciiTheme="minorHAnsi" w:hAnsiTheme="minorHAnsi"/>
        </w:rPr>
        <w:t>ț</w:t>
      </w:r>
      <w:r w:rsidRPr="00A7748B">
        <w:rPr>
          <w:rFonts w:asciiTheme="minorHAnsi" w:hAnsiTheme="minorHAnsi"/>
        </w:rPr>
        <w:t>i consideră că această criză de COVID-19 marchează un punct de la care  nu se mai poate reveni la situa</w:t>
      </w:r>
      <w:r w:rsidR="007F52CA" w:rsidRPr="00A7748B">
        <w:rPr>
          <w:rFonts w:asciiTheme="minorHAnsi" w:hAnsiTheme="minorHAnsi"/>
        </w:rPr>
        <w:t>ț</w:t>
      </w:r>
      <w:r w:rsidRPr="00A7748B">
        <w:rPr>
          <w:rFonts w:asciiTheme="minorHAnsi" w:hAnsiTheme="minorHAnsi"/>
        </w:rPr>
        <w:t>ia anterioară în ceea ce prive</w:t>
      </w:r>
      <w:r w:rsidR="007F52CA" w:rsidRPr="00A7748B">
        <w:rPr>
          <w:rFonts w:asciiTheme="minorHAnsi" w:hAnsiTheme="minorHAnsi"/>
        </w:rPr>
        <w:t>ș</w:t>
      </w:r>
      <w:r w:rsidRPr="00A7748B">
        <w:rPr>
          <w:rFonts w:asciiTheme="minorHAnsi" w:hAnsiTheme="minorHAnsi"/>
        </w:rPr>
        <w:t>te modalită</w:t>
      </w:r>
      <w:r w:rsidR="007F52CA" w:rsidRPr="00A7748B">
        <w:rPr>
          <w:rFonts w:asciiTheme="minorHAnsi" w:hAnsiTheme="minorHAnsi"/>
        </w:rPr>
        <w:t>ț</w:t>
      </w:r>
      <w:r w:rsidRPr="00A7748B">
        <w:rPr>
          <w:rFonts w:asciiTheme="minorHAnsi" w:hAnsiTheme="minorHAnsi"/>
        </w:rPr>
        <w:t>ile de utilizare a tehnologiei în domeniul educa</w:t>
      </w:r>
      <w:r w:rsidR="007F52CA" w:rsidRPr="00A7748B">
        <w:rPr>
          <w:rFonts w:asciiTheme="minorHAnsi" w:hAnsiTheme="minorHAnsi"/>
        </w:rPr>
        <w:t>ț</w:t>
      </w:r>
      <w:r w:rsidRPr="00A7748B">
        <w:rPr>
          <w:rFonts w:asciiTheme="minorHAnsi" w:hAnsiTheme="minorHAnsi"/>
        </w:rPr>
        <w:t xml:space="preserve">iei </w:t>
      </w:r>
      <w:r w:rsidR="007F52CA" w:rsidRPr="00A7748B">
        <w:rPr>
          <w:rFonts w:asciiTheme="minorHAnsi" w:hAnsiTheme="minorHAnsi"/>
        </w:rPr>
        <w:t>ș</w:t>
      </w:r>
      <w:r w:rsidRPr="00A7748B">
        <w:rPr>
          <w:rFonts w:asciiTheme="minorHAnsi" w:hAnsiTheme="minorHAnsi"/>
        </w:rPr>
        <w:t>i formării;</w:t>
      </w:r>
    </w:p>
    <w:p w14:paraId="69E9901F" w14:textId="45F87541" w:rsidR="00670D3A" w:rsidRPr="00A7748B" w:rsidRDefault="00670D3A" w:rsidP="00732926">
      <w:pPr>
        <w:pStyle w:val="Listparagraf"/>
        <w:numPr>
          <w:ilvl w:val="0"/>
          <w:numId w:val="2"/>
        </w:numPr>
        <w:spacing w:before="0"/>
        <w:ind w:left="851" w:hanging="357"/>
        <w:contextualSpacing w:val="0"/>
        <w:rPr>
          <w:rFonts w:asciiTheme="minorHAnsi" w:hAnsiTheme="minorHAnsi"/>
        </w:rPr>
      </w:pPr>
      <w:r w:rsidRPr="00A7748B">
        <w:rPr>
          <w:rFonts w:asciiTheme="minorHAnsi" w:hAnsiTheme="minorHAnsi"/>
        </w:rPr>
        <w:t>responden</w:t>
      </w:r>
      <w:r w:rsidR="007F52CA" w:rsidRPr="00A7748B">
        <w:rPr>
          <w:rFonts w:asciiTheme="minorHAnsi" w:hAnsiTheme="minorHAnsi"/>
        </w:rPr>
        <w:t>ț</w:t>
      </w:r>
      <w:r w:rsidRPr="00A7748B">
        <w:rPr>
          <w:rFonts w:asciiTheme="minorHAnsi" w:hAnsiTheme="minorHAnsi"/>
        </w:rPr>
        <w:t xml:space="preserve">ii declară că resursele pedagogice </w:t>
      </w:r>
      <w:r w:rsidR="007F52CA" w:rsidRPr="00A7748B">
        <w:rPr>
          <w:rFonts w:asciiTheme="minorHAnsi" w:hAnsiTheme="minorHAnsi"/>
        </w:rPr>
        <w:t>ș</w:t>
      </w:r>
      <w:r w:rsidRPr="00A7748B">
        <w:rPr>
          <w:rFonts w:asciiTheme="minorHAnsi" w:hAnsiTheme="minorHAnsi"/>
        </w:rPr>
        <w:t>i con</w:t>
      </w:r>
      <w:r w:rsidR="007F52CA" w:rsidRPr="00A7748B">
        <w:rPr>
          <w:rFonts w:asciiTheme="minorHAnsi" w:hAnsiTheme="minorHAnsi"/>
        </w:rPr>
        <w:t>ț</w:t>
      </w:r>
      <w:r w:rsidRPr="00A7748B">
        <w:rPr>
          <w:rFonts w:asciiTheme="minorHAnsi" w:hAnsiTheme="minorHAnsi"/>
        </w:rPr>
        <w:t xml:space="preserve">inutul online trebuie să fie relevante, interactive </w:t>
      </w:r>
      <w:r w:rsidR="007F52CA" w:rsidRPr="00A7748B">
        <w:rPr>
          <w:rFonts w:asciiTheme="minorHAnsi" w:hAnsiTheme="minorHAnsi"/>
        </w:rPr>
        <w:t>ș</w:t>
      </w:r>
      <w:r w:rsidRPr="00A7748B">
        <w:rPr>
          <w:rFonts w:asciiTheme="minorHAnsi" w:hAnsiTheme="minorHAnsi"/>
        </w:rPr>
        <w:t>i mai u</w:t>
      </w:r>
      <w:r w:rsidR="007F52CA" w:rsidRPr="00A7748B">
        <w:rPr>
          <w:rFonts w:asciiTheme="minorHAnsi" w:hAnsiTheme="minorHAnsi"/>
        </w:rPr>
        <w:t>ș</w:t>
      </w:r>
      <w:r w:rsidRPr="00A7748B">
        <w:rPr>
          <w:rFonts w:asciiTheme="minorHAnsi" w:hAnsiTheme="minorHAnsi"/>
        </w:rPr>
        <w:t>or de utilizat;</w:t>
      </w:r>
    </w:p>
    <w:p w14:paraId="404AF71D" w14:textId="5FE7DC64" w:rsidR="00670D3A" w:rsidRPr="00A7748B" w:rsidRDefault="00670D3A" w:rsidP="00732926">
      <w:pPr>
        <w:pStyle w:val="Listparagraf"/>
        <w:numPr>
          <w:ilvl w:val="0"/>
          <w:numId w:val="2"/>
        </w:numPr>
        <w:spacing w:before="0"/>
        <w:ind w:left="851" w:hanging="357"/>
        <w:contextualSpacing w:val="0"/>
        <w:rPr>
          <w:rFonts w:asciiTheme="minorHAnsi" w:hAnsiTheme="minorHAnsi"/>
        </w:rPr>
      </w:pPr>
      <w:r w:rsidRPr="00A7748B">
        <w:rPr>
          <w:rFonts w:asciiTheme="minorHAnsi" w:hAnsiTheme="minorHAnsi"/>
        </w:rPr>
        <w:t>peste 60% dintre responden</w:t>
      </w:r>
      <w:r w:rsidR="007F52CA" w:rsidRPr="00A7748B">
        <w:rPr>
          <w:rFonts w:asciiTheme="minorHAnsi" w:hAnsiTheme="minorHAnsi"/>
        </w:rPr>
        <w:t>ț</w:t>
      </w:r>
      <w:r w:rsidRPr="00A7748B">
        <w:rPr>
          <w:rFonts w:asciiTheme="minorHAnsi" w:hAnsiTheme="minorHAnsi"/>
        </w:rPr>
        <w:t xml:space="preserve">i sunt de părere că </w:t>
      </w:r>
      <w:r w:rsidR="007F52CA" w:rsidRPr="00A7748B">
        <w:rPr>
          <w:rFonts w:asciiTheme="minorHAnsi" w:hAnsiTheme="minorHAnsi"/>
        </w:rPr>
        <w:t>ș</w:t>
      </w:r>
      <w:r w:rsidRPr="00A7748B">
        <w:rPr>
          <w:rFonts w:asciiTheme="minorHAnsi" w:hAnsiTheme="minorHAnsi"/>
        </w:rPr>
        <w:t>i-au îmbunătă</w:t>
      </w:r>
      <w:r w:rsidR="007F52CA" w:rsidRPr="00A7748B">
        <w:rPr>
          <w:rFonts w:asciiTheme="minorHAnsi" w:hAnsiTheme="minorHAnsi"/>
        </w:rPr>
        <w:t>ț</w:t>
      </w:r>
      <w:r w:rsidRPr="00A7748B">
        <w:rPr>
          <w:rFonts w:asciiTheme="minorHAnsi" w:hAnsiTheme="minorHAnsi"/>
        </w:rPr>
        <w:t>it competen</w:t>
      </w:r>
      <w:r w:rsidR="007F52CA" w:rsidRPr="00A7748B">
        <w:rPr>
          <w:rFonts w:asciiTheme="minorHAnsi" w:hAnsiTheme="minorHAnsi"/>
        </w:rPr>
        <w:t>ț</w:t>
      </w:r>
      <w:r w:rsidRPr="00A7748B">
        <w:rPr>
          <w:rFonts w:asciiTheme="minorHAnsi" w:hAnsiTheme="minorHAnsi"/>
        </w:rPr>
        <w:t>ele digitale în timpul crizei, peste 50 % din ace</w:t>
      </w:r>
      <w:r w:rsidR="007F52CA" w:rsidRPr="00A7748B">
        <w:rPr>
          <w:rFonts w:asciiTheme="minorHAnsi" w:hAnsiTheme="minorHAnsi"/>
        </w:rPr>
        <w:t>ș</w:t>
      </w:r>
      <w:r w:rsidRPr="00A7748B">
        <w:rPr>
          <w:rFonts w:asciiTheme="minorHAnsi" w:hAnsiTheme="minorHAnsi"/>
        </w:rPr>
        <w:t>tia dorind să le aprofundeze</w:t>
      </w:r>
      <w:r w:rsidR="00553284" w:rsidRPr="00A7748B">
        <w:rPr>
          <w:rFonts w:asciiTheme="minorHAnsi" w:hAnsiTheme="minorHAnsi"/>
        </w:rPr>
        <w:t xml:space="preserve"> (Comisia Europeană, 2020)</w:t>
      </w:r>
      <w:r w:rsidRPr="00A7748B">
        <w:rPr>
          <w:rFonts w:asciiTheme="minorHAnsi" w:hAnsiTheme="minorHAnsi"/>
        </w:rPr>
        <w:t>.</w:t>
      </w:r>
    </w:p>
    <w:p w14:paraId="18BE3BE8" w14:textId="08461020" w:rsidR="00670D3A" w:rsidRPr="00A7748B" w:rsidRDefault="000F2477" w:rsidP="00822BC1">
      <w:pPr>
        <w:spacing w:before="120" w:after="120" w:line="240" w:lineRule="auto"/>
        <w:jc w:val="both"/>
        <w:rPr>
          <w:rFonts w:cstheme="minorHAnsi"/>
          <w:i/>
          <w:sz w:val="20"/>
          <w:szCs w:val="20"/>
        </w:rPr>
      </w:pPr>
      <w:r w:rsidRPr="00A7748B">
        <w:rPr>
          <w:rFonts w:cstheme="minorHAnsi"/>
          <w:sz w:val="20"/>
          <w:szCs w:val="20"/>
        </w:rPr>
        <w:t>Noul Plan de ac</w:t>
      </w:r>
      <w:r w:rsidR="007F52CA" w:rsidRPr="00A7748B">
        <w:rPr>
          <w:rFonts w:cstheme="minorHAnsi"/>
          <w:sz w:val="20"/>
          <w:szCs w:val="20"/>
        </w:rPr>
        <w:t>ț</w:t>
      </w:r>
      <w:r w:rsidRPr="00A7748B">
        <w:rPr>
          <w:rFonts w:cstheme="minorHAnsi"/>
          <w:sz w:val="20"/>
          <w:szCs w:val="20"/>
        </w:rPr>
        <w:t>iune pentru e</w:t>
      </w:r>
      <w:r w:rsidR="00670D3A" w:rsidRPr="00A7748B">
        <w:rPr>
          <w:rFonts w:cstheme="minorHAnsi"/>
          <w:sz w:val="20"/>
          <w:szCs w:val="20"/>
        </w:rPr>
        <w:t>duca</w:t>
      </w:r>
      <w:r w:rsidR="007F52CA" w:rsidRPr="00A7748B">
        <w:rPr>
          <w:rFonts w:cstheme="minorHAnsi"/>
          <w:sz w:val="20"/>
          <w:szCs w:val="20"/>
        </w:rPr>
        <w:t>ț</w:t>
      </w:r>
      <w:r w:rsidR="00670D3A" w:rsidRPr="00A7748B">
        <w:rPr>
          <w:rFonts w:cstheme="minorHAnsi"/>
          <w:sz w:val="20"/>
          <w:szCs w:val="20"/>
        </w:rPr>
        <w:t>ia digitală include recomandările formulate pe baza consultărilor extinse cu păr</w:t>
      </w:r>
      <w:r w:rsidR="007F52CA" w:rsidRPr="00A7748B">
        <w:rPr>
          <w:rFonts w:cstheme="minorHAnsi"/>
          <w:sz w:val="20"/>
          <w:szCs w:val="20"/>
        </w:rPr>
        <w:t>ț</w:t>
      </w:r>
      <w:r w:rsidR="00670D3A" w:rsidRPr="00A7748B">
        <w:rPr>
          <w:rFonts w:cstheme="minorHAnsi"/>
          <w:sz w:val="20"/>
          <w:szCs w:val="20"/>
        </w:rPr>
        <w:t>ile interesate, cuprinzând două păr</w:t>
      </w:r>
      <w:r w:rsidR="007F52CA" w:rsidRPr="00A7748B">
        <w:rPr>
          <w:rFonts w:cstheme="minorHAnsi"/>
          <w:sz w:val="20"/>
          <w:szCs w:val="20"/>
        </w:rPr>
        <w:t>ț</w:t>
      </w:r>
      <w:r w:rsidR="00670D3A" w:rsidRPr="00A7748B">
        <w:rPr>
          <w:rFonts w:cstheme="minorHAnsi"/>
          <w:sz w:val="20"/>
          <w:szCs w:val="20"/>
        </w:rPr>
        <w:t xml:space="preserve">i strategice: </w:t>
      </w:r>
      <w:r w:rsidR="00670D3A" w:rsidRPr="00A7748B">
        <w:rPr>
          <w:rFonts w:cstheme="minorHAnsi"/>
          <w:i/>
          <w:sz w:val="20"/>
          <w:szCs w:val="20"/>
        </w:rPr>
        <w:t>Dezvoltarea unui ecosistem educa</w:t>
      </w:r>
      <w:r w:rsidR="007F52CA" w:rsidRPr="00A7748B">
        <w:rPr>
          <w:rFonts w:cstheme="minorHAnsi"/>
          <w:i/>
          <w:sz w:val="20"/>
          <w:szCs w:val="20"/>
        </w:rPr>
        <w:t>ț</w:t>
      </w:r>
      <w:r w:rsidR="00670D3A" w:rsidRPr="00A7748B">
        <w:rPr>
          <w:rFonts w:cstheme="minorHAnsi"/>
          <w:i/>
          <w:sz w:val="20"/>
          <w:szCs w:val="20"/>
        </w:rPr>
        <w:t>ional digital de înaltă calitate</w:t>
      </w:r>
      <w:r w:rsidR="00670D3A" w:rsidRPr="00A7748B">
        <w:rPr>
          <w:rFonts w:cstheme="minorHAnsi"/>
          <w:sz w:val="20"/>
          <w:szCs w:val="20"/>
        </w:rPr>
        <w:t xml:space="preserve"> </w:t>
      </w:r>
      <w:r w:rsidR="007F52CA" w:rsidRPr="00A7748B">
        <w:rPr>
          <w:rFonts w:cstheme="minorHAnsi"/>
          <w:sz w:val="20"/>
          <w:szCs w:val="20"/>
        </w:rPr>
        <w:t>ș</w:t>
      </w:r>
      <w:r w:rsidR="00670D3A" w:rsidRPr="00A7748B">
        <w:rPr>
          <w:rFonts w:cstheme="minorHAnsi"/>
          <w:sz w:val="20"/>
          <w:szCs w:val="20"/>
        </w:rPr>
        <w:t xml:space="preserve">i </w:t>
      </w:r>
      <w:r w:rsidR="00670D3A" w:rsidRPr="00A7748B">
        <w:rPr>
          <w:rFonts w:cstheme="minorHAnsi"/>
          <w:i/>
          <w:sz w:val="20"/>
          <w:szCs w:val="20"/>
        </w:rPr>
        <w:t>Consolidarea competen</w:t>
      </w:r>
      <w:r w:rsidR="007F52CA" w:rsidRPr="00A7748B">
        <w:rPr>
          <w:rFonts w:cstheme="minorHAnsi"/>
          <w:i/>
          <w:sz w:val="20"/>
          <w:szCs w:val="20"/>
        </w:rPr>
        <w:t>ț</w:t>
      </w:r>
      <w:r w:rsidR="00670D3A" w:rsidRPr="00A7748B">
        <w:rPr>
          <w:rFonts w:cstheme="minorHAnsi"/>
          <w:i/>
          <w:sz w:val="20"/>
          <w:szCs w:val="20"/>
        </w:rPr>
        <w:t xml:space="preserve">elor digitale pentru transformarea digitală. </w:t>
      </w:r>
      <w:r w:rsidR="00670D3A" w:rsidRPr="00A7748B">
        <w:rPr>
          <w:rFonts w:cstheme="minorHAnsi"/>
          <w:sz w:val="20"/>
          <w:szCs w:val="20"/>
        </w:rPr>
        <w:t>În aceea</w:t>
      </w:r>
      <w:r w:rsidR="007F52CA" w:rsidRPr="00A7748B">
        <w:rPr>
          <w:rFonts w:cstheme="minorHAnsi"/>
          <w:sz w:val="20"/>
          <w:szCs w:val="20"/>
        </w:rPr>
        <w:t>ș</w:t>
      </w:r>
      <w:r w:rsidR="00670D3A" w:rsidRPr="00A7748B">
        <w:rPr>
          <w:rFonts w:cstheme="minorHAnsi"/>
          <w:sz w:val="20"/>
          <w:szCs w:val="20"/>
        </w:rPr>
        <w:t>i măsură aduce în prim plan o cooperare mai strânsă între statele membre ale UE, astfel încât sistemele de educa</w:t>
      </w:r>
      <w:r w:rsidR="007F52CA" w:rsidRPr="00A7748B">
        <w:rPr>
          <w:rFonts w:cstheme="minorHAnsi"/>
          <w:sz w:val="20"/>
          <w:szCs w:val="20"/>
        </w:rPr>
        <w:t>ț</w:t>
      </w:r>
      <w:r w:rsidR="00670D3A" w:rsidRPr="00A7748B">
        <w:rPr>
          <w:rFonts w:cstheme="minorHAnsi"/>
          <w:sz w:val="20"/>
          <w:szCs w:val="20"/>
        </w:rPr>
        <w:t xml:space="preserve">ie </w:t>
      </w:r>
      <w:r w:rsidR="007F52CA" w:rsidRPr="00A7748B">
        <w:rPr>
          <w:rFonts w:cstheme="minorHAnsi"/>
          <w:sz w:val="20"/>
          <w:szCs w:val="20"/>
        </w:rPr>
        <w:t>ș</w:t>
      </w:r>
      <w:r w:rsidR="00670D3A" w:rsidRPr="00A7748B">
        <w:rPr>
          <w:rFonts w:cstheme="minorHAnsi"/>
          <w:sz w:val="20"/>
          <w:szCs w:val="20"/>
        </w:rPr>
        <w:t>i formarea să devină adecvate pentru era digitală, dat fiind impactul transformării digitale asupra societă</w:t>
      </w:r>
      <w:r w:rsidR="007F52CA" w:rsidRPr="00A7748B">
        <w:rPr>
          <w:rFonts w:cstheme="minorHAnsi"/>
          <w:sz w:val="20"/>
          <w:szCs w:val="20"/>
        </w:rPr>
        <w:t>ț</w:t>
      </w:r>
      <w:r w:rsidR="00670D3A" w:rsidRPr="00A7748B">
        <w:rPr>
          <w:rFonts w:cstheme="minorHAnsi"/>
          <w:sz w:val="20"/>
          <w:szCs w:val="20"/>
        </w:rPr>
        <w:t>ilor, asupra pie</w:t>
      </w:r>
      <w:r w:rsidR="007F52CA" w:rsidRPr="00A7748B">
        <w:rPr>
          <w:rFonts w:cstheme="minorHAnsi"/>
          <w:sz w:val="20"/>
          <w:szCs w:val="20"/>
        </w:rPr>
        <w:t>ț</w:t>
      </w:r>
      <w:r w:rsidR="00670D3A" w:rsidRPr="00A7748B">
        <w:rPr>
          <w:rFonts w:cstheme="minorHAnsi"/>
          <w:sz w:val="20"/>
          <w:szCs w:val="20"/>
        </w:rPr>
        <w:t xml:space="preserve">ei muncii </w:t>
      </w:r>
      <w:r w:rsidR="007F52CA" w:rsidRPr="00A7748B">
        <w:rPr>
          <w:rFonts w:cstheme="minorHAnsi"/>
          <w:sz w:val="20"/>
          <w:szCs w:val="20"/>
        </w:rPr>
        <w:t>ș</w:t>
      </w:r>
      <w:r w:rsidR="00670D3A" w:rsidRPr="00A7748B">
        <w:rPr>
          <w:rFonts w:cstheme="minorHAnsi"/>
          <w:sz w:val="20"/>
          <w:szCs w:val="20"/>
        </w:rPr>
        <w:t xml:space="preserve">i a viitorului acesteia, precum </w:t>
      </w:r>
      <w:r w:rsidR="007F52CA" w:rsidRPr="00A7748B">
        <w:rPr>
          <w:rFonts w:cstheme="minorHAnsi"/>
          <w:sz w:val="20"/>
          <w:szCs w:val="20"/>
        </w:rPr>
        <w:t>ș</w:t>
      </w:r>
      <w:r w:rsidR="00670D3A" w:rsidRPr="00A7748B">
        <w:rPr>
          <w:rFonts w:cstheme="minorHAnsi"/>
          <w:sz w:val="20"/>
          <w:szCs w:val="20"/>
        </w:rPr>
        <w:t>i asupra sistemelor de educa</w:t>
      </w:r>
      <w:r w:rsidR="007F52CA" w:rsidRPr="00A7748B">
        <w:rPr>
          <w:rFonts w:cstheme="minorHAnsi"/>
          <w:sz w:val="20"/>
          <w:szCs w:val="20"/>
        </w:rPr>
        <w:t>ț</w:t>
      </w:r>
      <w:r w:rsidR="00670D3A" w:rsidRPr="00A7748B">
        <w:rPr>
          <w:rFonts w:cstheme="minorHAnsi"/>
          <w:sz w:val="20"/>
          <w:szCs w:val="20"/>
        </w:rPr>
        <w:t xml:space="preserve">ie </w:t>
      </w:r>
      <w:r w:rsidR="007F52CA" w:rsidRPr="00A7748B">
        <w:rPr>
          <w:rFonts w:cstheme="minorHAnsi"/>
          <w:sz w:val="20"/>
          <w:szCs w:val="20"/>
        </w:rPr>
        <w:t>ș</w:t>
      </w:r>
      <w:r w:rsidR="00670D3A" w:rsidRPr="00A7748B">
        <w:rPr>
          <w:rFonts w:cstheme="minorHAnsi"/>
          <w:sz w:val="20"/>
          <w:szCs w:val="20"/>
        </w:rPr>
        <w:t xml:space="preserve">i formare. Transformarea digitală este determinată de progresele în materie de conectivitate, utilizarea pe scară largă a dispozitivelor </w:t>
      </w:r>
      <w:r w:rsidR="007F52CA" w:rsidRPr="00A7748B">
        <w:rPr>
          <w:rFonts w:cstheme="minorHAnsi"/>
          <w:sz w:val="20"/>
          <w:szCs w:val="20"/>
        </w:rPr>
        <w:t>ș</w:t>
      </w:r>
      <w:r w:rsidR="00670D3A" w:rsidRPr="00A7748B">
        <w:rPr>
          <w:rFonts w:cstheme="minorHAnsi"/>
          <w:sz w:val="20"/>
          <w:szCs w:val="20"/>
        </w:rPr>
        <w:t>i a aplica</w:t>
      </w:r>
      <w:r w:rsidR="007F52CA" w:rsidRPr="00A7748B">
        <w:rPr>
          <w:rFonts w:cstheme="minorHAnsi"/>
          <w:sz w:val="20"/>
          <w:szCs w:val="20"/>
        </w:rPr>
        <w:t>ț</w:t>
      </w:r>
      <w:r w:rsidR="00670D3A" w:rsidRPr="00A7748B">
        <w:rPr>
          <w:rFonts w:cstheme="minorHAnsi"/>
          <w:sz w:val="20"/>
          <w:szCs w:val="20"/>
        </w:rPr>
        <w:t xml:space="preserve">iilor digitale, nevoia de flexibilitate individuală </w:t>
      </w:r>
      <w:r w:rsidR="007F52CA" w:rsidRPr="00A7748B">
        <w:rPr>
          <w:rFonts w:cstheme="minorHAnsi"/>
          <w:sz w:val="20"/>
          <w:szCs w:val="20"/>
        </w:rPr>
        <w:t>ș</w:t>
      </w:r>
      <w:r w:rsidR="00670D3A" w:rsidRPr="00A7748B">
        <w:rPr>
          <w:rFonts w:cstheme="minorHAnsi"/>
          <w:sz w:val="20"/>
          <w:szCs w:val="20"/>
        </w:rPr>
        <w:t>i cererea din ce în ce mai mare de competen</w:t>
      </w:r>
      <w:r w:rsidR="007F52CA" w:rsidRPr="00A7748B">
        <w:rPr>
          <w:rFonts w:cstheme="minorHAnsi"/>
          <w:sz w:val="20"/>
          <w:szCs w:val="20"/>
        </w:rPr>
        <w:t>ț</w:t>
      </w:r>
      <w:r w:rsidR="00670D3A" w:rsidRPr="00A7748B">
        <w:rPr>
          <w:rFonts w:cstheme="minorHAnsi"/>
          <w:sz w:val="20"/>
          <w:szCs w:val="20"/>
        </w:rPr>
        <w:t>e digitale</w:t>
      </w:r>
      <w:r w:rsidR="00553284" w:rsidRPr="00A7748B">
        <w:rPr>
          <w:rFonts w:cstheme="minorHAnsi"/>
          <w:sz w:val="20"/>
          <w:szCs w:val="20"/>
        </w:rPr>
        <w:t xml:space="preserve"> („Strategia privind digitalizarea educa</w:t>
      </w:r>
      <w:r w:rsidR="007F52CA" w:rsidRPr="00A7748B">
        <w:rPr>
          <w:rFonts w:cstheme="minorHAnsi"/>
          <w:sz w:val="20"/>
          <w:szCs w:val="20"/>
        </w:rPr>
        <w:t>ț</w:t>
      </w:r>
      <w:r w:rsidR="00553284" w:rsidRPr="00A7748B">
        <w:rPr>
          <w:rFonts w:cstheme="minorHAnsi"/>
          <w:sz w:val="20"/>
          <w:szCs w:val="20"/>
        </w:rPr>
        <w:t>iei din România”, Ministerul Educa</w:t>
      </w:r>
      <w:r w:rsidR="007F52CA" w:rsidRPr="00A7748B">
        <w:rPr>
          <w:rFonts w:cstheme="minorHAnsi"/>
          <w:sz w:val="20"/>
          <w:szCs w:val="20"/>
        </w:rPr>
        <w:t>ț</w:t>
      </w:r>
      <w:r w:rsidR="00553284" w:rsidRPr="00A7748B">
        <w:rPr>
          <w:rFonts w:cstheme="minorHAnsi"/>
          <w:sz w:val="20"/>
          <w:szCs w:val="20"/>
        </w:rPr>
        <w:t xml:space="preserve">iei </w:t>
      </w:r>
      <w:r w:rsidR="007F52CA" w:rsidRPr="00A7748B">
        <w:rPr>
          <w:rFonts w:cstheme="minorHAnsi"/>
          <w:sz w:val="20"/>
          <w:szCs w:val="20"/>
        </w:rPr>
        <w:t>ș</w:t>
      </w:r>
      <w:r w:rsidR="00553284" w:rsidRPr="00A7748B">
        <w:rPr>
          <w:rFonts w:cstheme="minorHAnsi"/>
          <w:sz w:val="20"/>
          <w:szCs w:val="20"/>
        </w:rPr>
        <w:t>i Cercetării, 2021)</w:t>
      </w:r>
      <w:r w:rsidR="00670D3A" w:rsidRPr="00A7748B">
        <w:rPr>
          <w:rFonts w:cstheme="minorHAnsi"/>
          <w:sz w:val="20"/>
          <w:szCs w:val="20"/>
        </w:rPr>
        <w:t xml:space="preserve">. </w:t>
      </w:r>
    </w:p>
    <w:p w14:paraId="6A7C17F7" w14:textId="27BCD7D3" w:rsidR="00670D3A" w:rsidRPr="00A7748B" w:rsidRDefault="00670D3A" w:rsidP="00822BC1">
      <w:pPr>
        <w:spacing w:after="120" w:line="240" w:lineRule="auto"/>
        <w:jc w:val="both"/>
        <w:rPr>
          <w:rFonts w:cstheme="minorHAnsi"/>
          <w:sz w:val="20"/>
          <w:szCs w:val="20"/>
        </w:rPr>
      </w:pPr>
      <w:r w:rsidRPr="00A7748B">
        <w:rPr>
          <w:rFonts w:cstheme="minorHAnsi"/>
          <w:b/>
          <w:sz w:val="20"/>
          <w:szCs w:val="20"/>
        </w:rPr>
        <w:t>„Comunicarea privind Spa</w:t>
      </w:r>
      <w:r w:rsidR="007F52CA" w:rsidRPr="00A7748B">
        <w:rPr>
          <w:rFonts w:cstheme="minorHAnsi"/>
          <w:b/>
          <w:sz w:val="20"/>
          <w:szCs w:val="20"/>
        </w:rPr>
        <w:t>ț</w:t>
      </w:r>
      <w:r w:rsidRPr="00A7748B">
        <w:rPr>
          <w:rFonts w:cstheme="minorHAnsi"/>
          <w:b/>
          <w:sz w:val="20"/>
          <w:szCs w:val="20"/>
        </w:rPr>
        <w:t>iul european al educa</w:t>
      </w:r>
      <w:r w:rsidR="007F52CA" w:rsidRPr="00A7748B">
        <w:rPr>
          <w:rFonts w:cstheme="minorHAnsi"/>
          <w:b/>
          <w:sz w:val="20"/>
          <w:szCs w:val="20"/>
        </w:rPr>
        <w:t>ț</w:t>
      </w:r>
      <w:r w:rsidRPr="00A7748B">
        <w:rPr>
          <w:rFonts w:cstheme="minorHAnsi"/>
          <w:b/>
          <w:sz w:val="20"/>
          <w:szCs w:val="20"/>
        </w:rPr>
        <w:t>iei până în 2025”</w:t>
      </w:r>
      <w:r w:rsidRPr="00A7748B">
        <w:rPr>
          <w:rFonts w:cstheme="minorHAnsi"/>
          <w:sz w:val="20"/>
          <w:szCs w:val="20"/>
        </w:rPr>
        <w:t xml:space="preserve"> (European </w:t>
      </w:r>
      <w:proofErr w:type="spellStart"/>
      <w:r w:rsidRPr="00A7748B">
        <w:rPr>
          <w:rFonts w:cstheme="minorHAnsi"/>
          <w:sz w:val="20"/>
          <w:szCs w:val="20"/>
        </w:rPr>
        <w:t>Education</w:t>
      </w:r>
      <w:proofErr w:type="spellEnd"/>
      <w:r w:rsidRPr="00A7748B">
        <w:rPr>
          <w:rFonts w:cstheme="minorHAnsi"/>
          <w:sz w:val="20"/>
          <w:szCs w:val="20"/>
        </w:rPr>
        <w:t xml:space="preserve"> </w:t>
      </w:r>
      <w:proofErr w:type="spellStart"/>
      <w:r w:rsidRPr="00A7748B">
        <w:rPr>
          <w:rFonts w:cstheme="minorHAnsi"/>
          <w:sz w:val="20"/>
          <w:szCs w:val="20"/>
        </w:rPr>
        <w:t>Area</w:t>
      </w:r>
      <w:proofErr w:type="spellEnd"/>
      <w:r w:rsidRPr="00A7748B">
        <w:rPr>
          <w:rFonts w:cstheme="minorHAnsi"/>
          <w:sz w:val="20"/>
          <w:szCs w:val="20"/>
        </w:rPr>
        <w:t xml:space="preserve"> </w:t>
      </w:r>
      <w:proofErr w:type="spellStart"/>
      <w:r w:rsidRPr="00A7748B">
        <w:rPr>
          <w:rFonts w:cstheme="minorHAnsi"/>
          <w:sz w:val="20"/>
          <w:szCs w:val="20"/>
        </w:rPr>
        <w:t>by</w:t>
      </w:r>
      <w:proofErr w:type="spellEnd"/>
      <w:r w:rsidRPr="00A7748B">
        <w:rPr>
          <w:rFonts w:cstheme="minorHAnsi"/>
          <w:sz w:val="20"/>
          <w:szCs w:val="20"/>
        </w:rPr>
        <w:t xml:space="preserve"> 2025) aduce în prim plan consolidarea sistemelor de educa</w:t>
      </w:r>
      <w:r w:rsidR="007F52CA" w:rsidRPr="00A7748B">
        <w:rPr>
          <w:rFonts w:cstheme="minorHAnsi"/>
          <w:sz w:val="20"/>
          <w:szCs w:val="20"/>
        </w:rPr>
        <w:t>ț</w:t>
      </w:r>
      <w:r w:rsidRPr="00A7748B">
        <w:rPr>
          <w:rFonts w:cstheme="minorHAnsi"/>
          <w:sz w:val="20"/>
          <w:szCs w:val="20"/>
        </w:rPr>
        <w:t xml:space="preserve">ie </w:t>
      </w:r>
      <w:r w:rsidR="007F52CA" w:rsidRPr="00A7748B">
        <w:rPr>
          <w:rFonts w:cstheme="minorHAnsi"/>
          <w:sz w:val="20"/>
          <w:szCs w:val="20"/>
        </w:rPr>
        <w:t>ș</w:t>
      </w:r>
      <w:r w:rsidRPr="00A7748B">
        <w:rPr>
          <w:rFonts w:cstheme="minorHAnsi"/>
          <w:sz w:val="20"/>
          <w:szCs w:val="20"/>
        </w:rPr>
        <w:t>i formare în urma crizei provocate de coronavirus, având la bază o tranzi</w:t>
      </w:r>
      <w:r w:rsidR="007F52CA" w:rsidRPr="00A7748B">
        <w:rPr>
          <w:rFonts w:cstheme="minorHAnsi"/>
          <w:sz w:val="20"/>
          <w:szCs w:val="20"/>
        </w:rPr>
        <w:t>ț</w:t>
      </w:r>
      <w:r w:rsidRPr="00A7748B">
        <w:rPr>
          <w:rFonts w:cstheme="minorHAnsi"/>
          <w:sz w:val="20"/>
          <w:szCs w:val="20"/>
        </w:rPr>
        <w:t xml:space="preserve">ie către o </w:t>
      </w:r>
      <w:proofErr w:type="spellStart"/>
      <w:r w:rsidRPr="00A7748B">
        <w:rPr>
          <w:rFonts w:cstheme="minorHAnsi"/>
          <w:sz w:val="20"/>
          <w:szCs w:val="20"/>
        </w:rPr>
        <w:t>Europă</w:t>
      </w:r>
      <w:proofErr w:type="spellEnd"/>
      <w:r w:rsidRPr="00A7748B">
        <w:rPr>
          <w:rFonts w:cstheme="minorHAnsi"/>
          <w:sz w:val="20"/>
          <w:szCs w:val="20"/>
        </w:rPr>
        <w:t xml:space="preserve"> verde </w:t>
      </w:r>
      <w:r w:rsidR="007F52CA" w:rsidRPr="00A7748B">
        <w:rPr>
          <w:rFonts w:cstheme="minorHAnsi"/>
          <w:sz w:val="20"/>
          <w:szCs w:val="20"/>
        </w:rPr>
        <w:t>ș</w:t>
      </w:r>
      <w:r w:rsidRPr="00A7748B">
        <w:rPr>
          <w:rFonts w:cstheme="minorHAnsi"/>
          <w:sz w:val="20"/>
          <w:szCs w:val="20"/>
        </w:rPr>
        <w:t>i digitală. Crearea Spa</w:t>
      </w:r>
      <w:r w:rsidR="007F52CA" w:rsidRPr="00A7748B">
        <w:rPr>
          <w:rFonts w:cstheme="minorHAnsi"/>
          <w:sz w:val="20"/>
          <w:szCs w:val="20"/>
        </w:rPr>
        <w:t>ț</w:t>
      </w:r>
      <w:r w:rsidRPr="00A7748B">
        <w:rPr>
          <w:rFonts w:cstheme="minorHAnsi"/>
          <w:sz w:val="20"/>
          <w:szCs w:val="20"/>
        </w:rPr>
        <w:t>iului european al educa</w:t>
      </w:r>
      <w:r w:rsidR="007F52CA" w:rsidRPr="00A7748B">
        <w:rPr>
          <w:rFonts w:cstheme="minorHAnsi"/>
          <w:sz w:val="20"/>
          <w:szCs w:val="20"/>
        </w:rPr>
        <w:t>ț</w:t>
      </w:r>
      <w:r w:rsidRPr="00A7748B">
        <w:rPr>
          <w:rFonts w:cstheme="minorHAnsi"/>
          <w:sz w:val="20"/>
          <w:szCs w:val="20"/>
        </w:rPr>
        <w:t>iei se înscrie în sfera obiectivelor stabilite de noua Agendă Europeană a Competen</w:t>
      </w:r>
      <w:r w:rsidR="007F52CA" w:rsidRPr="00A7748B">
        <w:rPr>
          <w:rFonts w:cstheme="minorHAnsi"/>
          <w:sz w:val="20"/>
          <w:szCs w:val="20"/>
        </w:rPr>
        <w:t>ț</w:t>
      </w:r>
      <w:r w:rsidRPr="00A7748B">
        <w:rPr>
          <w:rFonts w:cstheme="minorHAnsi"/>
          <w:sz w:val="20"/>
          <w:szCs w:val="20"/>
        </w:rPr>
        <w:t xml:space="preserve">elor pentru competitivitate sustenabilă, echitate socială </w:t>
      </w:r>
      <w:r w:rsidR="007F52CA" w:rsidRPr="00A7748B">
        <w:rPr>
          <w:rFonts w:cstheme="minorHAnsi"/>
          <w:sz w:val="20"/>
          <w:szCs w:val="20"/>
        </w:rPr>
        <w:t>ș</w:t>
      </w:r>
      <w:r w:rsidRPr="00A7748B">
        <w:rPr>
          <w:rFonts w:cstheme="minorHAnsi"/>
          <w:sz w:val="20"/>
          <w:szCs w:val="20"/>
        </w:rPr>
        <w:t>i rezilien</w:t>
      </w:r>
      <w:r w:rsidR="007F52CA" w:rsidRPr="00A7748B">
        <w:rPr>
          <w:rFonts w:cstheme="minorHAnsi"/>
          <w:sz w:val="20"/>
          <w:szCs w:val="20"/>
        </w:rPr>
        <w:t>ț</w:t>
      </w:r>
      <w:r w:rsidRPr="00A7748B">
        <w:rPr>
          <w:rFonts w:cstheme="minorHAnsi"/>
          <w:sz w:val="20"/>
          <w:szCs w:val="20"/>
        </w:rPr>
        <w:t xml:space="preserve">ă </w:t>
      </w:r>
      <w:r w:rsidR="007F52CA" w:rsidRPr="00A7748B">
        <w:rPr>
          <w:rFonts w:cstheme="minorHAnsi"/>
          <w:sz w:val="20"/>
          <w:szCs w:val="20"/>
        </w:rPr>
        <w:t>ș</w:t>
      </w:r>
      <w:r w:rsidRPr="00A7748B">
        <w:rPr>
          <w:rFonts w:cstheme="minorHAnsi"/>
          <w:sz w:val="20"/>
          <w:szCs w:val="20"/>
        </w:rPr>
        <w:t>i completează panorama ac</w:t>
      </w:r>
      <w:r w:rsidR="007F52CA" w:rsidRPr="00A7748B">
        <w:rPr>
          <w:rFonts w:cstheme="minorHAnsi"/>
          <w:sz w:val="20"/>
          <w:szCs w:val="20"/>
        </w:rPr>
        <w:t>ț</w:t>
      </w:r>
      <w:r w:rsidRPr="00A7748B">
        <w:rPr>
          <w:rFonts w:cstheme="minorHAnsi"/>
          <w:sz w:val="20"/>
          <w:szCs w:val="20"/>
        </w:rPr>
        <w:t>iunilor subsecvente priorită</w:t>
      </w:r>
      <w:r w:rsidR="007F52CA" w:rsidRPr="00A7748B">
        <w:rPr>
          <w:rFonts w:cstheme="minorHAnsi"/>
          <w:sz w:val="20"/>
          <w:szCs w:val="20"/>
        </w:rPr>
        <w:t>ț</w:t>
      </w:r>
      <w:r w:rsidRPr="00A7748B">
        <w:rPr>
          <w:rFonts w:cstheme="minorHAnsi"/>
          <w:sz w:val="20"/>
          <w:szCs w:val="20"/>
        </w:rPr>
        <w:t>ilor strategice din noul Plan de ac</w:t>
      </w:r>
      <w:r w:rsidR="007F52CA" w:rsidRPr="00A7748B">
        <w:rPr>
          <w:rFonts w:cstheme="minorHAnsi"/>
          <w:sz w:val="20"/>
          <w:szCs w:val="20"/>
        </w:rPr>
        <w:t>ț</w:t>
      </w:r>
      <w:r w:rsidRPr="00A7748B">
        <w:rPr>
          <w:rFonts w:cstheme="minorHAnsi"/>
          <w:sz w:val="20"/>
          <w:szCs w:val="20"/>
        </w:rPr>
        <w:t>iune pentru educa</w:t>
      </w:r>
      <w:r w:rsidR="007F52CA" w:rsidRPr="00A7748B">
        <w:rPr>
          <w:rFonts w:cstheme="minorHAnsi"/>
          <w:sz w:val="20"/>
          <w:szCs w:val="20"/>
        </w:rPr>
        <w:t>ț</w:t>
      </w:r>
      <w:r w:rsidRPr="00A7748B">
        <w:rPr>
          <w:rFonts w:cstheme="minorHAnsi"/>
          <w:sz w:val="20"/>
          <w:szCs w:val="20"/>
        </w:rPr>
        <w:t>ia digitală, având la bază următoarele direc</w:t>
      </w:r>
      <w:r w:rsidR="007F52CA" w:rsidRPr="00A7748B">
        <w:rPr>
          <w:rFonts w:cstheme="minorHAnsi"/>
          <w:sz w:val="20"/>
          <w:szCs w:val="20"/>
        </w:rPr>
        <w:t>ț</w:t>
      </w:r>
      <w:r w:rsidRPr="00A7748B">
        <w:rPr>
          <w:rFonts w:cstheme="minorHAnsi"/>
          <w:sz w:val="20"/>
          <w:szCs w:val="20"/>
        </w:rPr>
        <w:t>ii de ac</w:t>
      </w:r>
      <w:r w:rsidR="007F52CA" w:rsidRPr="00A7748B">
        <w:rPr>
          <w:rFonts w:cstheme="minorHAnsi"/>
          <w:sz w:val="20"/>
          <w:szCs w:val="20"/>
        </w:rPr>
        <w:t>ț</w:t>
      </w:r>
      <w:r w:rsidRPr="00A7748B">
        <w:rPr>
          <w:rFonts w:cstheme="minorHAnsi"/>
          <w:sz w:val="20"/>
          <w:szCs w:val="20"/>
        </w:rPr>
        <w:t>iune: formarea competen</w:t>
      </w:r>
      <w:r w:rsidR="007F52CA" w:rsidRPr="00A7748B">
        <w:rPr>
          <w:rFonts w:cstheme="minorHAnsi"/>
          <w:sz w:val="20"/>
          <w:szCs w:val="20"/>
        </w:rPr>
        <w:t>ț</w:t>
      </w:r>
      <w:r w:rsidRPr="00A7748B">
        <w:rPr>
          <w:rFonts w:cstheme="minorHAnsi"/>
          <w:sz w:val="20"/>
          <w:szCs w:val="20"/>
        </w:rPr>
        <w:t xml:space="preserve">elor de bază (inclusiv cele digitale) </w:t>
      </w:r>
      <w:r w:rsidR="007F52CA" w:rsidRPr="00A7748B">
        <w:rPr>
          <w:rFonts w:cstheme="minorHAnsi"/>
          <w:sz w:val="20"/>
          <w:szCs w:val="20"/>
        </w:rPr>
        <w:t>ș</w:t>
      </w:r>
      <w:r w:rsidRPr="00A7748B">
        <w:rPr>
          <w:rFonts w:cstheme="minorHAnsi"/>
          <w:sz w:val="20"/>
          <w:szCs w:val="20"/>
        </w:rPr>
        <w:t xml:space="preserve">i transversale, incluziune </w:t>
      </w:r>
      <w:r w:rsidR="007F52CA" w:rsidRPr="00A7748B">
        <w:rPr>
          <w:rFonts w:cstheme="minorHAnsi"/>
          <w:sz w:val="20"/>
          <w:szCs w:val="20"/>
        </w:rPr>
        <w:t>ș</w:t>
      </w:r>
      <w:r w:rsidRPr="00A7748B">
        <w:rPr>
          <w:rFonts w:cstheme="minorHAnsi"/>
          <w:sz w:val="20"/>
          <w:szCs w:val="20"/>
        </w:rPr>
        <w:t>i egalitate de gen, tranzi</w:t>
      </w:r>
      <w:r w:rsidR="007F52CA" w:rsidRPr="00A7748B">
        <w:rPr>
          <w:rFonts w:cstheme="minorHAnsi"/>
          <w:sz w:val="20"/>
          <w:szCs w:val="20"/>
        </w:rPr>
        <w:t>ț</w:t>
      </w:r>
      <w:r w:rsidRPr="00A7748B">
        <w:rPr>
          <w:rFonts w:cstheme="minorHAnsi"/>
          <w:sz w:val="20"/>
          <w:szCs w:val="20"/>
        </w:rPr>
        <w:t xml:space="preserve">ii ecologice </w:t>
      </w:r>
      <w:r w:rsidR="007F52CA" w:rsidRPr="00A7748B">
        <w:rPr>
          <w:rFonts w:cstheme="minorHAnsi"/>
          <w:sz w:val="20"/>
          <w:szCs w:val="20"/>
        </w:rPr>
        <w:t>ș</w:t>
      </w:r>
      <w:r w:rsidRPr="00A7748B">
        <w:rPr>
          <w:rFonts w:cstheme="minorHAnsi"/>
          <w:sz w:val="20"/>
          <w:szCs w:val="20"/>
        </w:rPr>
        <w:t>i digitale, formarea cadrelor didactice, învă</w:t>
      </w:r>
      <w:r w:rsidR="007F52CA" w:rsidRPr="00A7748B">
        <w:rPr>
          <w:rFonts w:cstheme="minorHAnsi"/>
          <w:sz w:val="20"/>
          <w:szCs w:val="20"/>
        </w:rPr>
        <w:t>ț</w:t>
      </w:r>
      <w:r w:rsidRPr="00A7748B">
        <w:rPr>
          <w:rFonts w:cstheme="minorHAnsi"/>
          <w:sz w:val="20"/>
          <w:szCs w:val="20"/>
        </w:rPr>
        <w:t>ământ superior, consolidarea cooperării interna</w:t>
      </w:r>
      <w:r w:rsidR="007F52CA" w:rsidRPr="00A7748B">
        <w:rPr>
          <w:rFonts w:cstheme="minorHAnsi"/>
          <w:sz w:val="20"/>
          <w:szCs w:val="20"/>
        </w:rPr>
        <w:t>ț</w:t>
      </w:r>
      <w:r w:rsidRPr="00A7748B">
        <w:rPr>
          <w:rFonts w:cstheme="minorHAnsi"/>
          <w:sz w:val="20"/>
          <w:szCs w:val="20"/>
        </w:rPr>
        <w:t>ionale în educa</w:t>
      </w:r>
      <w:r w:rsidR="007F52CA" w:rsidRPr="00A7748B">
        <w:rPr>
          <w:rFonts w:cstheme="minorHAnsi"/>
          <w:sz w:val="20"/>
          <w:szCs w:val="20"/>
        </w:rPr>
        <w:t>ț</w:t>
      </w:r>
      <w:r w:rsidRPr="00A7748B">
        <w:rPr>
          <w:rFonts w:cstheme="minorHAnsi"/>
          <w:sz w:val="20"/>
          <w:szCs w:val="20"/>
        </w:rPr>
        <w:t xml:space="preserve">ie </w:t>
      </w:r>
      <w:r w:rsidR="007F52CA" w:rsidRPr="00A7748B">
        <w:rPr>
          <w:rFonts w:cstheme="minorHAnsi"/>
          <w:sz w:val="20"/>
          <w:szCs w:val="20"/>
        </w:rPr>
        <w:t>ș</w:t>
      </w:r>
      <w:r w:rsidRPr="00A7748B">
        <w:rPr>
          <w:rFonts w:cstheme="minorHAnsi"/>
          <w:sz w:val="20"/>
          <w:szCs w:val="20"/>
        </w:rPr>
        <w:t>i formare, inclusiv prin deblocarea poten</w:t>
      </w:r>
      <w:r w:rsidR="007F52CA" w:rsidRPr="00A7748B">
        <w:rPr>
          <w:rFonts w:cstheme="minorHAnsi"/>
          <w:sz w:val="20"/>
          <w:szCs w:val="20"/>
        </w:rPr>
        <w:t>ț</w:t>
      </w:r>
      <w:r w:rsidRPr="00A7748B">
        <w:rPr>
          <w:rFonts w:cstheme="minorHAnsi"/>
          <w:sz w:val="20"/>
          <w:szCs w:val="20"/>
        </w:rPr>
        <w:t>ialului de cooperare din sectorul învă</w:t>
      </w:r>
      <w:r w:rsidR="007F52CA" w:rsidRPr="00A7748B">
        <w:rPr>
          <w:rFonts w:cstheme="minorHAnsi"/>
          <w:sz w:val="20"/>
          <w:szCs w:val="20"/>
        </w:rPr>
        <w:t>ț</w:t>
      </w:r>
      <w:r w:rsidRPr="00A7748B">
        <w:rPr>
          <w:rFonts w:cstheme="minorHAnsi"/>
          <w:sz w:val="20"/>
          <w:szCs w:val="20"/>
        </w:rPr>
        <w:t xml:space="preserve">ământului profesional </w:t>
      </w:r>
      <w:r w:rsidR="007F52CA" w:rsidRPr="00A7748B">
        <w:rPr>
          <w:rFonts w:cstheme="minorHAnsi"/>
          <w:sz w:val="20"/>
          <w:szCs w:val="20"/>
        </w:rPr>
        <w:t>ș</w:t>
      </w:r>
      <w:r w:rsidRPr="00A7748B">
        <w:rPr>
          <w:rFonts w:cstheme="minorHAnsi"/>
          <w:sz w:val="20"/>
          <w:szCs w:val="20"/>
        </w:rPr>
        <w:t>i tehnic</w:t>
      </w:r>
      <w:r w:rsidR="00553284" w:rsidRPr="00A7748B">
        <w:rPr>
          <w:rFonts w:cstheme="minorHAnsi"/>
          <w:sz w:val="20"/>
          <w:szCs w:val="20"/>
        </w:rPr>
        <w:t xml:space="preserve"> (Comisia Europeană, 2020)</w:t>
      </w:r>
      <w:r w:rsidRPr="00A7748B">
        <w:rPr>
          <w:rFonts w:cstheme="minorHAnsi"/>
          <w:sz w:val="20"/>
          <w:szCs w:val="20"/>
        </w:rPr>
        <w:t>.</w:t>
      </w:r>
    </w:p>
    <w:p w14:paraId="49313444" w14:textId="42B42455" w:rsidR="00670D3A" w:rsidRPr="00A7748B" w:rsidRDefault="00670D3A" w:rsidP="00822BC1">
      <w:pPr>
        <w:spacing w:after="120" w:line="240" w:lineRule="auto"/>
        <w:jc w:val="both"/>
        <w:rPr>
          <w:rFonts w:cstheme="minorHAnsi"/>
          <w:sz w:val="20"/>
          <w:szCs w:val="20"/>
        </w:rPr>
      </w:pPr>
      <w:r w:rsidRPr="00A7748B">
        <w:rPr>
          <w:rFonts w:cstheme="minorHAnsi"/>
          <w:b/>
          <w:sz w:val="20"/>
          <w:szCs w:val="20"/>
        </w:rPr>
        <w:t>„Cadrul european al competen</w:t>
      </w:r>
      <w:r w:rsidR="007F52CA" w:rsidRPr="00A7748B">
        <w:rPr>
          <w:rFonts w:cstheme="minorHAnsi"/>
          <w:b/>
          <w:sz w:val="20"/>
          <w:szCs w:val="20"/>
        </w:rPr>
        <w:t>ț</w:t>
      </w:r>
      <w:r w:rsidRPr="00A7748B">
        <w:rPr>
          <w:rFonts w:cstheme="minorHAnsi"/>
          <w:b/>
          <w:sz w:val="20"/>
          <w:szCs w:val="20"/>
        </w:rPr>
        <w:t>ei digitale pentru cetă</w:t>
      </w:r>
      <w:r w:rsidR="007F52CA" w:rsidRPr="00A7748B">
        <w:rPr>
          <w:rFonts w:cstheme="minorHAnsi"/>
          <w:b/>
          <w:sz w:val="20"/>
          <w:szCs w:val="20"/>
        </w:rPr>
        <w:t>ț</w:t>
      </w:r>
      <w:r w:rsidRPr="00A7748B">
        <w:rPr>
          <w:rFonts w:cstheme="minorHAnsi"/>
          <w:b/>
          <w:sz w:val="20"/>
          <w:szCs w:val="20"/>
        </w:rPr>
        <w:t>eni (</w:t>
      </w:r>
      <w:proofErr w:type="spellStart"/>
      <w:r w:rsidRPr="00A7748B">
        <w:rPr>
          <w:rFonts w:cstheme="minorHAnsi"/>
          <w:b/>
          <w:sz w:val="20"/>
          <w:szCs w:val="20"/>
        </w:rPr>
        <w:t>DigComp</w:t>
      </w:r>
      <w:proofErr w:type="spellEnd"/>
      <w:r w:rsidRPr="00A7748B">
        <w:rPr>
          <w:rFonts w:cstheme="minorHAnsi"/>
          <w:b/>
          <w:sz w:val="20"/>
          <w:szCs w:val="20"/>
        </w:rPr>
        <w:t>)”</w:t>
      </w:r>
      <w:r w:rsidRPr="00A7748B">
        <w:rPr>
          <w:rFonts w:cstheme="minorHAnsi"/>
          <w:sz w:val="20"/>
          <w:szCs w:val="20"/>
        </w:rPr>
        <w:t>, prezintă importan</w:t>
      </w:r>
      <w:r w:rsidR="007F52CA" w:rsidRPr="00A7748B">
        <w:rPr>
          <w:rFonts w:cstheme="minorHAnsi"/>
          <w:sz w:val="20"/>
          <w:szCs w:val="20"/>
        </w:rPr>
        <w:t>ț</w:t>
      </w:r>
      <w:r w:rsidRPr="00A7748B">
        <w:rPr>
          <w:rFonts w:cstheme="minorHAnsi"/>
          <w:sz w:val="20"/>
          <w:szCs w:val="20"/>
        </w:rPr>
        <w:t xml:space="preserve">a digitalizării </w:t>
      </w:r>
      <w:r w:rsidR="007F52CA" w:rsidRPr="00A7748B">
        <w:rPr>
          <w:rFonts w:cstheme="minorHAnsi"/>
          <w:sz w:val="20"/>
          <w:szCs w:val="20"/>
        </w:rPr>
        <w:t>ș</w:t>
      </w:r>
      <w:r w:rsidRPr="00A7748B">
        <w:rPr>
          <w:rFonts w:cstheme="minorHAnsi"/>
          <w:sz w:val="20"/>
          <w:szCs w:val="20"/>
        </w:rPr>
        <w:t>i cele cinci domenii de dezvoltare în care cetă</w:t>
      </w:r>
      <w:r w:rsidR="007F52CA" w:rsidRPr="00A7748B">
        <w:rPr>
          <w:rFonts w:cstheme="minorHAnsi"/>
          <w:sz w:val="20"/>
          <w:szCs w:val="20"/>
        </w:rPr>
        <w:t>ț</w:t>
      </w:r>
      <w:r w:rsidRPr="00A7748B">
        <w:rPr>
          <w:rFonts w:cstheme="minorHAnsi"/>
          <w:sz w:val="20"/>
          <w:szCs w:val="20"/>
        </w:rPr>
        <w:t>enii trebuie să aibă competen</w:t>
      </w:r>
      <w:r w:rsidR="007F52CA" w:rsidRPr="00A7748B">
        <w:rPr>
          <w:rFonts w:cstheme="minorHAnsi"/>
          <w:sz w:val="20"/>
          <w:szCs w:val="20"/>
        </w:rPr>
        <w:t>ț</w:t>
      </w:r>
      <w:r w:rsidRPr="00A7748B">
        <w:rPr>
          <w:rFonts w:cstheme="minorHAnsi"/>
          <w:sz w:val="20"/>
          <w:szCs w:val="20"/>
        </w:rPr>
        <w:t>e în scopul de a atinge obiectivele legate de locul de muncă, de angajare, de învă</w:t>
      </w:r>
      <w:r w:rsidR="007F52CA" w:rsidRPr="00A7748B">
        <w:rPr>
          <w:rFonts w:cstheme="minorHAnsi"/>
          <w:sz w:val="20"/>
          <w:szCs w:val="20"/>
        </w:rPr>
        <w:t>ț</w:t>
      </w:r>
      <w:r w:rsidRPr="00A7748B">
        <w:rPr>
          <w:rFonts w:cstheme="minorHAnsi"/>
          <w:sz w:val="20"/>
          <w:szCs w:val="20"/>
        </w:rPr>
        <w:t xml:space="preserve">are, petrecere a timpului liber </w:t>
      </w:r>
      <w:r w:rsidR="007F52CA" w:rsidRPr="00A7748B">
        <w:rPr>
          <w:rFonts w:cstheme="minorHAnsi"/>
          <w:sz w:val="20"/>
          <w:szCs w:val="20"/>
        </w:rPr>
        <w:t>ș</w:t>
      </w:r>
      <w:r w:rsidRPr="00A7748B">
        <w:rPr>
          <w:rFonts w:cstheme="minorHAnsi"/>
          <w:sz w:val="20"/>
          <w:szCs w:val="20"/>
        </w:rPr>
        <w:t>i participare în via</w:t>
      </w:r>
      <w:r w:rsidR="007F52CA" w:rsidRPr="00A7748B">
        <w:rPr>
          <w:rFonts w:cstheme="minorHAnsi"/>
          <w:sz w:val="20"/>
          <w:szCs w:val="20"/>
        </w:rPr>
        <w:t>ț</w:t>
      </w:r>
      <w:r w:rsidRPr="00A7748B">
        <w:rPr>
          <w:rFonts w:cstheme="minorHAnsi"/>
          <w:sz w:val="20"/>
          <w:szCs w:val="20"/>
        </w:rPr>
        <w:t xml:space="preserve">a socială: alfabetizarea digitală </w:t>
      </w:r>
      <w:r w:rsidR="007F52CA" w:rsidRPr="00A7748B">
        <w:rPr>
          <w:rFonts w:cstheme="minorHAnsi"/>
          <w:sz w:val="20"/>
          <w:szCs w:val="20"/>
        </w:rPr>
        <w:t>ș</w:t>
      </w:r>
      <w:r w:rsidRPr="00A7748B">
        <w:rPr>
          <w:rFonts w:cstheme="minorHAnsi"/>
          <w:sz w:val="20"/>
          <w:szCs w:val="20"/>
        </w:rPr>
        <w:t>i informa</w:t>
      </w:r>
      <w:r w:rsidR="007F52CA" w:rsidRPr="00A7748B">
        <w:rPr>
          <w:rFonts w:cstheme="minorHAnsi"/>
          <w:sz w:val="20"/>
          <w:szCs w:val="20"/>
        </w:rPr>
        <w:t>ț</w:t>
      </w:r>
      <w:r w:rsidRPr="00A7748B">
        <w:rPr>
          <w:rFonts w:cstheme="minorHAnsi"/>
          <w:sz w:val="20"/>
          <w:szCs w:val="20"/>
        </w:rPr>
        <w:t xml:space="preserve">ională, comunicare </w:t>
      </w:r>
      <w:r w:rsidR="007F52CA" w:rsidRPr="00A7748B">
        <w:rPr>
          <w:rFonts w:cstheme="minorHAnsi"/>
          <w:sz w:val="20"/>
          <w:szCs w:val="20"/>
        </w:rPr>
        <w:t>ș</w:t>
      </w:r>
      <w:r w:rsidRPr="00A7748B">
        <w:rPr>
          <w:rFonts w:cstheme="minorHAnsi"/>
          <w:sz w:val="20"/>
          <w:szCs w:val="20"/>
        </w:rPr>
        <w:t>i colaborare, creare de con</w:t>
      </w:r>
      <w:r w:rsidR="007F52CA" w:rsidRPr="00A7748B">
        <w:rPr>
          <w:rFonts w:cstheme="minorHAnsi"/>
          <w:sz w:val="20"/>
          <w:szCs w:val="20"/>
        </w:rPr>
        <w:t>ț</w:t>
      </w:r>
      <w:r w:rsidRPr="00A7748B">
        <w:rPr>
          <w:rFonts w:cstheme="minorHAnsi"/>
          <w:sz w:val="20"/>
          <w:szCs w:val="20"/>
        </w:rPr>
        <w:t>inut digital, siguran</w:t>
      </w:r>
      <w:r w:rsidR="007F52CA" w:rsidRPr="00A7748B">
        <w:rPr>
          <w:rFonts w:cstheme="minorHAnsi"/>
          <w:sz w:val="20"/>
          <w:szCs w:val="20"/>
        </w:rPr>
        <w:t>ț</w:t>
      </w:r>
      <w:r w:rsidRPr="00A7748B">
        <w:rPr>
          <w:rFonts w:cstheme="minorHAnsi"/>
          <w:sz w:val="20"/>
          <w:szCs w:val="20"/>
        </w:rPr>
        <w:t xml:space="preserve">ă </w:t>
      </w:r>
      <w:r w:rsidR="007F52CA" w:rsidRPr="00A7748B">
        <w:rPr>
          <w:rFonts w:cstheme="minorHAnsi"/>
          <w:sz w:val="20"/>
          <w:szCs w:val="20"/>
        </w:rPr>
        <w:t>ș</w:t>
      </w:r>
      <w:r w:rsidRPr="00A7748B">
        <w:rPr>
          <w:rFonts w:cstheme="minorHAnsi"/>
          <w:sz w:val="20"/>
          <w:szCs w:val="20"/>
        </w:rPr>
        <w:t>i solu</w:t>
      </w:r>
      <w:r w:rsidR="007F52CA" w:rsidRPr="00A7748B">
        <w:rPr>
          <w:rFonts w:cstheme="minorHAnsi"/>
          <w:sz w:val="20"/>
          <w:szCs w:val="20"/>
        </w:rPr>
        <w:t>ț</w:t>
      </w:r>
      <w:r w:rsidRPr="00A7748B">
        <w:rPr>
          <w:rFonts w:cstheme="minorHAnsi"/>
          <w:sz w:val="20"/>
          <w:szCs w:val="20"/>
        </w:rPr>
        <w:t>ionare de probleme</w:t>
      </w:r>
      <w:r w:rsidR="0083445C" w:rsidRPr="00A7748B">
        <w:rPr>
          <w:rFonts w:cstheme="minorHAnsi"/>
          <w:sz w:val="20"/>
          <w:szCs w:val="20"/>
        </w:rPr>
        <w:t xml:space="preserve"> (Centrul Comun de Cercetare al Comisiei Europene, 2020)</w:t>
      </w:r>
      <w:r w:rsidRPr="00A7748B">
        <w:rPr>
          <w:rFonts w:cstheme="minorHAnsi"/>
          <w:sz w:val="20"/>
          <w:szCs w:val="20"/>
        </w:rPr>
        <w:t xml:space="preserve">. </w:t>
      </w:r>
    </w:p>
    <w:p w14:paraId="73A64BD0" w14:textId="043FB534" w:rsidR="00670D3A" w:rsidRPr="00A7748B" w:rsidRDefault="00670D3A" w:rsidP="00822BC1">
      <w:pPr>
        <w:spacing w:after="120" w:line="240" w:lineRule="auto"/>
        <w:jc w:val="both"/>
        <w:rPr>
          <w:rFonts w:cstheme="minorHAnsi"/>
          <w:b/>
          <w:color w:val="000000" w:themeColor="text1"/>
          <w:sz w:val="20"/>
          <w:szCs w:val="20"/>
        </w:rPr>
      </w:pPr>
      <w:r w:rsidRPr="00A7748B">
        <w:rPr>
          <w:rFonts w:cstheme="minorHAnsi"/>
          <w:sz w:val="20"/>
          <w:szCs w:val="20"/>
        </w:rPr>
        <w:t>„</w:t>
      </w:r>
      <w:r w:rsidRPr="00A7748B">
        <w:rPr>
          <w:rFonts w:cstheme="minorHAnsi"/>
          <w:b/>
          <w:sz w:val="20"/>
          <w:szCs w:val="20"/>
        </w:rPr>
        <w:t xml:space="preserve">The Pact for </w:t>
      </w:r>
      <w:proofErr w:type="spellStart"/>
      <w:r w:rsidRPr="00A7748B">
        <w:rPr>
          <w:rFonts w:cstheme="minorHAnsi"/>
          <w:b/>
          <w:sz w:val="20"/>
          <w:szCs w:val="20"/>
        </w:rPr>
        <w:t>Skills</w:t>
      </w:r>
      <w:proofErr w:type="spellEnd"/>
      <w:r w:rsidRPr="00A7748B">
        <w:rPr>
          <w:rFonts w:cstheme="minorHAnsi"/>
          <w:b/>
          <w:sz w:val="20"/>
          <w:szCs w:val="20"/>
        </w:rPr>
        <w:t>”</w:t>
      </w:r>
      <w:r w:rsidRPr="00A7748B">
        <w:rPr>
          <w:rFonts w:cstheme="minorHAnsi"/>
          <w:sz w:val="20"/>
          <w:szCs w:val="20"/>
        </w:rPr>
        <w:t xml:space="preserve"> </w:t>
      </w:r>
      <w:r w:rsidR="000E5C45" w:rsidRPr="00A7748B">
        <w:rPr>
          <w:rFonts w:cstheme="minorHAnsi"/>
          <w:sz w:val="20"/>
          <w:szCs w:val="20"/>
        </w:rPr>
        <w:t xml:space="preserve">elaborat de Comisia Europeană </w:t>
      </w:r>
      <w:r w:rsidRPr="00A7748B">
        <w:rPr>
          <w:rFonts w:cstheme="minorHAnsi"/>
          <w:sz w:val="20"/>
          <w:szCs w:val="20"/>
        </w:rPr>
        <w:t xml:space="preserve">pleacă de la premisa că </w:t>
      </w:r>
      <w:proofErr w:type="spellStart"/>
      <w:r w:rsidRPr="00A7748B">
        <w:rPr>
          <w:rFonts w:cstheme="minorHAnsi"/>
          <w:sz w:val="20"/>
          <w:szCs w:val="20"/>
        </w:rPr>
        <w:t>stakeholderi</w:t>
      </w:r>
      <w:proofErr w:type="spellEnd"/>
      <w:r w:rsidRPr="00A7748B">
        <w:rPr>
          <w:rFonts w:cstheme="minorHAnsi"/>
          <w:sz w:val="20"/>
          <w:szCs w:val="20"/>
        </w:rPr>
        <w:t xml:space="preserve"> precum: companiile, angaja</w:t>
      </w:r>
      <w:r w:rsidR="007F52CA" w:rsidRPr="00A7748B">
        <w:rPr>
          <w:rFonts w:cstheme="minorHAnsi"/>
          <w:sz w:val="20"/>
          <w:szCs w:val="20"/>
        </w:rPr>
        <w:t>ț</w:t>
      </w:r>
      <w:r w:rsidRPr="00A7748B">
        <w:rPr>
          <w:rFonts w:cstheme="minorHAnsi"/>
          <w:sz w:val="20"/>
          <w:szCs w:val="20"/>
        </w:rPr>
        <w:t>ii, autorită</w:t>
      </w:r>
      <w:r w:rsidR="007F52CA" w:rsidRPr="00A7748B">
        <w:rPr>
          <w:rFonts w:cstheme="minorHAnsi"/>
          <w:sz w:val="20"/>
          <w:szCs w:val="20"/>
        </w:rPr>
        <w:t>ț</w:t>
      </w:r>
      <w:r w:rsidRPr="00A7748B">
        <w:rPr>
          <w:rFonts w:cstheme="minorHAnsi"/>
          <w:sz w:val="20"/>
          <w:szCs w:val="20"/>
        </w:rPr>
        <w:t>ile na</w:t>
      </w:r>
      <w:r w:rsidR="007F52CA" w:rsidRPr="00A7748B">
        <w:rPr>
          <w:rFonts w:cstheme="minorHAnsi"/>
          <w:sz w:val="20"/>
          <w:szCs w:val="20"/>
        </w:rPr>
        <w:t>ț</w:t>
      </w:r>
      <w:r w:rsidRPr="00A7748B">
        <w:rPr>
          <w:rFonts w:cstheme="minorHAnsi"/>
          <w:sz w:val="20"/>
          <w:szCs w:val="20"/>
        </w:rPr>
        <w:t xml:space="preserve">ionale, regionale </w:t>
      </w:r>
      <w:r w:rsidR="007F52CA" w:rsidRPr="00A7748B">
        <w:rPr>
          <w:rFonts w:cstheme="minorHAnsi"/>
          <w:sz w:val="20"/>
          <w:szCs w:val="20"/>
        </w:rPr>
        <w:t>ș</w:t>
      </w:r>
      <w:r w:rsidRPr="00A7748B">
        <w:rPr>
          <w:rFonts w:cstheme="minorHAnsi"/>
          <w:sz w:val="20"/>
          <w:szCs w:val="20"/>
        </w:rPr>
        <w:t>i locale, partenerii sociali, organiza</w:t>
      </w:r>
      <w:r w:rsidR="007F52CA" w:rsidRPr="00A7748B">
        <w:rPr>
          <w:rFonts w:cstheme="minorHAnsi"/>
          <w:sz w:val="20"/>
          <w:szCs w:val="20"/>
        </w:rPr>
        <w:t>ț</w:t>
      </w:r>
      <w:r w:rsidRPr="00A7748B">
        <w:rPr>
          <w:rFonts w:cstheme="minorHAnsi"/>
          <w:sz w:val="20"/>
          <w:szCs w:val="20"/>
        </w:rPr>
        <w:t xml:space="preserve">iile trans-industriale </w:t>
      </w:r>
      <w:r w:rsidR="007F52CA" w:rsidRPr="00A7748B">
        <w:rPr>
          <w:rFonts w:cstheme="minorHAnsi"/>
          <w:sz w:val="20"/>
          <w:szCs w:val="20"/>
        </w:rPr>
        <w:t>ș</w:t>
      </w:r>
      <w:r w:rsidRPr="00A7748B">
        <w:rPr>
          <w:rFonts w:cstheme="minorHAnsi"/>
          <w:sz w:val="20"/>
          <w:szCs w:val="20"/>
        </w:rPr>
        <w:t>i sectoriale, furnizorii de educa</w:t>
      </w:r>
      <w:r w:rsidR="007F52CA" w:rsidRPr="00A7748B">
        <w:rPr>
          <w:rFonts w:cstheme="minorHAnsi"/>
          <w:sz w:val="20"/>
          <w:szCs w:val="20"/>
        </w:rPr>
        <w:t>ț</w:t>
      </w:r>
      <w:r w:rsidRPr="00A7748B">
        <w:rPr>
          <w:rFonts w:cstheme="minorHAnsi"/>
          <w:sz w:val="20"/>
          <w:szCs w:val="20"/>
        </w:rPr>
        <w:t xml:space="preserve">ie </w:t>
      </w:r>
      <w:r w:rsidR="007F52CA" w:rsidRPr="00A7748B">
        <w:rPr>
          <w:rFonts w:cstheme="minorHAnsi"/>
          <w:sz w:val="20"/>
          <w:szCs w:val="20"/>
        </w:rPr>
        <w:t>ș</w:t>
      </w:r>
      <w:r w:rsidRPr="00A7748B">
        <w:rPr>
          <w:rFonts w:cstheme="minorHAnsi"/>
          <w:sz w:val="20"/>
          <w:szCs w:val="20"/>
        </w:rPr>
        <w:t>i formare, camerele de comer</w:t>
      </w:r>
      <w:r w:rsidR="007F52CA" w:rsidRPr="00A7748B">
        <w:rPr>
          <w:rFonts w:cstheme="minorHAnsi"/>
          <w:sz w:val="20"/>
          <w:szCs w:val="20"/>
        </w:rPr>
        <w:t>ț</w:t>
      </w:r>
      <w:r w:rsidRPr="00A7748B">
        <w:rPr>
          <w:rFonts w:cstheme="minorHAnsi"/>
          <w:sz w:val="20"/>
          <w:szCs w:val="20"/>
        </w:rPr>
        <w:t xml:space="preserve"> </w:t>
      </w:r>
      <w:r w:rsidR="007F52CA" w:rsidRPr="00A7748B">
        <w:rPr>
          <w:rFonts w:cstheme="minorHAnsi"/>
          <w:sz w:val="20"/>
          <w:szCs w:val="20"/>
        </w:rPr>
        <w:t>ș</w:t>
      </w:r>
      <w:r w:rsidRPr="00A7748B">
        <w:rPr>
          <w:rFonts w:cstheme="minorHAnsi"/>
          <w:sz w:val="20"/>
          <w:szCs w:val="20"/>
        </w:rPr>
        <w:t>i serviciile de ocupare a for</w:t>
      </w:r>
      <w:r w:rsidR="007F52CA" w:rsidRPr="00A7748B">
        <w:rPr>
          <w:rFonts w:cstheme="minorHAnsi"/>
          <w:sz w:val="20"/>
          <w:szCs w:val="20"/>
        </w:rPr>
        <w:t>ț</w:t>
      </w:r>
      <w:r w:rsidRPr="00A7748B">
        <w:rPr>
          <w:rFonts w:cstheme="minorHAnsi"/>
          <w:sz w:val="20"/>
          <w:szCs w:val="20"/>
        </w:rPr>
        <w:t>ei de muncă au fiecare câte un rol important în procesul de dezvoltare a cadrului de competen</w:t>
      </w:r>
      <w:r w:rsidR="007F52CA" w:rsidRPr="00A7748B">
        <w:rPr>
          <w:rFonts w:cstheme="minorHAnsi"/>
          <w:sz w:val="20"/>
          <w:szCs w:val="20"/>
        </w:rPr>
        <w:t>ț</w:t>
      </w:r>
      <w:r w:rsidRPr="00A7748B">
        <w:rPr>
          <w:rFonts w:cstheme="minorHAnsi"/>
          <w:sz w:val="20"/>
          <w:szCs w:val="20"/>
        </w:rPr>
        <w:t>e necesare acomodării în procesul de dublă tranzi</w:t>
      </w:r>
      <w:r w:rsidR="007F52CA" w:rsidRPr="00A7748B">
        <w:rPr>
          <w:rFonts w:cstheme="minorHAnsi"/>
          <w:sz w:val="20"/>
          <w:szCs w:val="20"/>
        </w:rPr>
        <w:t>ț</w:t>
      </w:r>
      <w:r w:rsidRPr="00A7748B">
        <w:rPr>
          <w:rFonts w:cstheme="minorHAnsi"/>
          <w:sz w:val="20"/>
          <w:szCs w:val="20"/>
        </w:rPr>
        <w:t xml:space="preserve">ie ecologică </w:t>
      </w:r>
      <w:r w:rsidR="007F52CA" w:rsidRPr="00A7748B">
        <w:rPr>
          <w:rFonts w:cstheme="minorHAnsi"/>
          <w:sz w:val="20"/>
          <w:szCs w:val="20"/>
        </w:rPr>
        <w:t>ș</w:t>
      </w:r>
      <w:r w:rsidRPr="00A7748B">
        <w:rPr>
          <w:rFonts w:cstheme="minorHAnsi"/>
          <w:sz w:val="20"/>
          <w:szCs w:val="20"/>
        </w:rPr>
        <w:t>i digitală. Pactul are la bază următoarele obiective: 1. Promovarea unei culturi a învă</w:t>
      </w:r>
      <w:r w:rsidR="007F52CA" w:rsidRPr="00A7748B">
        <w:rPr>
          <w:rFonts w:cstheme="minorHAnsi"/>
          <w:sz w:val="20"/>
          <w:szCs w:val="20"/>
        </w:rPr>
        <w:t>ț</w:t>
      </w:r>
      <w:r w:rsidRPr="00A7748B">
        <w:rPr>
          <w:rFonts w:cstheme="minorHAnsi"/>
          <w:sz w:val="20"/>
          <w:szCs w:val="20"/>
        </w:rPr>
        <w:t>ării pe tot parcursul vie</w:t>
      </w:r>
      <w:r w:rsidR="007F52CA" w:rsidRPr="00A7748B">
        <w:rPr>
          <w:rFonts w:cstheme="minorHAnsi"/>
          <w:sz w:val="20"/>
          <w:szCs w:val="20"/>
        </w:rPr>
        <w:t>ț</w:t>
      </w:r>
      <w:r w:rsidRPr="00A7748B">
        <w:rPr>
          <w:rFonts w:cstheme="minorHAnsi"/>
          <w:sz w:val="20"/>
          <w:szCs w:val="20"/>
        </w:rPr>
        <w:t>ii pentru to</w:t>
      </w:r>
      <w:r w:rsidR="007F52CA" w:rsidRPr="00A7748B">
        <w:rPr>
          <w:rFonts w:cstheme="minorHAnsi"/>
          <w:sz w:val="20"/>
          <w:szCs w:val="20"/>
        </w:rPr>
        <w:t>ț</w:t>
      </w:r>
      <w:r w:rsidRPr="00A7748B">
        <w:rPr>
          <w:rFonts w:cstheme="minorHAnsi"/>
          <w:sz w:val="20"/>
          <w:szCs w:val="20"/>
        </w:rPr>
        <w:t>i; 2. Construirea unor parteneriate puternice de competen</w:t>
      </w:r>
      <w:r w:rsidR="007F52CA" w:rsidRPr="00A7748B">
        <w:rPr>
          <w:rFonts w:cstheme="minorHAnsi"/>
          <w:sz w:val="20"/>
          <w:szCs w:val="20"/>
        </w:rPr>
        <w:t>ț</w:t>
      </w:r>
      <w:r w:rsidRPr="00A7748B">
        <w:rPr>
          <w:rFonts w:cstheme="minorHAnsi"/>
          <w:sz w:val="20"/>
          <w:szCs w:val="20"/>
        </w:rPr>
        <w:t>e; 3. Monitorizarea ofertei / cererii de competen</w:t>
      </w:r>
      <w:r w:rsidR="007F52CA" w:rsidRPr="00A7748B">
        <w:rPr>
          <w:rFonts w:cstheme="minorHAnsi"/>
          <w:sz w:val="20"/>
          <w:szCs w:val="20"/>
        </w:rPr>
        <w:t>ț</w:t>
      </w:r>
      <w:r w:rsidRPr="00A7748B">
        <w:rPr>
          <w:rFonts w:cstheme="minorHAnsi"/>
          <w:sz w:val="20"/>
          <w:szCs w:val="20"/>
        </w:rPr>
        <w:t xml:space="preserve">e </w:t>
      </w:r>
      <w:r w:rsidR="007F52CA" w:rsidRPr="00A7748B">
        <w:rPr>
          <w:rFonts w:cstheme="minorHAnsi"/>
          <w:sz w:val="20"/>
          <w:szCs w:val="20"/>
        </w:rPr>
        <w:t>ș</w:t>
      </w:r>
      <w:r w:rsidRPr="00A7748B">
        <w:rPr>
          <w:rFonts w:cstheme="minorHAnsi"/>
          <w:sz w:val="20"/>
          <w:szCs w:val="20"/>
        </w:rPr>
        <w:t>i anticiparea nevoilor de competen</w:t>
      </w:r>
      <w:r w:rsidR="007F52CA" w:rsidRPr="00A7748B">
        <w:rPr>
          <w:rFonts w:cstheme="minorHAnsi"/>
          <w:sz w:val="20"/>
          <w:szCs w:val="20"/>
        </w:rPr>
        <w:t>ț</w:t>
      </w:r>
      <w:r w:rsidRPr="00A7748B">
        <w:rPr>
          <w:rFonts w:cstheme="minorHAnsi"/>
          <w:sz w:val="20"/>
          <w:szCs w:val="20"/>
        </w:rPr>
        <w:t>e; 4. Ac</w:t>
      </w:r>
      <w:r w:rsidR="007F52CA" w:rsidRPr="00A7748B">
        <w:rPr>
          <w:rFonts w:cstheme="minorHAnsi"/>
          <w:sz w:val="20"/>
          <w:szCs w:val="20"/>
        </w:rPr>
        <w:t>ț</w:t>
      </w:r>
      <w:r w:rsidRPr="00A7748B">
        <w:rPr>
          <w:rFonts w:cstheme="minorHAnsi"/>
          <w:sz w:val="20"/>
          <w:szCs w:val="20"/>
        </w:rPr>
        <w:t xml:space="preserve">ionarea împotriva discriminării </w:t>
      </w:r>
      <w:r w:rsidR="007F52CA" w:rsidRPr="00A7748B">
        <w:rPr>
          <w:rFonts w:cstheme="minorHAnsi"/>
          <w:sz w:val="20"/>
          <w:szCs w:val="20"/>
        </w:rPr>
        <w:t>ș</w:t>
      </w:r>
      <w:r w:rsidRPr="00A7748B">
        <w:rPr>
          <w:rFonts w:cstheme="minorHAnsi"/>
          <w:sz w:val="20"/>
          <w:szCs w:val="20"/>
        </w:rPr>
        <w:t xml:space="preserve">i pentru egalitatea de gen </w:t>
      </w:r>
      <w:r w:rsidR="007F52CA" w:rsidRPr="00A7748B">
        <w:rPr>
          <w:rFonts w:cstheme="minorHAnsi"/>
          <w:sz w:val="20"/>
          <w:szCs w:val="20"/>
        </w:rPr>
        <w:t>ș</w:t>
      </w:r>
      <w:r w:rsidRPr="00A7748B">
        <w:rPr>
          <w:rFonts w:cstheme="minorHAnsi"/>
          <w:sz w:val="20"/>
          <w:szCs w:val="20"/>
        </w:rPr>
        <w:t xml:space="preserve">i egalitatea de </w:t>
      </w:r>
      <w:r w:rsidR="007F52CA" w:rsidRPr="00A7748B">
        <w:rPr>
          <w:rFonts w:cstheme="minorHAnsi"/>
          <w:sz w:val="20"/>
          <w:szCs w:val="20"/>
        </w:rPr>
        <w:t>ș</w:t>
      </w:r>
      <w:r w:rsidRPr="00A7748B">
        <w:rPr>
          <w:rFonts w:cstheme="minorHAnsi"/>
          <w:sz w:val="20"/>
          <w:szCs w:val="20"/>
        </w:rPr>
        <w:t>anse. Principalii beneficiari ai planului sunt: a. tineri care nu sunt încadra</w:t>
      </w:r>
      <w:r w:rsidR="007F52CA" w:rsidRPr="00A7748B">
        <w:rPr>
          <w:rFonts w:cstheme="minorHAnsi"/>
          <w:sz w:val="20"/>
          <w:szCs w:val="20"/>
        </w:rPr>
        <w:t>ț</w:t>
      </w:r>
      <w:r w:rsidRPr="00A7748B">
        <w:rPr>
          <w:rFonts w:cstheme="minorHAnsi"/>
          <w:sz w:val="20"/>
          <w:szCs w:val="20"/>
        </w:rPr>
        <w:t xml:space="preserve">i profesional </w:t>
      </w:r>
      <w:r w:rsidR="007F52CA" w:rsidRPr="00A7748B">
        <w:rPr>
          <w:rFonts w:cstheme="minorHAnsi"/>
          <w:sz w:val="20"/>
          <w:szCs w:val="20"/>
        </w:rPr>
        <w:t>ș</w:t>
      </w:r>
      <w:r w:rsidRPr="00A7748B">
        <w:rPr>
          <w:rFonts w:cstheme="minorHAnsi"/>
          <w:sz w:val="20"/>
          <w:szCs w:val="20"/>
        </w:rPr>
        <w:t>i nu urmează nici un program educa</w:t>
      </w:r>
      <w:r w:rsidR="007F52CA" w:rsidRPr="00A7748B">
        <w:rPr>
          <w:rFonts w:cstheme="minorHAnsi"/>
          <w:sz w:val="20"/>
          <w:szCs w:val="20"/>
        </w:rPr>
        <w:t>ț</w:t>
      </w:r>
      <w:r w:rsidRPr="00A7748B">
        <w:rPr>
          <w:rFonts w:cstheme="minorHAnsi"/>
          <w:sz w:val="20"/>
          <w:szCs w:val="20"/>
        </w:rPr>
        <w:t>ional sau de formare (</w:t>
      </w:r>
      <w:proofErr w:type="spellStart"/>
      <w:r w:rsidRPr="00A7748B">
        <w:rPr>
          <w:rFonts w:cstheme="minorHAnsi"/>
          <w:sz w:val="20"/>
          <w:szCs w:val="20"/>
        </w:rPr>
        <w:t>NEETs</w:t>
      </w:r>
      <w:proofErr w:type="spellEnd"/>
      <w:r w:rsidRPr="00A7748B">
        <w:rPr>
          <w:rFonts w:cstheme="minorHAnsi"/>
          <w:sz w:val="20"/>
          <w:szCs w:val="20"/>
        </w:rPr>
        <w:t>) – 15-34 de ani; b. adul</w:t>
      </w:r>
      <w:r w:rsidR="007F52CA" w:rsidRPr="00A7748B">
        <w:rPr>
          <w:rFonts w:cstheme="minorHAnsi"/>
          <w:sz w:val="20"/>
          <w:szCs w:val="20"/>
        </w:rPr>
        <w:t>ț</w:t>
      </w:r>
      <w:r w:rsidRPr="00A7748B">
        <w:rPr>
          <w:rFonts w:cstheme="minorHAnsi"/>
          <w:sz w:val="20"/>
          <w:szCs w:val="20"/>
        </w:rPr>
        <w:t xml:space="preserve">i </w:t>
      </w:r>
      <w:r w:rsidR="007F52CA" w:rsidRPr="00A7748B">
        <w:rPr>
          <w:rFonts w:cstheme="minorHAnsi"/>
          <w:sz w:val="20"/>
          <w:szCs w:val="20"/>
        </w:rPr>
        <w:t>ș</w:t>
      </w:r>
      <w:r w:rsidRPr="00A7748B">
        <w:rPr>
          <w:rFonts w:cstheme="minorHAnsi"/>
          <w:sz w:val="20"/>
          <w:szCs w:val="20"/>
        </w:rPr>
        <w:t>omeri sau în curs de angajare care nu au competen</w:t>
      </w:r>
      <w:r w:rsidR="007F52CA" w:rsidRPr="00A7748B">
        <w:rPr>
          <w:rFonts w:cstheme="minorHAnsi"/>
          <w:sz w:val="20"/>
          <w:szCs w:val="20"/>
        </w:rPr>
        <w:t>ț</w:t>
      </w:r>
      <w:r w:rsidRPr="00A7748B">
        <w:rPr>
          <w:rFonts w:cstheme="minorHAnsi"/>
          <w:sz w:val="20"/>
          <w:szCs w:val="20"/>
        </w:rPr>
        <w:t>e digitale sau au competen</w:t>
      </w:r>
      <w:r w:rsidR="007F52CA" w:rsidRPr="00A7748B">
        <w:rPr>
          <w:rFonts w:cstheme="minorHAnsi"/>
          <w:sz w:val="20"/>
          <w:szCs w:val="20"/>
        </w:rPr>
        <w:t>ț</w:t>
      </w:r>
      <w:r w:rsidRPr="00A7748B">
        <w:rPr>
          <w:rFonts w:cstheme="minorHAnsi"/>
          <w:sz w:val="20"/>
          <w:szCs w:val="20"/>
        </w:rPr>
        <w:t>e digitale minimale; c. adul</w:t>
      </w:r>
      <w:r w:rsidR="007F52CA" w:rsidRPr="00A7748B">
        <w:rPr>
          <w:rFonts w:cstheme="minorHAnsi"/>
          <w:sz w:val="20"/>
          <w:szCs w:val="20"/>
        </w:rPr>
        <w:t>ț</w:t>
      </w:r>
      <w:r w:rsidRPr="00A7748B">
        <w:rPr>
          <w:rFonts w:cstheme="minorHAnsi"/>
          <w:sz w:val="20"/>
          <w:szCs w:val="20"/>
        </w:rPr>
        <w:t>i încadra</w:t>
      </w:r>
      <w:r w:rsidR="007F52CA" w:rsidRPr="00A7748B">
        <w:rPr>
          <w:rFonts w:cstheme="minorHAnsi"/>
          <w:sz w:val="20"/>
          <w:szCs w:val="20"/>
        </w:rPr>
        <w:t>ț</w:t>
      </w:r>
      <w:r w:rsidRPr="00A7748B">
        <w:rPr>
          <w:rFonts w:cstheme="minorHAnsi"/>
          <w:sz w:val="20"/>
          <w:szCs w:val="20"/>
        </w:rPr>
        <w:t>i profesional care nu au competen</w:t>
      </w:r>
      <w:r w:rsidR="007F52CA" w:rsidRPr="00A7748B">
        <w:rPr>
          <w:rFonts w:cstheme="minorHAnsi"/>
          <w:sz w:val="20"/>
          <w:szCs w:val="20"/>
        </w:rPr>
        <w:t>ț</w:t>
      </w:r>
      <w:r w:rsidRPr="00A7748B">
        <w:rPr>
          <w:rFonts w:cstheme="minorHAnsi"/>
          <w:sz w:val="20"/>
          <w:szCs w:val="20"/>
        </w:rPr>
        <w:t>e digitale sau au competen</w:t>
      </w:r>
      <w:r w:rsidR="007F52CA" w:rsidRPr="00A7748B">
        <w:rPr>
          <w:rFonts w:cstheme="minorHAnsi"/>
          <w:sz w:val="20"/>
          <w:szCs w:val="20"/>
        </w:rPr>
        <w:t>ț</w:t>
      </w:r>
      <w:r w:rsidRPr="00A7748B">
        <w:rPr>
          <w:rFonts w:cstheme="minorHAnsi"/>
          <w:sz w:val="20"/>
          <w:szCs w:val="20"/>
        </w:rPr>
        <w:t>e digitale minimale; d. pensionari care nu au competen</w:t>
      </w:r>
      <w:r w:rsidR="007F52CA" w:rsidRPr="00A7748B">
        <w:rPr>
          <w:rFonts w:cstheme="minorHAnsi"/>
          <w:sz w:val="20"/>
          <w:szCs w:val="20"/>
        </w:rPr>
        <w:t>ț</w:t>
      </w:r>
      <w:r w:rsidRPr="00A7748B">
        <w:rPr>
          <w:rFonts w:cstheme="minorHAnsi"/>
          <w:sz w:val="20"/>
          <w:szCs w:val="20"/>
        </w:rPr>
        <w:t>e digitale sau au competen</w:t>
      </w:r>
      <w:r w:rsidR="007F52CA" w:rsidRPr="00A7748B">
        <w:rPr>
          <w:rFonts w:cstheme="minorHAnsi"/>
          <w:sz w:val="20"/>
          <w:szCs w:val="20"/>
        </w:rPr>
        <w:t>ț</w:t>
      </w:r>
      <w:r w:rsidRPr="00A7748B">
        <w:rPr>
          <w:rFonts w:cstheme="minorHAnsi"/>
          <w:sz w:val="20"/>
          <w:szCs w:val="20"/>
        </w:rPr>
        <w:t xml:space="preserve">e digitale minimale; e. persoane provenind din grupuri vulnerabile: tinerele </w:t>
      </w:r>
      <w:r w:rsidR="007F52CA" w:rsidRPr="00A7748B">
        <w:rPr>
          <w:rFonts w:cstheme="minorHAnsi"/>
          <w:sz w:val="20"/>
          <w:szCs w:val="20"/>
        </w:rPr>
        <w:t>ș</w:t>
      </w:r>
      <w:r w:rsidRPr="00A7748B">
        <w:rPr>
          <w:rFonts w:cstheme="minorHAnsi"/>
          <w:sz w:val="20"/>
          <w:szCs w:val="20"/>
        </w:rPr>
        <w:t>i femeile din zone defavorizate, persoanele de etnie romă; f. refugia</w:t>
      </w:r>
      <w:r w:rsidR="007F52CA" w:rsidRPr="00A7748B">
        <w:rPr>
          <w:rFonts w:cstheme="minorHAnsi"/>
          <w:sz w:val="20"/>
          <w:szCs w:val="20"/>
        </w:rPr>
        <w:t>ț</w:t>
      </w:r>
      <w:r w:rsidRPr="00A7748B">
        <w:rPr>
          <w:rFonts w:cstheme="minorHAnsi"/>
          <w:sz w:val="20"/>
          <w:szCs w:val="20"/>
        </w:rPr>
        <w:t xml:space="preserve">i </w:t>
      </w:r>
      <w:r w:rsidR="007F52CA" w:rsidRPr="00A7748B">
        <w:rPr>
          <w:rFonts w:cstheme="minorHAnsi"/>
          <w:sz w:val="20"/>
          <w:szCs w:val="20"/>
        </w:rPr>
        <w:t>ș</w:t>
      </w:r>
      <w:r w:rsidRPr="00A7748B">
        <w:rPr>
          <w:rFonts w:cstheme="minorHAnsi"/>
          <w:sz w:val="20"/>
          <w:szCs w:val="20"/>
        </w:rPr>
        <w:t>i solicitan</w:t>
      </w:r>
      <w:r w:rsidR="007F52CA" w:rsidRPr="00A7748B">
        <w:rPr>
          <w:rFonts w:cstheme="minorHAnsi"/>
          <w:sz w:val="20"/>
          <w:szCs w:val="20"/>
        </w:rPr>
        <w:t>ț</w:t>
      </w:r>
      <w:r w:rsidRPr="00A7748B">
        <w:rPr>
          <w:rFonts w:cstheme="minorHAnsi"/>
          <w:sz w:val="20"/>
          <w:szCs w:val="20"/>
        </w:rPr>
        <w:t>i de azil</w:t>
      </w:r>
      <w:r w:rsidR="000F2477" w:rsidRPr="00A7748B">
        <w:rPr>
          <w:rFonts w:cstheme="minorHAnsi"/>
          <w:sz w:val="20"/>
          <w:szCs w:val="20"/>
        </w:rPr>
        <w:t xml:space="preserve"> (Comisia Europeană, 2020)</w:t>
      </w:r>
      <w:r w:rsidRPr="00A7748B">
        <w:rPr>
          <w:rFonts w:cstheme="minorHAnsi"/>
          <w:sz w:val="20"/>
          <w:szCs w:val="20"/>
        </w:rPr>
        <w:t>.</w:t>
      </w:r>
    </w:p>
    <w:p w14:paraId="4DB76A51" w14:textId="11952A26" w:rsidR="00670D3A" w:rsidRPr="00A7748B" w:rsidRDefault="00670D3A" w:rsidP="00822BC1">
      <w:pPr>
        <w:spacing w:after="120" w:line="240" w:lineRule="auto"/>
        <w:jc w:val="both"/>
        <w:rPr>
          <w:rFonts w:cstheme="minorHAnsi"/>
          <w:color w:val="000000" w:themeColor="text1"/>
          <w:sz w:val="20"/>
          <w:szCs w:val="20"/>
        </w:rPr>
      </w:pPr>
      <w:r w:rsidRPr="00A7748B">
        <w:rPr>
          <w:rFonts w:cstheme="minorHAnsi"/>
          <w:b/>
          <w:color w:val="000000" w:themeColor="text1"/>
          <w:sz w:val="20"/>
          <w:szCs w:val="20"/>
        </w:rPr>
        <w:t xml:space="preserve"> „Strategia privind digitalizarea educa</w:t>
      </w:r>
      <w:r w:rsidR="007F52CA" w:rsidRPr="00A7748B">
        <w:rPr>
          <w:rFonts w:cstheme="minorHAnsi"/>
          <w:b/>
          <w:color w:val="000000" w:themeColor="text1"/>
          <w:sz w:val="20"/>
          <w:szCs w:val="20"/>
        </w:rPr>
        <w:t>ț</w:t>
      </w:r>
      <w:r w:rsidRPr="00A7748B">
        <w:rPr>
          <w:rFonts w:cstheme="minorHAnsi"/>
          <w:b/>
          <w:color w:val="000000" w:themeColor="text1"/>
          <w:sz w:val="20"/>
          <w:szCs w:val="20"/>
        </w:rPr>
        <w:t xml:space="preserve">iei din România” </w:t>
      </w:r>
      <w:r w:rsidRPr="00A7748B">
        <w:rPr>
          <w:rFonts w:cstheme="minorHAnsi"/>
          <w:color w:val="000000" w:themeColor="text1"/>
          <w:sz w:val="20"/>
          <w:szCs w:val="20"/>
        </w:rPr>
        <w:t>elaborată de Ministerul Educa</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iei </w:t>
      </w:r>
      <w:r w:rsidR="007F52CA" w:rsidRPr="00A7748B">
        <w:rPr>
          <w:rFonts w:cstheme="minorHAnsi"/>
          <w:color w:val="000000" w:themeColor="text1"/>
          <w:sz w:val="20"/>
          <w:szCs w:val="20"/>
        </w:rPr>
        <w:t>ș</w:t>
      </w:r>
      <w:r w:rsidRPr="00A7748B">
        <w:rPr>
          <w:rFonts w:cstheme="minorHAnsi"/>
          <w:color w:val="000000" w:themeColor="text1"/>
          <w:sz w:val="20"/>
          <w:szCs w:val="20"/>
        </w:rPr>
        <w:t>i Cercetării</w:t>
      </w:r>
      <w:r w:rsidR="0083445C" w:rsidRPr="00A7748B">
        <w:rPr>
          <w:rFonts w:cstheme="minorHAnsi"/>
          <w:color w:val="000000" w:themeColor="text1"/>
          <w:sz w:val="20"/>
          <w:szCs w:val="20"/>
        </w:rPr>
        <w:t>, document în dezbatere publică în perioada decembrie 2020</w:t>
      </w:r>
      <w:r w:rsidR="000F2477" w:rsidRPr="00A7748B">
        <w:rPr>
          <w:rFonts w:cstheme="minorHAnsi"/>
          <w:color w:val="000000" w:themeColor="text1"/>
          <w:sz w:val="20"/>
          <w:szCs w:val="20"/>
        </w:rPr>
        <w:t xml:space="preserve"> </w:t>
      </w:r>
      <w:r w:rsidR="0083445C" w:rsidRPr="00A7748B">
        <w:rPr>
          <w:rFonts w:cstheme="minorHAnsi"/>
          <w:color w:val="000000" w:themeColor="text1"/>
          <w:sz w:val="20"/>
          <w:szCs w:val="20"/>
        </w:rPr>
        <w:t>-</w:t>
      </w:r>
      <w:r w:rsidR="000F2477" w:rsidRPr="00A7748B">
        <w:rPr>
          <w:rFonts w:cstheme="minorHAnsi"/>
          <w:color w:val="000000" w:themeColor="text1"/>
          <w:sz w:val="20"/>
          <w:szCs w:val="20"/>
        </w:rPr>
        <w:t xml:space="preserve"> </w:t>
      </w:r>
      <w:r w:rsidR="0083445C" w:rsidRPr="00A7748B">
        <w:rPr>
          <w:rFonts w:cstheme="minorHAnsi"/>
          <w:color w:val="000000" w:themeColor="text1"/>
          <w:sz w:val="20"/>
          <w:szCs w:val="20"/>
        </w:rPr>
        <w:t>februarie 2021</w:t>
      </w:r>
      <w:r w:rsidRPr="00A7748B">
        <w:rPr>
          <w:rFonts w:cstheme="minorHAnsi"/>
          <w:color w:val="000000" w:themeColor="text1"/>
          <w:sz w:val="20"/>
          <w:szCs w:val="20"/>
        </w:rPr>
        <w:t xml:space="preserve"> aduce în prim plan importan</w:t>
      </w:r>
      <w:r w:rsidR="007F52CA" w:rsidRPr="00A7748B">
        <w:rPr>
          <w:rFonts w:cstheme="minorHAnsi"/>
          <w:color w:val="000000" w:themeColor="text1"/>
          <w:sz w:val="20"/>
          <w:szCs w:val="20"/>
        </w:rPr>
        <w:t>ț</w:t>
      </w:r>
      <w:r w:rsidRPr="00A7748B">
        <w:rPr>
          <w:rFonts w:cstheme="minorHAnsi"/>
          <w:color w:val="000000" w:themeColor="text1"/>
          <w:sz w:val="20"/>
          <w:szCs w:val="20"/>
        </w:rPr>
        <w:t>a dezvoltării competen</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elor digitale, propunând mai multe paliere de dezvoltare: </w:t>
      </w:r>
      <w:r w:rsidRPr="00A7748B">
        <w:rPr>
          <w:rFonts w:cstheme="minorHAnsi"/>
          <w:i/>
          <w:color w:val="000000" w:themeColor="text1"/>
          <w:sz w:val="20"/>
          <w:szCs w:val="20"/>
        </w:rPr>
        <w:t>cetă</w:t>
      </w:r>
      <w:r w:rsidR="007F52CA" w:rsidRPr="00A7748B">
        <w:rPr>
          <w:rFonts w:cstheme="minorHAnsi"/>
          <w:i/>
          <w:color w:val="000000" w:themeColor="text1"/>
          <w:sz w:val="20"/>
          <w:szCs w:val="20"/>
        </w:rPr>
        <w:t>ț</w:t>
      </w:r>
      <w:r w:rsidRPr="00A7748B">
        <w:rPr>
          <w:rFonts w:cstheme="minorHAnsi"/>
          <w:i/>
          <w:color w:val="000000" w:themeColor="text1"/>
          <w:sz w:val="20"/>
          <w:szCs w:val="20"/>
        </w:rPr>
        <w:t>enia digitală</w:t>
      </w:r>
      <w:r w:rsidRPr="00A7748B">
        <w:rPr>
          <w:rFonts w:cstheme="minorHAnsi"/>
          <w:color w:val="000000" w:themeColor="text1"/>
          <w:sz w:val="20"/>
          <w:szCs w:val="20"/>
        </w:rPr>
        <w:t xml:space="preserve"> (c</w:t>
      </w:r>
      <w:r w:rsidRPr="00A7748B">
        <w:rPr>
          <w:rFonts w:cstheme="minorHAnsi"/>
          <w:sz w:val="20"/>
          <w:szCs w:val="20"/>
        </w:rPr>
        <w:t>on</w:t>
      </w:r>
      <w:r w:rsidR="007F52CA" w:rsidRPr="00A7748B">
        <w:rPr>
          <w:rFonts w:cstheme="minorHAnsi"/>
          <w:sz w:val="20"/>
          <w:szCs w:val="20"/>
        </w:rPr>
        <w:t>ș</w:t>
      </w:r>
      <w:r w:rsidRPr="00A7748B">
        <w:rPr>
          <w:rFonts w:cstheme="minorHAnsi"/>
          <w:sz w:val="20"/>
          <w:szCs w:val="20"/>
        </w:rPr>
        <w:t xml:space="preserve">tientizarea impactului utilizării tehnologiei digitale asupra bunăstării fizice </w:t>
      </w:r>
      <w:r w:rsidR="007F52CA" w:rsidRPr="00A7748B">
        <w:rPr>
          <w:rFonts w:cstheme="minorHAnsi"/>
          <w:sz w:val="20"/>
          <w:szCs w:val="20"/>
        </w:rPr>
        <w:t>ș</w:t>
      </w:r>
      <w:r w:rsidRPr="00A7748B">
        <w:rPr>
          <w:rFonts w:cstheme="minorHAnsi"/>
          <w:sz w:val="20"/>
          <w:szCs w:val="20"/>
        </w:rPr>
        <w:t>i psihologice, influen</w:t>
      </w:r>
      <w:r w:rsidR="007F52CA" w:rsidRPr="00A7748B">
        <w:rPr>
          <w:rFonts w:cstheme="minorHAnsi"/>
          <w:sz w:val="20"/>
          <w:szCs w:val="20"/>
        </w:rPr>
        <w:t>ț</w:t>
      </w:r>
      <w:r w:rsidRPr="00A7748B">
        <w:rPr>
          <w:rFonts w:cstheme="minorHAnsi"/>
          <w:sz w:val="20"/>
          <w:szCs w:val="20"/>
        </w:rPr>
        <w:t>a publicită</w:t>
      </w:r>
      <w:r w:rsidR="007F52CA" w:rsidRPr="00A7748B">
        <w:rPr>
          <w:rFonts w:cstheme="minorHAnsi"/>
          <w:sz w:val="20"/>
          <w:szCs w:val="20"/>
        </w:rPr>
        <w:t>ț</w:t>
      </w:r>
      <w:r w:rsidRPr="00A7748B">
        <w:rPr>
          <w:rFonts w:cstheme="minorHAnsi"/>
          <w:sz w:val="20"/>
          <w:szCs w:val="20"/>
        </w:rPr>
        <w:t xml:space="preserve">ii digitale </w:t>
      </w:r>
      <w:r w:rsidR="007F52CA" w:rsidRPr="00A7748B">
        <w:rPr>
          <w:rFonts w:cstheme="minorHAnsi"/>
          <w:sz w:val="20"/>
          <w:szCs w:val="20"/>
        </w:rPr>
        <w:t>ș</w:t>
      </w:r>
      <w:r w:rsidRPr="00A7748B">
        <w:rPr>
          <w:rFonts w:cstheme="minorHAnsi"/>
          <w:sz w:val="20"/>
          <w:szCs w:val="20"/>
        </w:rPr>
        <w:t>i siguran</w:t>
      </w:r>
      <w:r w:rsidR="007F52CA" w:rsidRPr="00A7748B">
        <w:rPr>
          <w:rFonts w:cstheme="minorHAnsi"/>
          <w:sz w:val="20"/>
          <w:szCs w:val="20"/>
        </w:rPr>
        <w:t>ț</w:t>
      </w:r>
      <w:r w:rsidRPr="00A7748B">
        <w:rPr>
          <w:rFonts w:cstheme="minorHAnsi"/>
          <w:sz w:val="20"/>
          <w:szCs w:val="20"/>
        </w:rPr>
        <w:t>a/încrederea percepută a site-urilor web)</w:t>
      </w:r>
      <w:r w:rsidRPr="00A7748B">
        <w:rPr>
          <w:rFonts w:cstheme="minorHAnsi"/>
          <w:color w:val="000000" w:themeColor="text1"/>
          <w:sz w:val="20"/>
          <w:szCs w:val="20"/>
        </w:rPr>
        <w:t xml:space="preserve">, </w:t>
      </w:r>
      <w:r w:rsidRPr="00A7748B">
        <w:rPr>
          <w:rFonts w:cstheme="minorHAnsi"/>
          <w:i/>
          <w:color w:val="000000" w:themeColor="text1"/>
          <w:sz w:val="20"/>
          <w:szCs w:val="20"/>
        </w:rPr>
        <w:t xml:space="preserve">utilizarea tehnologiei pentru a facilita incluziunea </w:t>
      </w:r>
      <w:r w:rsidR="007F52CA" w:rsidRPr="00A7748B">
        <w:rPr>
          <w:rFonts w:cstheme="minorHAnsi"/>
          <w:i/>
          <w:color w:val="000000" w:themeColor="text1"/>
          <w:sz w:val="20"/>
          <w:szCs w:val="20"/>
        </w:rPr>
        <w:t>ș</w:t>
      </w:r>
      <w:r w:rsidRPr="00A7748B">
        <w:rPr>
          <w:rFonts w:cstheme="minorHAnsi"/>
          <w:i/>
          <w:color w:val="000000" w:themeColor="text1"/>
          <w:sz w:val="20"/>
          <w:szCs w:val="20"/>
        </w:rPr>
        <w:t>i accesibilitatea</w:t>
      </w:r>
      <w:r w:rsidRPr="00A7748B">
        <w:rPr>
          <w:rFonts w:cstheme="minorHAnsi"/>
          <w:color w:val="000000" w:themeColor="text1"/>
          <w:sz w:val="20"/>
          <w:szCs w:val="20"/>
        </w:rPr>
        <w:t xml:space="preserve"> (</w:t>
      </w:r>
      <w:r w:rsidRPr="00A7748B">
        <w:rPr>
          <w:rFonts w:cstheme="minorHAnsi"/>
          <w:sz w:val="20"/>
          <w:szCs w:val="20"/>
        </w:rPr>
        <w:t xml:space="preserve">mobilizarea strategiilor </w:t>
      </w:r>
      <w:r w:rsidR="007F52CA" w:rsidRPr="00A7748B">
        <w:rPr>
          <w:rFonts w:cstheme="minorHAnsi"/>
          <w:sz w:val="20"/>
          <w:szCs w:val="20"/>
        </w:rPr>
        <w:t>ș</w:t>
      </w:r>
      <w:r w:rsidRPr="00A7748B">
        <w:rPr>
          <w:rFonts w:cstheme="minorHAnsi"/>
          <w:sz w:val="20"/>
          <w:szCs w:val="20"/>
        </w:rPr>
        <w:t xml:space="preserve">i instrumentelor digitale pentru a răspunde diferitelor nevoi </w:t>
      </w:r>
      <w:r w:rsidR="007F52CA" w:rsidRPr="00A7748B">
        <w:rPr>
          <w:rFonts w:cstheme="minorHAnsi"/>
          <w:sz w:val="20"/>
          <w:szCs w:val="20"/>
        </w:rPr>
        <w:t>ș</w:t>
      </w:r>
      <w:r w:rsidRPr="00A7748B">
        <w:rPr>
          <w:rFonts w:cstheme="minorHAnsi"/>
          <w:sz w:val="20"/>
          <w:szCs w:val="20"/>
        </w:rPr>
        <w:t>i de a depă</w:t>
      </w:r>
      <w:r w:rsidR="007F52CA" w:rsidRPr="00A7748B">
        <w:rPr>
          <w:rFonts w:cstheme="minorHAnsi"/>
          <w:sz w:val="20"/>
          <w:szCs w:val="20"/>
        </w:rPr>
        <w:t>ș</w:t>
      </w:r>
      <w:r w:rsidRPr="00A7748B">
        <w:rPr>
          <w:rFonts w:cstheme="minorHAnsi"/>
          <w:sz w:val="20"/>
          <w:szCs w:val="20"/>
        </w:rPr>
        <w:t>i barierele</w:t>
      </w:r>
      <w:r w:rsidRPr="00A7748B">
        <w:rPr>
          <w:rFonts w:cstheme="minorHAnsi"/>
          <w:color w:val="000000" w:themeColor="text1"/>
          <w:sz w:val="20"/>
          <w:szCs w:val="20"/>
        </w:rPr>
        <w:t xml:space="preserve">); </w:t>
      </w:r>
      <w:r w:rsidRPr="00A7748B">
        <w:rPr>
          <w:rFonts w:cstheme="minorHAnsi"/>
          <w:i/>
          <w:sz w:val="20"/>
          <w:szCs w:val="20"/>
        </w:rPr>
        <w:t>valorificarea competen</w:t>
      </w:r>
      <w:r w:rsidR="007F52CA" w:rsidRPr="00A7748B">
        <w:rPr>
          <w:rFonts w:cstheme="minorHAnsi"/>
          <w:i/>
          <w:sz w:val="20"/>
          <w:szCs w:val="20"/>
        </w:rPr>
        <w:t>ț</w:t>
      </w:r>
      <w:r w:rsidRPr="00A7748B">
        <w:rPr>
          <w:rFonts w:cstheme="minorHAnsi"/>
          <w:i/>
          <w:sz w:val="20"/>
          <w:szCs w:val="20"/>
        </w:rPr>
        <w:t xml:space="preserve">elor digitale în dezvoltarea personală </w:t>
      </w:r>
      <w:r w:rsidR="007F52CA" w:rsidRPr="00A7748B">
        <w:rPr>
          <w:rFonts w:cstheme="minorHAnsi"/>
          <w:i/>
          <w:sz w:val="20"/>
          <w:szCs w:val="20"/>
        </w:rPr>
        <w:t>ș</w:t>
      </w:r>
      <w:r w:rsidRPr="00A7748B">
        <w:rPr>
          <w:rFonts w:cstheme="minorHAnsi"/>
          <w:i/>
          <w:sz w:val="20"/>
          <w:szCs w:val="20"/>
        </w:rPr>
        <w:t xml:space="preserve">i profesională </w:t>
      </w:r>
      <w:r w:rsidRPr="00A7748B">
        <w:rPr>
          <w:rFonts w:cstheme="minorHAnsi"/>
          <w:sz w:val="20"/>
          <w:szCs w:val="20"/>
        </w:rPr>
        <w:t>(utilizarea tehnologiei digitale pentru a dobândi, men</w:t>
      </w:r>
      <w:r w:rsidR="007F52CA" w:rsidRPr="00A7748B">
        <w:rPr>
          <w:rFonts w:cstheme="minorHAnsi"/>
          <w:sz w:val="20"/>
          <w:szCs w:val="20"/>
        </w:rPr>
        <w:t>ț</w:t>
      </w:r>
      <w:r w:rsidRPr="00A7748B">
        <w:rPr>
          <w:rFonts w:cstheme="minorHAnsi"/>
          <w:sz w:val="20"/>
          <w:szCs w:val="20"/>
        </w:rPr>
        <w:t xml:space="preserve">ine </w:t>
      </w:r>
      <w:r w:rsidR="007F52CA" w:rsidRPr="00A7748B">
        <w:rPr>
          <w:rFonts w:cstheme="minorHAnsi"/>
          <w:sz w:val="20"/>
          <w:szCs w:val="20"/>
        </w:rPr>
        <w:t>ș</w:t>
      </w:r>
      <w:r w:rsidRPr="00A7748B">
        <w:rPr>
          <w:rFonts w:cstheme="minorHAnsi"/>
          <w:sz w:val="20"/>
          <w:szCs w:val="20"/>
        </w:rPr>
        <w:t>i dezvolta abilită</w:t>
      </w:r>
      <w:r w:rsidR="007F52CA" w:rsidRPr="00A7748B">
        <w:rPr>
          <w:rFonts w:cstheme="minorHAnsi"/>
          <w:sz w:val="20"/>
          <w:szCs w:val="20"/>
        </w:rPr>
        <w:t>ț</w:t>
      </w:r>
      <w:r w:rsidRPr="00A7748B">
        <w:rPr>
          <w:rFonts w:cstheme="minorHAnsi"/>
          <w:sz w:val="20"/>
          <w:szCs w:val="20"/>
        </w:rPr>
        <w:t>i de utilizare a acesteia în via</w:t>
      </w:r>
      <w:r w:rsidR="007F52CA" w:rsidRPr="00A7748B">
        <w:rPr>
          <w:rFonts w:cstheme="minorHAnsi"/>
          <w:sz w:val="20"/>
          <w:szCs w:val="20"/>
        </w:rPr>
        <w:t>ț</w:t>
      </w:r>
      <w:r w:rsidRPr="00A7748B">
        <w:rPr>
          <w:rFonts w:cstheme="minorHAnsi"/>
          <w:sz w:val="20"/>
          <w:szCs w:val="20"/>
        </w:rPr>
        <w:t xml:space="preserve">a profesională actuală sau viitoare); </w:t>
      </w:r>
      <w:r w:rsidRPr="00A7748B">
        <w:rPr>
          <w:rFonts w:cstheme="minorHAnsi"/>
          <w:i/>
          <w:sz w:val="20"/>
          <w:szCs w:val="20"/>
        </w:rPr>
        <w:t xml:space="preserve">creativitatea </w:t>
      </w:r>
      <w:r w:rsidR="007F52CA" w:rsidRPr="00A7748B">
        <w:rPr>
          <w:rFonts w:cstheme="minorHAnsi"/>
          <w:i/>
          <w:sz w:val="20"/>
          <w:szCs w:val="20"/>
        </w:rPr>
        <w:t>ș</w:t>
      </w:r>
      <w:r w:rsidRPr="00A7748B">
        <w:rPr>
          <w:rFonts w:cstheme="minorHAnsi"/>
          <w:i/>
          <w:sz w:val="20"/>
          <w:szCs w:val="20"/>
        </w:rPr>
        <w:t>i inova</w:t>
      </w:r>
      <w:r w:rsidR="007F52CA" w:rsidRPr="00A7748B">
        <w:rPr>
          <w:rFonts w:cstheme="minorHAnsi"/>
          <w:i/>
          <w:sz w:val="20"/>
          <w:szCs w:val="20"/>
        </w:rPr>
        <w:t>ț</w:t>
      </w:r>
      <w:r w:rsidRPr="00A7748B">
        <w:rPr>
          <w:rFonts w:cstheme="minorHAnsi"/>
          <w:i/>
          <w:sz w:val="20"/>
          <w:szCs w:val="20"/>
        </w:rPr>
        <w:t>ia în utilizarea tehnologiei</w:t>
      </w:r>
      <w:r w:rsidRPr="00A7748B">
        <w:rPr>
          <w:rFonts w:cstheme="minorHAnsi"/>
          <w:sz w:val="20"/>
          <w:szCs w:val="20"/>
        </w:rPr>
        <w:t xml:space="preserve"> (utilizarea gândirii critice pentru a evalua con</w:t>
      </w:r>
      <w:r w:rsidR="007F52CA" w:rsidRPr="00A7748B">
        <w:rPr>
          <w:rFonts w:cstheme="minorHAnsi"/>
          <w:sz w:val="20"/>
          <w:szCs w:val="20"/>
        </w:rPr>
        <w:t>ț</w:t>
      </w:r>
      <w:r w:rsidRPr="00A7748B">
        <w:rPr>
          <w:rFonts w:cstheme="minorHAnsi"/>
          <w:sz w:val="20"/>
          <w:szCs w:val="20"/>
        </w:rPr>
        <w:t xml:space="preserve">inutul digital înainte de a-l utiliza). Principalele </w:t>
      </w:r>
      <w:r w:rsidRPr="00A7748B">
        <w:rPr>
          <w:rFonts w:cstheme="minorHAnsi"/>
          <w:i/>
          <w:sz w:val="20"/>
          <w:szCs w:val="20"/>
        </w:rPr>
        <w:t>obiective</w:t>
      </w:r>
      <w:r w:rsidRPr="00A7748B">
        <w:rPr>
          <w:rFonts w:cstheme="minorHAnsi"/>
          <w:sz w:val="20"/>
          <w:szCs w:val="20"/>
        </w:rPr>
        <w:t xml:space="preserve"> ale strategiei sunt: un sistem de educa</w:t>
      </w:r>
      <w:r w:rsidR="007F52CA" w:rsidRPr="00A7748B">
        <w:rPr>
          <w:rFonts w:cstheme="minorHAnsi"/>
          <w:sz w:val="20"/>
          <w:szCs w:val="20"/>
        </w:rPr>
        <w:t>ț</w:t>
      </w:r>
      <w:r w:rsidRPr="00A7748B">
        <w:rPr>
          <w:rFonts w:cstheme="minorHAnsi"/>
          <w:sz w:val="20"/>
          <w:szCs w:val="20"/>
        </w:rPr>
        <w:t xml:space="preserve">ie flexibil, digitalizat, adaptabil, de calitate, capabil să răspundă provocărilor </w:t>
      </w:r>
      <w:r w:rsidR="007F52CA" w:rsidRPr="00A7748B">
        <w:rPr>
          <w:rFonts w:cstheme="minorHAnsi"/>
          <w:sz w:val="20"/>
          <w:szCs w:val="20"/>
        </w:rPr>
        <w:t>ș</w:t>
      </w:r>
      <w:r w:rsidRPr="00A7748B">
        <w:rPr>
          <w:rFonts w:cstheme="minorHAnsi"/>
          <w:sz w:val="20"/>
          <w:szCs w:val="20"/>
        </w:rPr>
        <w:t>i să genereze schimbarea; cetă</w:t>
      </w:r>
      <w:r w:rsidR="007F52CA" w:rsidRPr="00A7748B">
        <w:rPr>
          <w:rFonts w:cstheme="minorHAnsi"/>
          <w:sz w:val="20"/>
          <w:szCs w:val="20"/>
        </w:rPr>
        <w:t>ț</w:t>
      </w:r>
      <w:r w:rsidRPr="00A7748B">
        <w:rPr>
          <w:rFonts w:cstheme="minorHAnsi"/>
          <w:sz w:val="20"/>
          <w:szCs w:val="20"/>
        </w:rPr>
        <w:t>eni activi, bine integra</w:t>
      </w:r>
      <w:r w:rsidR="007F52CA" w:rsidRPr="00A7748B">
        <w:rPr>
          <w:rFonts w:cstheme="minorHAnsi"/>
          <w:sz w:val="20"/>
          <w:szCs w:val="20"/>
        </w:rPr>
        <w:t>ț</w:t>
      </w:r>
      <w:r w:rsidRPr="00A7748B">
        <w:rPr>
          <w:rFonts w:cstheme="minorHAnsi"/>
          <w:sz w:val="20"/>
          <w:szCs w:val="20"/>
        </w:rPr>
        <w:t>i pe pia</w:t>
      </w:r>
      <w:r w:rsidR="007F52CA" w:rsidRPr="00A7748B">
        <w:rPr>
          <w:rFonts w:cstheme="minorHAnsi"/>
          <w:sz w:val="20"/>
          <w:szCs w:val="20"/>
        </w:rPr>
        <w:t>ț</w:t>
      </w:r>
      <w:r w:rsidRPr="00A7748B">
        <w:rPr>
          <w:rFonts w:cstheme="minorHAnsi"/>
          <w:sz w:val="20"/>
          <w:szCs w:val="20"/>
        </w:rPr>
        <w:t>a muncii din perspectiva utilizării tehnologiilor digitale; cre</w:t>
      </w:r>
      <w:r w:rsidR="007F52CA" w:rsidRPr="00A7748B">
        <w:rPr>
          <w:rFonts w:cstheme="minorHAnsi"/>
          <w:sz w:val="20"/>
          <w:szCs w:val="20"/>
        </w:rPr>
        <w:t>ș</w:t>
      </w:r>
      <w:r w:rsidRPr="00A7748B">
        <w:rPr>
          <w:rFonts w:cstheme="minorHAnsi"/>
          <w:sz w:val="20"/>
          <w:szCs w:val="20"/>
        </w:rPr>
        <w:t>tere economică sustenabilă, bazată pe meserii ale viitorului; oportunită</w:t>
      </w:r>
      <w:r w:rsidR="007F52CA" w:rsidRPr="00A7748B">
        <w:rPr>
          <w:rFonts w:cstheme="minorHAnsi"/>
          <w:sz w:val="20"/>
          <w:szCs w:val="20"/>
        </w:rPr>
        <w:t>ț</w:t>
      </w:r>
      <w:r w:rsidRPr="00A7748B">
        <w:rPr>
          <w:rFonts w:cstheme="minorHAnsi"/>
          <w:sz w:val="20"/>
          <w:szCs w:val="20"/>
        </w:rPr>
        <w:t>i de dezvoltare digitală în domeniul educa</w:t>
      </w:r>
      <w:r w:rsidR="007F52CA" w:rsidRPr="00A7748B">
        <w:rPr>
          <w:rFonts w:cstheme="minorHAnsi"/>
          <w:sz w:val="20"/>
          <w:szCs w:val="20"/>
        </w:rPr>
        <w:t>ț</w:t>
      </w:r>
      <w:r w:rsidRPr="00A7748B">
        <w:rPr>
          <w:rFonts w:cstheme="minorHAnsi"/>
          <w:sz w:val="20"/>
          <w:szCs w:val="20"/>
        </w:rPr>
        <w:t xml:space="preserve">iei </w:t>
      </w:r>
      <w:r w:rsidR="007F52CA" w:rsidRPr="00A7748B">
        <w:rPr>
          <w:rFonts w:cstheme="minorHAnsi"/>
          <w:sz w:val="20"/>
          <w:szCs w:val="20"/>
        </w:rPr>
        <w:t>ș</w:t>
      </w:r>
      <w:r w:rsidRPr="00A7748B">
        <w:rPr>
          <w:rFonts w:cstheme="minorHAnsi"/>
          <w:sz w:val="20"/>
          <w:szCs w:val="20"/>
        </w:rPr>
        <w:t xml:space="preserve">i formării profesionale pentru o societate digitală </w:t>
      </w:r>
      <w:r w:rsidR="007F52CA" w:rsidRPr="00A7748B">
        <w:rPr>
          <w:rFonts w:cstheme="minorHAnsi"/>
          <w:sz w:val="20"/>
          <w:szCs w:val="20"/>
        </w:rPr>
        <w:t>ș</w:t>
      </w:r>
      <w:r w:rsidRPr="00A7748B">
        <w:rPr>
          <w:rFonts w:cstheme="minorHAnsi"/>
          <w:sz w:val="20"/>
          <w:szCs w:val="20"/>
        </w:rPr>
        <w:t>i o economie verde; consolidarea rezilien</w:t>
      </w:r>
      <w:r w:rsidR="007F52CA" w:rsidRPr="00A7748B">
        <w:rPr>
          <w:rFonts w:cstheme="minorHAnsi"/>
          <w:sz w:val="20"/>
          <w:szCs w:val="20"/>
        </w:rPr>
        <w:t>ț</w:t>
      </w:r>
      <w:r w:rsidRPr="00A7748B">
        <w:rPr>
          <w:rFonts w:cstheme="minorHAnsi"/>
          <w:sz w:val="20"/>
          <w:szCs w:val="20"/>
        </w:rPr>
        <w:t xml:space="preserve">ei </w:t>
      </w:r>
      <w:r w:rsidR="007F52CA" w:rsidRPr="00A7748B">
        <w:rPr>
          <w:rFonts w:cstheme="minorHAnsi"/>
          <w:sz w:val="20"/>
          <w:szCs w:val="20"/>
        </w:rPr>
        <w:t>ș</w:t>
      </w:r>
      <w:r w:rsidRPr="00A7748B">
        <w:rPr>
          <w:rFonts w:cstheme="minorHAnsi"/>
          <w:sz w:val="20"/>
          <w:szCs w:val="20"/>
        </w:rPr>
        <w:t>i predictibilitatea func</w:t>
      </w:r>
      <w:r w:rsidR="007F52CA" w:rsidRPr="00A7748B">
        <w:rPr>
          <w:rFonts w:cstheme="minorHAnsi"/>
          <w:sz w:val="20"/>
          <w:szCs w:val="20"/>
        </w:rPr>
        <w:t>ț</w:t>
      </w:r>
      <w:r w:rsidRPr="00A7748B">
        <w:rPr>
          <w:rFonts w:cstheme="minorHAnsi"/>
          <w:sz w:val="20"/>
          <w:szCs w:val="20"/>
        </w:rPr>
        <w:t>ională a sistemului de educa</w:t>
      </w:r>
      <w:r w:rsidR="007F52CA" w:rsidRPr="00A7748B">
        <w:rPr>
          <w:rFonts w:cstheme="minorHAnsi"/>
          <w:sz w:val="20"/>
          <w:szCs w:val="20"/>
        </w:rPr>
        <w:t>ț</w:t>
      </w:r>
      <w:r w:rsidRPr="00A7748B">
        <w:rPr>
          <w:rFonts w:cstheme="minorHAnsi"/>
          <w:sz w:val="20"/>
          <w:szCs w:val="20"/>
        </w:rPr>
        <w:t>ie în era digitală</w:t>
      </w:r>
      <w:r w:rsidRPr="00A7748B">
        <w:rPr>
          <w:rFonts w:cstheme="minorHAnsi"/>
          <w:color w:val="000000" w:themeColor="text1"/>
          <w:sz w:val="20"/>
          <w:szCs w:val="20"/>
        </w:rPr>
        <w:t>.</w:t>
      </w:r>
    </w:p>
    <w:p w14:paraId="107673BB" w14:textId="0525D0C0" w:rsidR="00670D3A" w:rsidRPr="00A7748B" w:rsidRDefault="007F52CA" w:rsidP="00822BC1">
      <w:pPr>
        <w:spacing w:after="120" w:line="276" w:lineRule="auto"/>
        <w:jc w:val="both"/>
        <w:rPr>
          <w:rFonts w:cstheme="minorHAnsi"/>
          <w:sz w:val="20"/>
          <w:szCs w:val="20"/>
        </w:rPr>
      </w:pPr>
      <w:r w:rsidRPr="00A7748B">
        <w:rPr>
          <w:rFonts w:cstheme="minorHAnsi"/>
          <w:sz w:val="20"/>
          <w:szCs w:val="20"/>
        </w:rPr>
        <w:t>Ț</w:t>
      </w:r>
      <w:r w:rsidR="00670D3A" w:rsidRPr="00A7748B">
        <w:rPr>
          <w:rFonts w:cstheme="minorHAnsi"/>
          <w:sz w:val="20"/>
          <w:szCs w:val="20"/>
        </w:rPr>
        <w:t>intele strategiei „</w:t>
      </w:r>
      <w:proofErr w:type="spellStart"/>
      <w:r w:rsidR="00670D3A" w:rsidRPr="00A7748B">
        <w:rPr>
          <w:rFonts w:cstheme="minorHAnsi"/>
          <w:sz w:val="20"/>
          <w:szCs w:val="20"/>
        </w:rPr>
        <w:t>Smart</w:t>
      </w:r>
      <w:proofErr w:type="spellEnd"/>
      <w:r w:rsidR="00670D3A" w:rsidRPr="00A7748B">
        <w:rPr>
          <w:rFonts w:cstheme="minorHAnsi"/>
          <w:sz w:val="20"/>
          <w:szCs w:val="20"/>
        </w:rPr>
        <w:t xml:space="preserve"> </w:t>
      </w:r>
      <w:proofErr w:type="spellStart"/>
      <w:r w:rsidR="00670D3A" w:rsidRPr="00A7748B">
        <w:rPr>
          <w:rFonts w:cstheme="minorHAnsi"/>
          <w:sz w:val="20"/>
          <w:szCs w:val="20"/>
        </w:rPr>
        <w:t>Edu</w:t>
      </w:r>
      <w:proofErr w:type="spellEnd"/>
      <w:r w:rsidR="00670D3A" w:rsidRPr="00A7748B">
        <w:rPr>
          <w:rFonts w:cstheme="minorHAnsi"/>
          <w:sz w:val="20"/>
          <w:szCs w:val="20"/>
        </w:rPr>
        <w:t xml:space="preserve">” în perioada 2021-2027 sunt: </w:t>
      </w:r>
    </w:p>
    <w:p w14:paraId="2B42794B" w14:textId="4898CE02" w:rsidR="00670D3A" w:rsidRPr="00A7748B" w:rsidRDefault="00670D3A" w:rsidP="00732926">
      <w:pPr>
        <w:pStyle w:val="Listparagraf"/>
        <w:numPr>
          <w:ilvl w:val="0"/>
          <w:numId w:val="2"/>
        </w:numPr>
        <w:spacing w:before="0"/>
        <w:ind w:left="851" w:hanging="357"/>
        <w:contextualSpacing w:val="0"/>
        <w:rPr>
          <w:rFonts w:asciiTheme="minorHAnsi" w:hAnsiTheme="minorHAnsi"/>
        </w:rPr>
      </w:pPr>
      <w:r w:rsidRPr="00A7748B">
        <w:rPr>
          <w:rFonts w:asciiTheme="minorHAnsi" w:hAnsiTheme="minorHAnsi"/>
        </w:rPr>
        <w:t>alfabetizarea digitală a 90% din popula</w:t>
      </w:r>
      <w:r w:rsidR="007F52CA" w:rsidRPr="00A7748B">
        <w:rPr>
          <w:rFonts w:asciiTheme="minorHAnsi" w:hAnsiTheme="minorHAnsi"/>
        </w:rPr>
        <w:t>ț</w:t>
      </w:r>
      <w:r w:rsidRPr="00A7748B">
        <w:rPr>
          <w:rFonts w:asciiTheme="minorHAnsi" w:hAnsiTheme="minorHAnsi"/>
        </w:rPr>
        <w:t xml:space="preserve">ia României; </w:t>
      </w:r>
    </w:p>
    <w:p w14:paraId="3033FA1B" w14:textId="71E9AF8C" w:rsidR="00670D3A" w:rsidRPr="00A7748B" w:rsidRDefault="00670D3A" w:rsidP="00732926">
      <w:pPr>
        <w:pStyle w:val="Listparagraf"/>
        <w:numPr>
          <w:ilvl w:val="0"/>
          <w:numId w:val="2"/>
        </w:numPr>
        <w:spacing w:before="0"/>
        <w:ind w:left="851" w:hanging="357"/>
        <w:contextualSpacing w:val="0"/>
        <w:rPr>
          <w:rFonts w:asciiTheme="minorHAnsi" w:hAnsiTheme="minorHAnsi"/>
        </w:rPr>
      </w:pPr>
      <w:r w:rsidRPr="00A7748B">
        <w:rPr>
          <w:rFonts w:asciiTheme="minorHAnsi" w:hAnsiTheme="minorHAnsi"/>
        </w:rPr>
        <w:t xml:space="preserve">infrastructură </w:t>
      </w:r>
      <w:r w:rsidR="007F52CA" w:rsidRPr="00A7748B">
        <w:rPr>
          <w:rFonts w:asciiTheme="minorHAnsi" w:hAnsiTheme="minorHAnsi"/>
        </w:rPr>
        <w:t>ș</w:t>
      </w:r>
      <w:r w:rsidRPr="00A7748B">
        <w:rPr>
          <w:rFonts w:asciiTheme="minorHAnsi" w:hAnsiTheme="minorHAnsi"/>
        </w:rPr>
        <w:t>i resurse tehnologice adaptate pentru toate unită</w:t>
      </w:r>
      <w:r w:rsidR="007F52CA" w:rsidRPr="00A7748B">
        <w:rPr>
          <w:rFonts w:asciiTheme="minorHAnsi" w:hAnsiTheme="minorHAnsi"/>
        </w:rPr>
        <w:t>ț</w:t>
      </w:r>
      <w:r w:rsidRPr="00A7748B">
        <w:rPr>
          <w:rFonts w:asciiTheme="minorHAnsi" w:hAnsiTheme="minorHAnsi"/>
        </w:rPr>
        <w:t>ile de învă</w:t>
      </w:r>
      <w:r w:rsidR="007F52CA" w:rsidRPr="00A7748B">
        <w:rPr>
          <w:rFonts w:asciiTheme="minorHAnsi" w:hAnsiTheme="minorHAnsi"/>
        </w:rPr>
        <w:t>ț</w:t>
      </w:r>
      <w:r w:rsidRPr="00A7748B">
        <w:rPr>
          <w:rFonts w:asciiTheme="minorHAnsi" w:hAnsiTheme="minorHAnsi"/>
        </w:rPr>
        <w:t>ământ din România;</w:t>
      </w:r>
    </w:p>
    <w:p w14:paraId="550E98B4" w14:textId="56121D26" w:rsidR="00670D3A" w:rsidRPr="00A7748B" w:rsidRDefault="00670D3A" w:rsidP="00732926">
      <w:pPr>
        <w:pStyle w:val="Listparagraf"/>
        <w:numPr>
          <w:ilvl w:val="0"/>
          <w:numId w:val="2"/>
        </w:numPr>
        <w:spacing w:before="0"/>
        <w:ind w:left="851" w:hanging="357"/>
        <w:contextualSpacing w:val="0"/>
        <w:rPr>
          <w:rFonts w:asciiTheme="minorHAnsi" w:hAnsiTheme="minorHAnsi"/>
        </w:rPr>
      </w:pPr>
      <w:r w:rsidRPr="00A7748B">
        <w:rPr>
          <w:rFonts w:asciiTheme="minorHAnsi" w:hAnsiTheme="minorHAnsi"/>
        </w:rPr>
        <w:t>inser</w:t>
      </w:r>
      <w:r w:rsidR="007F52CA" w:rsidRPr="00A7748B">
        <w:rPr>
          <w:rFonts w:asciiTheme="minorHAnsi" w:hAnsiTheme="minorHAnsi"/>
        </w:rPr>
        <w:t>ț</w:t>
      </w:r>
      <w:r w:rsidRPr="00A7748B">
        <w:rPr>
          <w:rFonts w:asciiTheme="minorHAnsi" w:hAnsiTheme="minorHAnsi"/>
        </w:rPr>
        <w:t>ie de succes pe pia</w:t>
      </w:r>
      <w:r w:rsidR="007F52CA" w:rsidRPr="00A7748B">
        <w:rPr>
          <w:rFonts w:asciiTheme="minorHAnsi" w:hAnsiTheme="minorHAnsi"/>
        </w:rPr>
        <w:t>ț</w:t>
      </w:r>
      <w:r w:rsidRPr="00A7748B">
        <w:rPr>
          <w:rFonts w:asciiTheme="minorHAnsi" w:hAnsiTheme="minorHAnsi"/>
        </w:rPr>
        <w:t>a muncii pentru 82% din popula</w:t>
      </w:r>
      <w:r w:rsidR="007F52CA" w:rsidRPr="00A7748B">
        <w:rPr>
          <w:rFonts w:asciiTheme="minorHAnsi" w:hAnsiTheme="minorHAnsi"/>
        </w:rPr>
        <w:t>ț</w:t>
      </w:r>
      <w:r w:rsidRPr="00A7748B">
        <w:rPr>
          <w:rFonts w:asciiTheme="minorHAnsi" w:hAnsiTheme="minorHAnsi"/>
        </w:rPr>
        <w:t>ia de vârstă 20-34 de ani formată pentru meserii emergente.</w:t>
      </w:r>
    </w:p>
    <w:p w14:paraId="2C050264" w14:textId="3D998BD7" w:rsidR="00670D3A" w:rsidRPr="00A7748B" w:rsidRDefault="00670D3A" w:rsidP="00822BC1">
      <w:pPr>
        <w:spacing w:before="120" w:after="120" w:line="240" w:lineRule="auto"/>
        <w:contextualSpacing/>
        <w:jc w:val="both"/>
        <w:rPr>
          <w:rFonts w:cstheme="minorHAnsi"/>
          <w:color w:val="000000" w:themeColor="text1"/>
          <w:sz w:val="20"/>
          <w:szCs w:val="20"/>
        </w:rPr>
      </w:pPr>
      <w:r w:rsidRPr="00A7748B">
        <w:rPr>
          <w:rFonts w:cstheme="minorHAnsi"/>
          <w:color w:val="000000" w:themeColor="text1"/>
          <w:sz w:val="20"/>
          <w:szCs w:val="20"/>
        </w:rPr>
        <w:t xml:space="preserve">Prin cele două axe prioritare: </w:t>
      </w:r>
      <w:r w:rsidRPr="00A7748B">
        <w:rPr>
          <w:rFonts w:cstheme="minorHAnsi"/>
          <w:i/>
          <w:color w:val="000000" w:themeColor="text1"/>
          <w:sz w:val="20"/>
          <w:szCs w:val="20"/>
        </w:rPr>
        <w:t>axa prioritară I</w:t>
      </w:r>
      <w:r w:rsidRPr="00A7748B">
        <w:rPr>
          <w:rFonts w:cstheme="minorHAnsi"/>
          <w:color w:val="000000" w:themeColor="text1"/>
          <w:sz w:val="20"/>
          <w:szCs w:val="20"/>
        </w:rPr>
        <w:t xml:space="preserve"> - Competen</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e digitale relevante pentru transformarea digitală </w:t>
      </w:r>
      <w:r w:rsidR="007F52CA" w:rsidRPr="00A7748B">
        <w:rPr>
          <w:rFonts w:cstheme="minorHAnsi"/>
          <w:color w:val="000000" w:themeColor="text1"/>
          <w:sz w:val="20"/>
          <w:szCs w:val="20"/>
        </w:rPr>
        <w:t>ș</w:t>
      </w:r>
      <w:r w:rsidRPr="00A7748B">
        <w:rPr>
          <w:rFonts w:cstheme="minorHAnsi"/>
          <w:color w:val="000000" w:themeColor="text1"/>
          <w:sz w:val="20"/>
          <w:szCs w:val="20"/>
        </w:rPr>
        <w:t xml:space="preserve">i </w:t>
      </w:r>
      <w:r w:rsidRPr="00A7748B">
        <w:rPr>
          <w:rFonts w:cstheme="minorHAnsi"/>
          <w:i/>
          <w:color w:val="000000" w:themeColor="text1"/>
          <w:sz w:val="20"/>
          <w:szCs w:val="20"/>
        </w:rPr>
        <w:t>axa prioritară II</w:t>
      </w:r>
      <w:r w:rsidRPr="00A7748B">
        <w:rPr>
          <w:rFonts w:cstheme="minorHAnsi"/>
          <w:color w:val="000000" w:themeColor="text1"/>
          <w:sz w:val="20"/>
          <w:szCs w:val="20"/>
        </w:rPr>
        <w:t xml:space="preserve"> - Ecosistem digital de educa</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ie </w:t>
      </w:r>
      <w:r w:rsidR="007F52CA" w:rsidRPr="00A7748B">
        <w:rPr>
          <w:rFonts w:cstheme="minorHAnsi"/>
          <w:color w:val="000000" w:themeColor="text1"/>
          <w:sz w:val="20"/>
          <w:szCs w:val="20"/>
        </w:rPr>
        <w:t>ș</w:t>
      </w:r>
      <w:r w:rsidRPr="00A7748B">
        <w:rPr>
          <w:rFonts w:cstheme="minorHAnsi"/>
          <w:color w:val="000000" w:themeColor="text1"/>
          <w:sz w:val="20"/>
          <w:szCs w:val="20"/>
        </w:rPr>
        <w:t>i formare, de înaltă performan</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ă, aduc în prim plan transformarea digitală </w:t>
      </w:r>
      <w:r w:rsidR="007F52CA" w:rsidRPr="00A7748B">
        <w:rPr>
          <w:rFonts w:cstheme="minorHAnsi"/>
          <w:color w:val="000000" w:themeColor="text1"/>
          <w:sz w:val="20"/>
          <w:szCs w:val="20"/>
        </w:rPr>
        <w:t>ș</w:t>
      </w:r>
      <w:r w:rsidRPr="00A7748B">
        <w:rPr>
          <w:rFonts w:cstheme="minorHAnsi"/>
          <w:color w:val="000000" w:themeColor="text1"/>
          <w:sz w:val="20"/>
          <w:szCs w:val="20"/>
        </w:rPr>
        <w:t xml:space="preserve">i transformarea verde. </w:t>
      </w:r>
    </w:p>
    <w:p w14:paraId="52A51E19" w14:textId="3E7DDA32" w:rsidR="00670D3A" w:rsidRPr="00A7748B" w:rsidRDefault="00670D3A" w:rsidP="00822BC1">
      <w:pPr>
        <w:spacing w:after="120" w:line="240" w:lineRule="auto"/>
        <w:jc w:val="both"/>
        <w:rPr>
          <w:rFonts w:cstheme="minorHAnsi"/>
          <w:color w:val="000000" w:themeColor="text1"/>
          <w:sz w:val="20"/>
          <w:szCs w:val="20"/>
        </w:rPr>
      </w:pPr>
      <w:r w:rsidRPr="00A7748B">
        <w:rPr>
          <w:rFonts w:cstheme="minorHAnsi"/>
          <w:sz w:val="20"/>
          <w:szCs w:val="20"/>
        </w:rPr>
        <w:t xml:space="preserve">Curriculumul </w:t>
      </w:r>
      <w:r w:rsidR="007F52CA" w:rsidRPr="00A7748B">
        <w:rPr>
          <w:rFonts w:cstheme="minorHAnsi"/>
          <w:sz w:val="20"/>
          <w:szCs w:val="20"/>
        </w:rPr>
        <w:t>ș</w:t>
      </w:r>
      <w:r w:rsidRPr="00A7748B">
        <w:rPr>
          <w:rFonts w:cstheme="minorHAnsi"/>
          <w:sz w:val="20"/>
          <w:szCs w:val="20"/>
        </w:rPr>
        <w:t xml:space="preserve">colar pentru meserii emergente include domenii precum: cercetare-dezvoltare-inovare; economie digitală; transformare digitală </w:t>
      </w:r>
      <w:r w:rsidR="007F52CA" w:rsidRPr="00A7748B">
        <w:rPr>
          <w:rFonts w:cstheme="minorHAnsi"/>
          <w:sz w:val="20"/>
          <w:szCs w:val="20"/>
        </w:rPr>
        <w:t>ș</w:t>
      </w:r>
      <w:r w:rsidRPr="00A7748B">
        <w:rPr>
          <w:rFonts w:cstheme="minorHAnsi"/>
          <w:sz w:val="20"/>
          <w:szCs w:val="20"/>
        </w:rPr>
        <w:t xml:space="preserve">i munca – locurile de muncă; transformarea digitală </w:t>
      </w:r>
      <w:r w:rsidR="007F52CA" w:rsidRPr="00A7748B">
        <w:rPr>
          <w:rFonts w:cstheme="minorHAnsi"/>
          <w:sz w:val="20"/>
          <w:szCs w:val="20"/>
        </w:rPr>
        <w:t>ș</w:t>
      </w:r>
      <w:r w:rsidRPr="00A7748B">
        <w:rPr>
          <w:rFonts w:cstheme="minorHAnsi"/>
          <w:sz w:val="20"/>
          <w:szCs w:val="20"/>
        </w:rPr>
        <w:t>i capitalul uman. O parte importantă în îmbunătă</w:t>
      </w:r>
      <w:r w:rsidR="007F52CA" w:rsidRPr="00A7748B">
        <w:rPr>
          <w:rFonts w:cstheme="minorHAnsi"/>
          <w:sz w:val="20"/>
          <w:szCs w:val="20"/>
        </w:rPr>
        <w:t>ț</w:t>
      </w:r>
      <w:r w:rsidRPr="00A7748B">
        <w:rPr>
          <w:rFonts w:cstheme="minorHAnsi"/>
          <w:sz w:val="20"/>
          <w:szCs w:val="20"/>
        </w:rPr>
        <w:t>irea alfabetizării digitale se referă la educa</w:t>
      </w:r>
      <w:r w:rsidR="007F52CA" w:rsidRPr="00A7748B">
        <w:rPr>
          <w:rFonts w:cstheme="minorHAnsi"/>
          <w:sz w:val="20"/>
          <w:szCs w:val="20"/>
        </w:rPr>
        <w:t>ț</w:t>
      </w:r>
      <w:r w:rsidRPr="00A7748B">
        <w:rPr>
          <w:rFonts w:cstheme="minorHAnsi"/>
          <w:sz w:val="20"/>
          <w:szCs w:val="20"/>
        </w:rPr>
        <w:t>ia digitală pe tot parcursul vie</w:t>
      </w:r>
      <w:r w:rsidR="007F52CA" w:rsidRPr="00A7748B">
        <w:rPr>
          <w:rFonts w:cstheme="minorHAnsi"/>
          <w:sz w:val="20"/>
          <w:szCs w:val="20"/>
        </w:rPr>
        <w:t>ț</w:t>
      </w:r>
      <w:r w:rsidRPr="00A7748B">
        <w:rPr>
          <w:rFonts w:cstheme="minorHAnsi"/>
          <w:sz w:val="20"/>
          <w:szCs w:val="20"/>
        </w:rPr>
        <w:t xml:space="preserve">ii. </w:t>
      </w:r>
      <w:r w:rsidRPr="00A7748B">
        <w:rPr>
          <w:rFonts w:cstheme="minorHAnsi"/>
          <w:i/>
          <w:sz w:val="20"/>
          <w:szCs w:val="20"/>
        </w:rPr>
        <w:t xml:space="preserve">„Digital </w:t>
      </w:r>
      <w:proofErr w:type="spellStart"/>
      <w:r w:rsidRPr="00A7748B">
        <w:rPr>
          <w:rFonts w:cstheme="minorHAnsi"/>
          <w:i/>
          <w:sz w:val="20"/>
          <w:szCs w:val="20"/>
        </w:rPr>
        <w:t>Economy</w:t>
      </w:r>
      <w:proofErr w:type="spellEnd"/>
      <w:r w:rsidRPr="00A7748B">
        <w:rPr>
          <w:rFonts w:cstheme="minorHAnsi"/>
          <w:i/>
          <w:sz w:val="20"/>
          <w:szCs w:val="20"/>
        </w:rPr>
        <w:t xml:space="preserve"> </w:t>
      </w:r>
      <w:proofErr w:type="spellStart"/>
      <w:r w:rsidRPr="00A7748B">
        <w:rPr>
          <w:rFonts w:cstheme="minorHAnsi"/>
          <w:i/>
          <w:sz w:val="20"/>
          <w:szCs w:val="20"/>
        </w:rPr>
        <w:t>and</w:t>
      </w:r>
      <w:proofErr w:type="spellEnd"/>
      <w:r w:rsidRPr="00A7748B">
        <w:rPr>
          <w:rFonts w:cstheme="minorHAnsi"/>
          <w:i/>
          <w:sz w:val="20"/>
          <w:szCs w:val="20"/>
        </w:rPr>
        <w:t xml:space="preserve"> Society Document”</w:t>
      </w:r>
      <w:r w:rsidRPr="00A7748B">
        <w:rPr>
          <w:rFonts w:cstheme="minorHAnsi"/>
          <w:sz w:val="20"/>
          <w:szCs w:val="20"/>
        </w:rPr>
        <w:t xml:space="preserve"> Index Report 2020 - </w:t>
      </w:r>
      <w:proofErr w:type="spellStart"/>
      <w:r w:rsidRPr="00A7748B">
        <w:rPr>
          <w:rFonts w:cstheme="minorHAnsi"/>
          <w:sz w:val="20"/>
          <w:szCs w:val="20"/>
        </w:rPr>
        <w:t>Human</w:t>
      </w:r>
      <w:proofErr w:type="spellEnd"/>
      <w:r w:rsidRPr="00A7748B">
        <w:rPr>
          <w:rFonts w:cstheme="minorHAnsi"/>
          <w:sz w:val="20"/>
          <w:szCs w:val="20"/>
        </w:rPr>
        <w:t xml:space="preserve"> Capital (DESI), prezenta că un numai un procent de 35% dintre români au competen</w:t>
      </w:r>
      <w:r w:rsidR="007F52CA" w:rsidRPr="00A7748B">
        <w:rPr>
          <w:rFonts w:cstheme="minorHAnsi"/>
          <w:sz w:val="20"/>
          <w:szCs w:val="20"/>
        </w:rPr>
        <w:t>ț</w:t>
      </w:r>
      <w:r w:rsidRPr="00A7748B">
        <w:rPr>
          <w:rFonts w:cstheme="minorHAnsi"/>
          <w:sz w:val="20"/>
          <w:szCs w:val="20"/>
        </w:rPr>
        <w:t>e de bază în utilizarea tehnologiilor digitale, fiind pe locul 26, înaintea Bulgariei (31%), media europeană fiind de 61%.</w:t>
      </w:r>
    </w:p>
    <w:p w14:paraId="238093D4" w14:textId="2752BED4" w:rsidR="00670D3A" w:rsidRPr="00A7748B" w:rsidRDefault="00670D3A" w:rsidP="00822BC1">
      <w:pPr>
        <w:spacing w:after="120" w:line="240" w:lineRule="auto"/>
        <w:jc w:val="both"/>
        <w:rPr>
          <w:rFonts w:cstheme="minorHAnsi"/>
          <w:sz w:val="20"/>
          <w:szCs w:val="20"/>
        </w:rPr>
      </w:pPr>
      <w:r w:rsidRPr="00A7748B">
        <w:rPr>
          <w:rFonts w:cstheme="minorHAnsi"/>
          <w:sz w:val="20"/>
          <w:szCs w:val="20"/>
        </w:rPr>
        <w:t>De</w:t>
      </w:r>
      <w:r w:rsidR="007F52CA" w:rsidRPr="00A7748B">
        <w:rPr>
          <w:rFonts w:cstheme="minorHAnsi"/>
          <w:sz w:val="20"/>
          <w:szCs w:val="20"/>
        </w:rPr>
        <w:t>ș</w:t>
      </w:r>
      <w:r w:rsidRPr="00A7748B">
        <w:rPr>
          <w:rFonts w:cstheme="minorHAnsi"/>
          <w:sz w:val="20"/>
          <w:szCs w:val="20"/>
        </w:rPr>
        <w:t xml:space="preserve">i au fost emise </w:t>
      </w:r>
      <w:r w:rsidR="007F52CA" w:rsidRPr="00A7748B">
        <w:rPr>
          <w:rFonts w:cstheme="minorHAnsi"/>
          <w:sz w:val="20"/>
          <w:szCs w:val="20"/>
        </w:rPr>
        <w:t>ș</w:t>
      </w:r>
      <w:r w:rsidRPr="00A7748B">
        <w:rPr>
          <w:rFonts w:cstheme="minorHAnsi"/>
          <w:sz w:val="20"/>
          <w:szCs w:val="20"/>
        </w:rPr>
        <w:t>i elaborate mai multe rapoarte în ceea ce prive</w:t>
      </w:r>
      <w:r w:rsidR="007F52CA" w:rsidRPr="00A7748B">
        <w:rPr>
          <w:rFonts w:cstheme="minorHAnsi"/>
          <w:sz w:val="20"/>
          <w:szCs w:val="20"/>
        </w:rPr>
        <w:t>ș</w:t>
      </w:r>
      <w:r w:rsidRPr="00A7748B">
        <w:rPr>
          <w:rFonts w:cstheme="minorHAnsi"/>
          <w:sz w:val="20"/>
          <w:szCs w:val="20"/>
        </w:rPr>
        <w:t xml:space="preserve">te abordarea </w:t>
      </w:r>
      <w:r w:rsidR="007F52CA" w:rsidRPr="00A7748B">
        <w:rPr>
          <w:rFonts w:cstheme="minorHAnsi"/>
          <w:sz w:val="20"/>
          <w:szCs w:val="20"/>
        </w:rPr>
        <w:t>ș</w:t>
      </w:r>
      <w:r w:rsidRPr="00A7748B">
        <w:rPr>
          <w:rFonts w:cstheme="minorHAnsi"/>
          <w:sz w:val="20"/>
          <w:szCs w:val="20"/>
        </w:rPr>
        <w:t>i aprobarea cadrului digital încă există lacune în ceea ce prive</w:t>
      </w:r>
      <w:r w:rsidR="007F52CA" w:rsidRPr="00A7748B">
        <w:rPr>
          <w:rFonts w:cstheme="minorHAnsi"/>
          <w:sz w:val="20"/>
          <w:szCs w:val="20"/>
        </w:rPr>
        <w:t>ș</w:t>
      </w:r>
      <w:r w:rsidRPr="00A7748B">
        <w:rPr>
          <w:rFonts w:cstheme="minorHAnsi"/>
          <w:sz w:val="20"/>
          <w:szCs w:val="20"/>
        </w:rPr>
        <w:t xml:space="preserve">te abordarea eficientă a acestor măsuri. </w:t>
      </w:r>
    </w:p>
    <w:p w14:paraId="103DD7AB" w14:textId="542021E9" w:rsidR="00670D3A" w:rsidRPr="00A7748B" w:rsidRDefault="00670D3A" w:rsidP="00822BC1">
      <w:pPr>
        <w:spacing w:after="120" w:line="240" w:lineRule="auto"/>
        <w:jc w:val="both"/>
        <w:rPr>
          <w:rFonts w:cstheme="minorHAnsi"/>
          <w:sz w:val="20"/>
          <w:szCs w:val="20"/>
        </w:rPr>
      </w:pPr>
      <w:r w:rsidRPr="00A7748B">
        <w:rPr>
          <w:rFonts w:cstheme="minorHAnsi"/>
          <w:sz w:val="20"/>
          <w:szCs w:val="20"/>
        </w:rPr>
        <w:t>La nivel na</w:t>
      </w:r>
      <w:r w:rsidR="007F52CA" w:rsidRPr="00A7748B">
        <w:rPr>
          <w:rFonts w:cstheme="minorHAnsi"/>
          <w:sz w:val="20"/>
          <w:szCs w:val="20"/>
        </w:rPr>
        <w:t>ț</w:t>
      </w:r>
      <w:r w:rsidRPr="00A7748B">
        <w:rPr>
          <w:rFonts w:cstheme="minorHAnsi"/>
          <w:sz w:val="20"/>
          <w:szCs w:val="20"/>
        </w:rPr>
        <w:t xml:space="preserve">ional, aceste lacune pot fi observate în procent semnificativ mai mare decât la nivel european. În anul 2019, conform </w:t>
      </w:r>
      <w:proofErr w:type="spellStart"/>
      <w:r w:rsidRPr="00A7748B">
        <w:rPr>
          <w:rFonts w:cstheme="minorHAnsi"/>
          <w:sz w:val="20"/>
          <w:szCs w:val="20"/>
        </w:rPr>
        <w:t>Eurostat</w:t>
      </w:r>
      <w:proofErr w:type="spellEnd"/>
      <w:r w:rsidRPr="00A7748B">
        <w:rPr>
          <w:rFonts w:cstheme="minorHAnsi"/>
          <w:sz w:val="20"/>
          <w:szCs w:val="20"/>
        </w:rPr>
        <w:t>, România se afla pe primul loc în Uniunea Europeană în ceea ce prive</w:t>
      </w:r>
      <w:r w:rsidR="007F52CA" w:rsidRPr="00A7748B">
        <w:rPr>
          <w:rFonts w:cstheme="minorHAnsi"/>
          <w:sz w:val="20"/>
          <w:szCs w:val="20"/>
        </w:rPr>
        <w:t>ș</w:t>
      </w:r>
      <w:r w:rsidRPr="00A7748B">
        <w:rPr>
          <w:rFonts w:cstheme="minorHAnsi"/>
          <w:sz w:val="20"/>
          <w:szCs w:val="20"/>
        </w:rPr>
        <w:t>te lipsa competen</w:t>
      </w:r>
      <w:r w:rsidR="007F52CA" w:rsidRPr="00A7748B">
        <w:rPr>
          <w:rFonts w:cstheme="minorHAnsi"/>
          <w:sz w:val="20"/>
          <w:szCs w:val="20"/>
        </w:rPr>
        <w:t>ț</w:t>
      </w:r>
      <w:r w:rsidRPr="00A7748B">
        <w:rPr>
          <w:rFonts w:cstheme="minorHAnsi"/>
          <w:sz w:val="20"/>
          <w:szCs w:val="20"/>
        </w:rPr>
        <w:t>elor, un procent de 43% dintre românii cu vârste între 16-74 de ani aveau competen</w:t>
      </w:r>
      <w:r w:rsidR="007F52CA" w:rsidRPr="00A7748B">
        <w:rPr>
          <w:rFonts w:cstheme="minorHAnsi"/>
          <w:sz w:val="20"/>
          <w:szCs w:val="20"/>
        </w:rPr>
        <w:t>ț</w:t>
      </w:r>
      <w:r w:rsidRPr="00A7748B">
        <w:rPr>
          <w:rFonts w:cstheme="minorHAnsi"/>
          <w:sz w:val="20"/>
          <w:szCs w:val="20"/>
        </w:rPr>
        <w:t>e digitale reduse, Bulgaria situându-se pe locul al doilea cu un procent de 38%. Clasamentul se men</w:t>
      </w:r>
      <w:r w:rsidR="007F52CA" w:rsidRPr="00A7748B">
        <w:rPr>
          <w:rFonts w:cstheme="minorHAnsi"/>
          <w:sz w:val="20"/>
          <w:szCs w:val="20"/>
        </w:rPr>
        <w:t>ț</w:t>
      </w:r>
      <w:r w:rsidRPr="00A7748B">
        <w:rPr>
          <w:rFonts w:cstheme="minorHAnsi"/>
          <w:sz w:val="20"/>
          <w:szCs w:val="20"/>
        </w:rPr>
        <w:t xml:space="preserve">inea </w:t>
      </w:r>
      <w:r w:rsidR="007F52CA" w:rsidRPr="00A7748B">
        <w:rPr>
          <w:rFonts w:cstheme="minorHAnsi"/>
          <w:sz w:val="20"/>
          <w:szCs w:val="20"/>
        </w:rPr>
        <w:t>ș</w:t>
      </w:r>
      <w:r w:rsidRPr="00A7748B">
        <w:rPr>
          <w:rFonts w:cstheme="minorHAnsi"/>
          <w:sz w:val="20"/>
          <w:szCs w:val="20"/>
        </w:rPr>
        <w:t>i în ceea ce prive</w:t>
      </w:r>
      <w:r w:rsidR="007F52CA" w:rsidRPr="00A7748B">
        <w:rPr>
          <w:rFonts w:cstheme="minorHAnsi"/>
          <w:sz w:val="20"/>
          <w:szCs w:val="20"/>
        </w:rPr>
        <w:t>ș</w:t>
      </w:r>
      <w:r w:rsidRPr="00A7748B">
        <w:rPr>
          <w:rFonts w:cstheme="minorHAnsi"/>
          <w:sz w:val="20"/>
          <w:szCs w:val="20"/>
        </w:rPr>
        <w:t>te de</w:t>
      </w:r>
      <w:r w:rsidR="007F52CA" w:rsidRPr="00A7748B">
        <w:rPr>
          <w:rFonts w:cstheme="minorHAnsi"/>
          <w:sz w:val="20"/>
          <w:szCs w:val="20"/>
        </w:rPr>
        <w:t>ț</w:t>
      </w:r>
      <w:r w:rsidRPr="00A7748B">
        <w:rPr>
          <w:rFonts w:cstheme="minorHAnsi"/>
          <w:sz w:val="20"/>
          <w:szCs w:val="20"/>
        </w:rPr>
        <w:t>inerea abilită</w:t>
      </w:r>
      <w:r w:rsidR="007F52CA" w:rsidRPr="00A7748B">
        <w:rPr>
          <w:rFonts w:cstheme="minorHAnsi"/>
          <w:sz w:val="20"/>
          <w:szCs w:val="20"/>
        </w:rPr>
        <w:t>ț</w:t>
      </w:r>
      <w:r w:rsidRPr="00A7748B">
        <w:rPr>
          <w:rFonts w:cstheme="minorHAnsi"/>
          <w:sz w:val="20"/>
          <w:szCs w:val="20"/>
        </w:rPr>
        <w:t>ilor digitale superioare, doar 10% din popula</w:t>
      </w:r>
      <w:r w:rsidR="007F52CA" w:rsidRPr="00A7748B">
        <w:rPr>
          <w:rFonts w:cstheme="minorHAnsi"/>
          <w:sz w:val="20"/>
          <w:szCs w:val="20"/>
        </w:rPr>
        <w:t>ț</w:t>
      </w:r>
      <w:r w:rsidRPr="00A7748B">
        <w:rPr>
          <w:rFonts w:cstheme="minorHAnsi"/>
          <w:sz w:val="20"/>
          <w:szCs w:val="20"/>
        </w:rPr>
        <w:t>ie de</w:t>
      </w:r>
      <w:r w:rsidR="007F52CA" w:rsidRPr="00A7748B">
        <w:rPr>
          <w:rFonts w:cstheme="minorHAnsi"/>
          <w:sz w:val="20"/>
          <w:szCs w:val="20"/>
        </w:rPr>
        <w:t>ț</w:t>
      </w:r>
      <w:r w:rsidRPr="00A7748B">
        <w:rPr>
          <w:rFonts w:cstheme="minorHAnsi"/>
          <w:sz w:val="20"/>
          <w:szCs w:val="20"/>
        </w:rPr>
        <w:t>inând astfel de competen</w:t>
      </w:r>
      <w:r w:rsidR="007F52CA" w:rsidRPr="00A7748B">
        <w:rPr>
          <w:rFonts w:cstheme="minorHAnsi"/>
          <w:sz w:val="20"/>
          <w:szCs w:val="20"/>
        </w:rPr>
        <w:t>ț</w:t>
      </w:r>
      <w:r w:rsidRPr="00A7748B">
        <w:rPr>
          <w:rFonts w:cstheme="minorHAnsi"/>
          <w:sz w:val="20"/>
          <w:szCs w:val="20"/>
        </w:rPr>
        <w:t xml:space="preserve">e. La nivel europeană, datele </w:t>
      </w:r>
      <w:proofErr w:type="spellStart"/>
      <w:r w:rsidRPr="00A7748B">
        <w:rPr>
          <w:rFonts w:cstheme="minorHAnsi"/>
          <w:sz w:val="20"/>
          <w:szCs w:val="20"/>
        </w:rPr>
        <w:t>Eurostat</w:t>
      </w:r>
      <w:proofErr w:type="spellEnd"/>
      <w:r w:rsidRPr="00A7748B">
        <w:rPr>
          <w:rFonts w:cstheme="minorHAnsi"/>
          <w:sz w:val="20"/>
          <w:szCs w:val="20"/>
        </w:rPr>
        <w:t xml:space="preserve">, în 2019 arătau că patru din cinci tineri (80%) cu vârste cuprinse între 16 </w:t>
      </w:r>
      <w:r w:rsidR="007F52CA" w:rsidRPr="00A7748B">
        <w:rPr>
          <w:rFonts w:cstheme="minorHAnsi"/>
          <w:sz w:val="20"/>
          <w:szCs w:val="20"/>
        </w:rPr>
        <w:t>ș</w:t>
      </w:r>
      <w:r w:rsidRPr="00A7748B">
        <w:rPr>
          <w:rFonts w:cstheme="minorHAnsi"/>
          <w:sz w:val="20"/>
          <w:szCs w:val="20"/>
        </w:rPr>
        <w:t>i 24 de ani în Uniunea Europeană (UE) aveau abilită</w:t>
      </w:r>
      <w:r w:rsidR="007F52CA" w:rsidRPr="00A7748B">
        <w:rPr>
          <w:rFonts w:cstheme="minorHAnsi"/>
          <w:sz w:val="20"/>
          <w:szCs w:val="20"/>
        </w:rPr>
        <w:t>ț</w:t>
      </w:r>
      <w:r w:rsidRPr="00A7748B">
        <w:rPr>
          <w:rFonts w:cstheme="minorHAnsi"/>
          <w:sz w:val="20"/>
          <w:szCs w:val="20"/>
        </w:rPr>
        <w:t>i digitale de bază sau peste acestea. În compara</w:t>
      </w:r>
      <w:r w:rsidR="007F52CA" w:rsidRPr="00A7748B">
        <w:rPr>
          <w:rFonts w:cstheme="minorHAnsi"/>
          <w:sz w:val="20"/>
          <w:szCs w:val="20"/>
        </w:rPr>
        <w:t>ț</w:t>
      </w:r>
      <w:r w:rsidRPr="00A7748B">
        <w:rPr>
          <w:rFonts w:cstheme="minorHAnsi"/>
          <w:sz w:val="20"/>
          <w:szCs w:val="20"/>
        </w:rPr>
        <w:t>ie cu datele de la nivel europeană, doar 56% dintre tinerii din România aveau competen</w:t>
      </w:r>
      <w:r w:rsidR="007F52CA" w:rsidRPr="00A7748B">
        <w:rPr>
          <w:rFonts w:cstheme="minorHAnsi"/>
          <w:sz w:val="20"/>
          <w:szCs w:val="20"/>
        </w:rPr>
        <w:t>ț</w:t>
      </w:r>
      <w:r w:rsidRPr="00A7748B">
        <w:rPr>
          <w:rFonts w:cstheme="minorHAnsi"/>
          <w:sz w:val="20"/>
          <w:szCs w:val="20"/>
        </w:rPr>
        <w:t>e digitale de bază sau peste nivelul de bază</w:t>
      </w:r>
      <w:r w:rsidR="0083445C" w:rsidRPr="00A7748B">
        <w:rPr>
          <w:rFonts w:cstheme="minorHAnsi"/>
          <w:sz w:val="20"/>
          <w:szCs w:val="20"/>
        </w:rPr>
        <w:t xml:space="preserve"> (</w:t>
      </w:r>
      <w:proofErr w:type="spellStart"/>
      <w:r w:rsidR="0083445C" w:rsidRPr="00A7748B">
        <w:rPr>
          <w:rFonts w:cstheme="minorHAnsi"/>
          <w:sz w:val="20"/>
          <w:szCs w:val="20"/>
        </w:rPr>
        <w:t>Eurostat</w:t>
      </w:r>
      <w:proofErr w:type="spellEnd"/>
      <w:r w:rsidR="0083445C" w:rsidRPr="00A7748B">
        <w:rPr>
          <w:rFonts w:cstheme="minorHAnsi"/>
          <w:sz w:val="20"/>
          <w:szCs w:val="20"/>
        </w:rPr>
        <w:t>, 2019)</w:t>
      </w:r>
      <w:r w:rsidRPr="00A7748B">
        <w:rPr>
          <w:rFonts w:cstheme="minorHAnsi"/>
          <w:sz w:val="20"/>
          <w:szCs w:val="20"/>
        </w:rPr>
        <w:t xml:space="preserve">. Conform raportului </w:t>
      </w:r>
      <w:proofErr w:type="spellStart"/>
      <w:r w:rsidRPr="00A7748B">
        <w:rPr>
          <w:rFonts w:cstheme="minorHAnsi"/>
          <w:sz w:val="20"/>
          <w:szCs w:val="20"/>
        </w:rPr>
        <w:t>Eurostat</w:t>
      </w:r>
      <w:proofErr w:type="spellEnd"/>
      <w:r w:rsidRPr="00A7748B">
        <w:rPr>
          <w:rFonts w:cstheme="minorHAnsi"/>
          <w:sz w:val="20"/>
          <w:szCs w:val="20"/>
        </w:rPr>
        <w:t xml:space="preserve"> din anul 2019, procentul persoanelor care nu au utilizat internetul în ultimele 3 luni era de 26%,  în scădere fa</w:t>
      </w:r>
      <w:r w:rsidR="007F52CA" w:rsidRPr="00A7748B">
        <w:rPr>
          <w:rFonts w:cstheme="minorHAnsi"/>
          <w:sz w:val="20"/>
          <w:szCs w:val="20"/>
        </w:rPr>
        <w:t>ț</w:t>
      </w:r>
      <w:r w:rsidRPr="00A7748B">
        <w:rPr>
          <w:rFonts w:cstheme="minorHAnsi"/>
          <w:sz w:val="20"/>
          <w:szCs w:val="20"/>
        </w:rPr>
        <w:t>ă de anul 2015 când era 44%. În ceea ce prive</w:t>
      </w:r>
      <w:r w:rsidR="007F52CA" w:rsidRPr="00A7748B">
        <w:rPr>
          <w:rFonts w:cstheme="minorHAnsi"/>
          <w:sz w:val="20"/>
          <w:szCs w:val="20"/>
        </w:rPr>
        <w:t>ș</w:t>
      </w:r>
      <w:r w:rsidRPr="00A7748B">
        <w:rPr>
          <w:rFonts w:cstheme="minorHAnsi"/>
          <w:sz w:val="20"/>
          <w:szCs w:val="20"/>
        </w:rPr>
        <w:t xml:space="preserve">te procentul persoanelor care nu au utilizat internetul,  România se află pe locul doi cu un procent de 32%. </w:t>
      </w:r>
      <w:r w:rsidRPr="00A7748B">
        <w:rPr>
          <w:rFonts w:cstheme="minorHAnsi"/>
          <w:color w:val="000000" w:themeColor="text1"/>
          <w:sz w:val="20"/>
          <w:szCs w:val="20"/>
        </w:rPr>
        <w:t xml:space="preserve">Indicele economiei </w:t>
      </w:r>
      <w:r w:rsidR="007F52CA" w:rsidRPr="00A7748B">
        <w:rPr>
          <w:rFonts w:cstheme="minorHAnsi"/>
          <w:color w:val="000000" w:themeColor="text1"/>
          <w:sz w:val="20"/>
          <w:szCs w:val="20"/>
        </w:rPr>
        <w:t>ș</w:t>
      </w:r>
      <w:r w:rsidRPr="00A7748B">
        <w:rPr>
          <w:rFonts w:cstheme="minorHAnsi"/>
          <w:color w:val="000000" w:themeColor="text1"/>
          <w:sz w:val="20"/>
          <w:szCs w:val="20"/>
        </w:rPr>
        <w:t>i societă</w:t>
      </w:r>
      <w:r w:rsidR="007F52CA" w:rsidRPr="00A7748B">
        <w:rPr>
          <w:rFonts w:cstheme="minorHAnsi"/>
          <w:color w:val="000000" w:themeColor="text1"/>
          <w:sz w:val="20"/>
          <w:szCs w:val="20"/>
        </w:rPr>
        <w:t>ț</w:t>
      </w:r>
      <w:r w:rsidRPr="00A7748B">
        <w:rPr>
          <w:rFonts w:cstheme="minorHAnsi"/>
          <w:color w:val="000000" w:themeColor="text1"/>
          <w:sz w:val="20"/>
          <w:szCs w:val="20"/>
        </w:rPr>
        <w:t>ii digitale (DESI) pentru 2020 a clasat România pe locul 26 din cele 28 de state membre ale UE, cu toate că la nivel na</w:t>
      </w:r>
      <w:r w:rsidR="007F52CA" w:rsidRPr="00A7748B">
        <w:rPr>
          <w:rFonts w:cstheme="minorHAnsi"/>
          <w:color w:val="000000" w:themeColor="text1"/>
          <w:sz w:val="20"/>
          <w:szCs w:val="20"/>
        </w:rPr>
        <w:t>ț</w:t>
      </w:r>
      <w:r w:rsidRPr="00A7748B">
        <w:rPr>
          <w:rFonts w:cstheme="minorHAnsi"/>
          <w:color w:val="000000" w:themeColor="text1"/>
          <w:sz w:val="20"/>
          <w:szCs w:val="20"/>
        </w:rPr>
        <w:t>ional se înregistrează rezultate bune în ceea ce prive</w:t>
      </w:r>
      <w:r w:rsidR="007F52CA" w:rsidRPr="00A7748B">
        <w:rPr>
          <w:rFonts w:cstheme="minorHAnsi"/>
          <w:color w:val="000000" w:themeColor="text1"/>
          <w:sz w:val="20"/>
          <w:szCs w:val="20"/>
        </w:rPr>
        <w:t>ș</w:t>
      </w:r>
      <w:r w:rsidRPr="00A7748B">
        <w:rPr>
          <w:rFonts w:cstheme="minorHAnsi"/>
          <w:color w:val="000000" w:themeColor="text1"/>
          <w:sz w:val="20"/>
          <w:szCs w:val="20"/>
        </w:rPr>
        <w:t>te conectivitatea, în special în mediul urban. România a înregistrat o performan</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ă slabă în patru din cele </w:t>
      </w:r>
      <w:r w:rsidRPr="00A7748B">
        <w:rPr>
          <w:rFonts w:cstheme="minorHAnsi"/>
          <w:sz w:val="20"/>
          <w:szCs w:val="20"/>
        </w:rPr>
        <w:t>cinci dimensiuni DESI măsurate, în ceea ce prive</w:t>
      </w:r>
      <w:r w:rsidR="007F52CA" w:rsidRPr="00A7748B">
        <w:rPr>
          <w:rFonts w:cstheme="minorHAnsi"/>
          <w:sz w:val="20"/>
          <w:szCs w:val="20"/>
        </w:rPr>
        <w:t>ș</w:t>
      </w:r>
      <w:r w:rsidRPr="00A7748B">
        <w:rPr>
          <w:rFonts w:cstheme="minorHAnsi"/>
          <w:sz w:val="20"/>
          <w:szCs w:val="20"/>
        </w:rPr>
        <w:t xml:space="preserve">te digitalizarea întreprinderilor, serviciile publice digitale </w:t>
      </w:r>
      <w:r w:rsidR="007F52CA" w:rsidRPr="00A7748B">
        <w:rPr>
          <w:rFonts w:cstheme="minorHAnsi"/>
          <w:sz w:val="20"/>
          <w:szCs w:val="20"/>
        </w:rPr>
        <w:t>ș</w:t>
      </w:r>
      <w:r w:rsidRPr="00A7748B">
        <w:rPr>
          <w:rFonts w:cstheme="minorHAnsi"/>
          <w:sz w:val="20"/>
          <w:szCs w:val="20"/>
        </w:rPr>
        <w:t>i competen</w:t>
      </w:r>
      <w:r w:rsidR="007F52CA" w:rsidRPr="00A7748B">
        <w:rPr>
          <w:rFonts w:cstheme="minorHAnsi"/>
          <w:sz w:val="20"/>
          <w:szCs w:val="20"/>
        </w:rPr>
        <w:t>ț</w:t>
      </w:r>
      <w:r w:rsidRPr="00A7748B">
        <w:rPr>
          <w:rFonts w:cstheme="minorHAnsi"/>
          <w:sz w:val="20"/>
          <w:szCs w:val="20"/>
        </w:rPr>
        <w:t>ele digitale. În acela</w:t>
      </w:r>
      <w:r w:rsidR="007F52CA" w:rsidRPr="00A7748B">
        <w:rPr>
          <w:rFonts w:cstheme="minorHAnsi"/>
          <w:sz w:val="20"/>
          <w:szCs w:val="20"/>
        </w:rPr>
        <w:t>ș</w:t>
      </w:r>
      <w:r w:rsidRPr="00A7748B">
        <w:rPr>
          <w:rFonts w:cstheme="minorHAnsi"/>
          <w:sz w:val="20"/>
          <w:szCs w:val="20"/>
        </w:rPr>
        <w:t>i sens, datele oferite de DESI arătau că România ocupă penultima pozi</w:t>
      </w:r>
      <w:r w:rsidR="007F52CA" w:rsidRPr="00A7748B">
        <w:rPr>
          <w:rFonts w:cstheme="minorHAnsi"/>
          <w:sz w:val="20"/>
          <w:szCs w:val="20"/>
        </w:rPr>
        <w:t>ț</w:t>
      </w:r>
      <w:r w:rsidRPr="00A7748B">
        <w:rPr>
          <w:rFonts w:cstheme="minorHAnsi"/>
          <w:sz w:val="20"/>
          <w:szCs w:val="20"/>
        </w:rPr>
        <w:t>ie dintre Statele Europene la utilizarea regulată a Internetului, numai 28% din popula</w:t>
      </w:r>
      <w:r w:rsidR="007F52CA" w:rsidRPr="00A7748B">
        <w:rPr>
          <w:rFonts w:cstheme="minorHAnsi"/>
          <w:sz w:val="20"/>
          <w:szCs w:val="20"/>
        </w:rPr>
        <w:t>ț</w:t>
      </w:r>
      <w:r w:rsidRPr="00A7748B">
        <w:rPr>
          <w:rFonts w:cstheme="minorHAnsi"/>
          <w:sz w:val="20"/>
          <w:szCs w:val="20"/>
        </w:rPr>
        <w:t>ie folosind Internetul cel pu</w:t>
      </w:r>
      <w:r w:rsidR="007F52CA" w:rsidRPr="00A7748B">
        <w:rPr>
          <w:rFonts w:cstheme="minorHAnsi"/>
          <w:sz w:val="20"/>
          <w:szCs w:val="20"/>
        </w:rPr>
        <w:t>ț</w:t>
      </w:r>
      <w:r w:rsidRPr="00A7748B">
        <w:rPr>
          <w:rFonts w:cstheme="minorHAnsi"/>
          <w:sz w:val="20"/>
          <w:szCs w:val="20"/>
        </w:rPr>
        <w:t>in o dată pe săptămână, fa</w:t>
      </w:r>
      <w:r w:rsidR="007F52CA" w:rsidRPr="00A7748B">
        <w:rPr>
          <w:rFonts w:cstheme="minorHAnsi"/>
          <w:sz w:val="20"/>
          <w:szCs w:val="20"/>
        </w:rPr>
        <w:t>ț</w:t>
      </w:r>
      <w:r w:rsidRPr="00A7748B">
        <w:rPr>
          <w:rFonts w:cstheme="minorHAnsi"/>
          <w:sz w:val="20"/>
          <w:szCs w:val="20"/>
        </w:rPr>
        <w:t>ă de media europeană de peste 80%. Un procent de 17% din popula</w:t>
      </w:r>
      <w:r w:rsidR="007F52CA" w:rsidRPr="00A7748B">
        <w:rPr>
          <w:rFonts w:cstheme="minorHAnsi"/>
          <w:sz w:val="20"/>
          <w:szCs w:val="20"/>
        </w:rPr>
        <w:t>ț</w:t>
      </w:r>
      <w:r w:rsidRPr="00A7748B">
        <w:rPr>
          <w:rFonts w:cstheme="minorHAnsi"/>
          <w:sz w:val="20"/>
          <w:szCs w:val="20"/>
        </w:rPr>
        <w:t>ie nu au utilizat niciodată Internetul, România plasându-se pe locul al cincilea, la 8 procente fa</w:t>
      </w:r>
      <w:r w:rsidR="007F52CA" w:rsidRPr="00A7748B">
        <w:rPr>
          <w:rFonts w:cstheme="minorHAnsi"/>
          <w:sz w:val="20"/>
          <w:szCs w:val="20"/>
        </w:rPr>
        <w:t>ț</w:t>
      </w:r>
      <w:r w:rsidRPr="00A7748B">
        <w:rPr>
          <w:rFonts w:cstheme="minorHAnsi"/>
          <w:sz w:val="20"/>
          <w:szCs w:val="20"/>
        </w:rPr>
        <w:t xml:space="preserve">ă de media UE de 9% </w:t>
      </w:r>
      <w:r w:rsidR="007F52CA" w:rsidRPr="00A7748B">
        <w:rPr>
          <w:rFonts w:cstheme="minorHAnsi"/>
          <w:sz w:val="20"/>
          <w:szCs w:val="20"/>
        </w:rPr>
        <w:t>ș</w:t>
      </w:r>
      <w:r w:rsidRPr="00A7748B">
        <w:rPr>
          <w:rFonts w:cstheme="minorHAnsi"/>
          <w:sz w:val="20"/>
          <w:szCs w:val="20"/>
        </w:rPr>
        <w:t xml:space="preserve">i la 15 procente de Danemarca </w:t>
      </w:r>
      <w:r w:rsidR="007F52CA" w:rsidRPr="00A7748B">
        <w:rPr>
          <w:rFonts w:cstheme="minorHAnsi"/>
          <w:sz w:val="20"/>
          <w:szCs w:val="20"/>
        </w:rPr>
        <w:t>ș</w:t>
      </w:r>
      <w:r w:rsidRPr="00A7748B">
        <w:rPr>
          <w:rFonts w:cstheme="minorHAnsi"/>
          <w:sz w:val="20"/>
          <w:szCs w:val="20"/>
        </w:rPr>
        <w:t xml:space="preserve">i Suedia Danemarca, Suedia, Olanda (cu peste 95%) . România se află pe ultimul loc în UE la capitolul servicii publice digitale, fiind singura </w:t>
      </w:r>
      <w:r w:rsidR="007F52CA" w:rsidRPr="00A7748B">
        <w:rPr>
          <w:rFonts w:cstheme="minorHAnsi"/>
          <w:sz w:val="20"/>
          <w:szCs w:val="20"/>
        </w:rPr>
        <w:t>ț</w:t>
      </w:r>
      <w:r w:rsidRPr="00A7748B">
        <w:rPr>
          <w:rFonts w:cstheme="minorHAnsi"/>
          <w:sz w:val="20"/>
          <w:szCs w:val="20"/>
        </w:rPr>
        <w:t>ară cu un scor de sub 50%, fa</w:t>
      </w:r>
      <w:r w:rsidR="007F52CA" w:rsidRPr="00A7748B">
        <w:rPr>
          <w:rFonts w:cstheme="minorHAnsi"/>
          <w:sz w:val="20"/>
          <w:szCs w:val="20"/>
        </w:rPr>
        <w:t>ț</w:t>
      </w:r>
      <w:r w:rsidRPr="00A7748B">
        <w:rPr>
          <w:rFonts w:cstheme="minorHAnsi"/>
          <w:sz w:val="20"/>
          <w:szCs w:val="20"/>
        </w:rPr>
        <w:t xml:space="preserve">ă de media UE de peste 70% </w:t>
      </w:r>
      <w:r w:rsidR="007F52CA" w:rsidRPr="00A7748B">
        <w:rPr>
          <w:rFonts w:cstheme="minorHAnsi"/>
          <w:sz w:val="20"/>
          <w:szCs w:val="20"/>
        </w:rPr>
        <w:t>ș</w:t>
      </w:r>
      <w:r w:rsidRPr="00A7748B">
        <w:rPr>
          <w:rFonts w:cstheme="minorHAnsi"/>
          <w:sz w:val="20"/>
          <w:szCs w:val="20"/>
        </w:rPr>
        <w:t>i aproape 90% în Estonia. În rela</w:t>
      </w:r>
      <w:r w:rsidR="007F52CA" w:rsidRPr="00A7748B">
        <w:rPr>
          <w:rFonts w:cstheme="minorHAnsi"/>
          <w:sz w:val="20"/>
          <w:szCs w:val="20"/>
        </w:rPr>
        <w:t>ț</w:t>
      </w:r>
      <w:r w:rsidRPr="00A7748B">
        <w:rPr>
          <w:rFonts w:cstheme="minorHAnsi"/>
          <w:sz w:val="20"/>
          <w:szCs w:val="20"/>
        </w:rPr>
        <w:t xml:space="preserve">ie cu sectorul de afaceri, gradul în care serviciile publice pentru întreprinderi sunt interoperabile </w:t>
      </w:r>
      <w:r w:rsidR="007F52CA" w:rsidRPr="00A7748B">
        <w:rPr>
          <w:rFonts w:cstheme="minorHAnsi"/>
          <w:sz w:val="20"/>
          <w:szCs w:val="20"/>
        </w:rPr>
        <w:t>ș</w:t>
      </w:r>
      <w:r w:rsidRPr="00A7748B">
        <w:rPr>
          <w:rFonts w:cstheme="minorHAnsi"/>
          <w:sz w:val="20"/>
          <w:szCs w:val="20"/>
        </w:rPr>
        <w:t>i func</w:t>
      </w:r>
      <w:r w:rsidR="007F52CA" w:rsidRPr="00A7748B">
        <w:rPr>
          <w:rFonts w:cstheme="minorHAnsi"/>
          <w:sz w:val="20"/>
          <w:szCs w:val="20"/>
        </w:rPr>
        <w:t>ț</w:t>
      </w:r>
      <w:r w:rsidRPr="00A7748B">
        <w:rPr>
          <w:rFonts w:cstheme="minorHAnsi"/>
          <w:sz w:val="20"/>
          <w:szCs w:val="20"/>
        </w:rPr>
        <w:t>ionează transfrontalier este de sub 70% în România (ultima din UE), fa</w:t>
      </w:r>
      <w:r w:rsidR="007F52CA" w:rsidRPr="00A7748B">
        <w:rPr>
          <w:rFonts w:cstheme="minorHAnsi"/>
          <w:sz w:val="20"/>
          <w:szCs w:val="20"/>
        </w:rPr>
        <w:t>ț</w:t>
      </w:r>
      <w:r w:rsidRPr="00A7748B">
        <w:rPr>
          <w:rFonts w:cstheme="minorHAnsi"/>
          <w:sz w:val="20"/>
          <w:szCs w:val="20"/>
        </w:rPr>
        <w:t xml:space="preserve">ă de media europeană de peste 80% </w:t>
      </w:r>
      <w:r w:rsidR="007F52CA" w:rsidRPr="00A7748B">
        <w:rPr>
          <w:rFonts w:cstheme="minorHAnsi"/>
          <w:sz w:val="20"/>
          <w:szCs w:val="20"/>
        </w:rPr>
        <w:t>ș</w:t>
      </w:r>
      <w:r w:rsidRPr="00A7748B">
        <w:rPr>
          <w:rFonts w:cstheme="minorHAnsi"/>
          <w:sz w:val="20"/>
          <w:szCs w:val="20"/>
        </w:rPr>
        <w:t xml:space="preserve">i de 100% din Danemarca </w:t>
      </w:r>
      <w:r w:rsidR="007F52CA" w:rsidRPr="00A7748B">
        <w:rPr>
          <w:rFonts w:cstheme="minorHAnsi"/>
          <w:sz w:val="20"/>
          <w:szCs w:val="20"/>
        </w:rPr>
        <w:t>ș</w:t>
      </w:r>
      <w:r w:rsidRPr="00A7748B">
        <w:rPr>
          <w:rFonts w:cstheme="minorHAnsi"/>
          <w:sz w:val="20"/>
          <w:szCs w:val="20"/>
        </w:rPr>
        <w:t xml:space="preserve">i Estonia. </w:t>
      </w:r>
    </w:p>
    <w:p w14:paraId="2F877EC8" w14:textId="2780A429" w:rsidR="00670D3A" w:rsidRPr="00A7748B" w:rsidRDefault="00670D3A" w:rsidP="00822BC1">
      <w:pPr>
        <w:spacing w:after="120" w:line="240" w:lineRule="auto"/>
        <w:jc w:val="both"/>
        <w:rPr>
          <w:rFonts w:cstheme="minorHAnsi"/>
          <w:sz w:val="20"/>
          <w:szCs w:val="20"/>
        </w:rPr>
      </w:pPr>
      <w:r w:rsidRPr="00A7748B">
        <w:rPr>
          <w:rFonts w:cstheme="minorHAnsi"/>
          <w:sz w:val="20"/>
          <w:szCs w:val="20"/>
        </w:rPr>
        <w:t>În sectorul educa</w:t>
      </w:r>
      <w:r w:rsidR="007F52CA" w:rsidRPr="00A7748B">
        <w:rPr>
          <w:rFonts w:cstheme="minorHAnsi"/>
          <w:sz w:val="20"/>
          <w:szCs w:val="20"/>
        </w:rPr>
        <w:t>ț</w:t>
      </w:r>
      <w:r w:rsidRPr="00A7748B">
        <w:rPr>
          <w:rFonts w:cstheme="minorHAnsi"/>
          <w:sz w:val="20"/>
          <w:szCs w:val="20"/>
        </w:rPr>
        <w:t xml:space="preserve">ional, accesul la tehnologii digitale </w:t>
      </w:r>
      <w:r w:rsidR="007F52CA" w:rsidRPr="00A7748B">
        <w:rPr>
          <w:rFonts w:cstheme="minorHAnsi"/>
          <w:sz w:val="20"/>
          <w:szCs w:val="20"/>
        </w:rPr>
        <w:t>ș</w:t>
      </w:r>
      <w:r w:rsidRPr="00A7748B">
        <w:rPr>
          <w:rFonts w:cstheme="minorHAnsi"/>
          <w:sz w:val="20"/>
          <w:szCs w:val="20"/>
        </w:rPr>
        <w:t>i utilizarea lor pot contribui la reducerea decalajului la învă</w:t>
      </w:r>
      <w:r w:rsidR="007F52CA" w:rsidRPr="00A7748B">
        <w:rPr>
          <w:rFonts w:cstheme="minorHAnsi"/>
          <w:sz w:val="20"/>
          <w:szCs w:val="20"/>
        </w:rPr>
        <w:t>ț</w:t>
      </w:r>
      <w:r w:rsidRPr="00A7748B">
        <w:rPr>
          <w:rFonts w:cstheme="minorHAnsi"/>
          <w:sz w:val="20"/>
          <w:szCs w:val="20"/>
        </w:rPr>
        <w:t xml:space="preserve">ătură dintre elevii care provin din medii </w:t>
      </w:r>
      <w:proofErr w:type="spellStart"/>
      <w:r w:rsidRPr="00A7748B">
        <w:rPr>
          <w:rFonts w:cstheme="minorHAnsi"/>
          <w:sz w:val="20"/>
          <w:szCs w:val="20"/>
        </w:rPr>
        <w:t>socio</w:t>
      </w:r>
      <w:proofErr w:type="spellEnd"/>
      <w:r w:rsidRPr="00A7748B">
        <w:rPr>
          <w:rFonts w:cstheme="minorHAnsi"/>
          <w:sz w:val="20"/>
          <w:szCs w:val="20"/>
        </w:rPr>
        <w:t xml:space="preserve">-economice favorizate </w:t>
      </w:r>
      <w:r w:rsidR="007F52CA" w:rsidRPr="00A7748B">
        <w:rPr>
          <w:rFonts w:cstheme="minorHAnsi"/>
          <w:sz w:val="20"/>
          <w:szCs w:val="20"/>
        </w:rPr>
        <w:t>ș</w:t>
      </w:r>
      <w:r w:rsidRPr="00A7748B">
        <w:rPr>
          <w:rFonts w:cstheme="minorHAnsi"/>
          <w:sz w:val="20"/>
          <w:szCs w:val="20"/>
        </w:rPr>
        <w:t xml:space="preserve">i cei din medii defavorizate. Cu toate că accesul la internet a crescut semnificativ în ultimii ani, utilizarea tehnologiei în scopuri educative nu a urmat îndeaproape schimbările care au avut loc în plan digital – o mare parte din </w:t>
      </w:r>
      <w:r w:rsidR="007F52CA" w:rsidRPr="00A7748B">
        <w:rPr>
          <w:rFonts w:cstheme="minorHAnsi"/>
          <w:sz w:val="20"/>
          <w:szCs w:val="20"/>
        </w:rPr>
        <w:t>ș</w:t>
      </w:r>
      <w:r w:rsidRPr="00A7748B">
        <w:rPr>
          <w:rFonts w:cstheme="minorHAnsi"/>
          <w:sz w:val="20"/>
          <w:szCs w:val="20"/>
        </w:rPr>
        <w:t xml:space="preserve">colile primare </w:t>
      </w:r>
      <w:r w:rsidR="007F52CA" w:rsidRPr="00A7748B">
        <w:rPr>
          <w:rFonts w:cstheme="minorHAnsi"/>
          <w:sz w:val="20"/>
          <w:szCs w:val="20"/>
        </w:rPr>
        <w:t>ș</w:t>
      </w:r>
      <w:r w:rsidRPr="00A7748B">
        <w:rPr>
          <w:rFonts w:cstheme="minorHAnsi"/>
          <w:sz w:val="20"/>
          <w:szCs w:val="20"/>
        </w:rPr>
        <w:t xml:space="preserve">i secundare nu dispun de conexiuni în bandă largă la internet </w:t>
      </w:r>
      <w:r w:rsidR="007F52CA" w:rsidRPr="00A7748B">
        <w:rPr>
          <w:rFonts w:cstheme="minorHAnsi"/>
          <w:sz w:val="20"/>
          <w:szCs w:val="20"/>
        </w:rPr>
        <w:t>ș</w:t>
      </w:r>
      <w:r w:rsidRPr="00A7748B">
        <w:rPr>
          <w:rFonts w:cstheme="minorHAnsi"/>
          <w:sz w:val="20"/>
          <w:szCs w:val="20"/>
        </w:rPr>
        <w:t>i nu toate cadrele didactice au competen</w:t>
      </w:r>
      <w:r w:rsidR="007F52CA" w:rsidRPr="00A7748B">
        <w:rPr>
          <w:rFonts w:cstheme="minorHAnsi"/>
          <w:sz w:val="20"/>
          <w:szCs w:val="20"/>
        </w:rPr>
        <w:t>ț</w:t>
      </w:r>
      <w:r w:rsidRPr="00A7748B">
        <w:rPr>
          <w:rFonts w:cstheme="minorHAnsi"/>
          <w:sz w:val="20"/>
          <w:szCs w:val="20"/>
        </w:rPr>
        <w:t xml:space="preserve">ele digitale </w:t>
      </w:r>
      <w:r w:rsidR="007F52CA" w:rsidRPr="00A7748B">
        <w:rPr>
          <w:rFonts w:cstheme="minorHAnsi"/>
          <w:sz w:val="20"/>
          <w:szCs w:val="20"/>
        </w:rPr>
        <w:t>ș</w:t>
      </w:r>
      <w:r w:rsidRPr="00A7748B">
        <w:rPr>
          <w:rFonts w:cstheme="minorHAnsi"/>
          <w:sz w:val="20"/>
          <w:szCs w:val="20"/>
        </w:rPr>
        <w:t>i încrederea de a utiliza instrumentele digitale în activitatea de predare – învă</w:t>
      </w:r>
      <w:r w:rsidR="007F52CA" w:rsidRPr="00A7748B">
        <w:rPr>
          <w:rFonts w:cstheme="minorHAnsi"/>
          <w:sz w:val="20"/>
          <w:szCs w:val="20"/>
        </w:rPr>
        <w:t>ț</w:t>
      </w:r>
      <w:r w:rsidRPr="00A7748B">
        <w:rPr>
          <w:rFonts w:cstheme="minorHAnsi"/>
          <w:sz w:val="20"/>
          <w:szCs w:val="20"/>
        </w:rPr>
        <w:t>are - evaluare</w:t>
      </w:r>
      <w:r w:rsidR="00AD5DE8" w:rsidRPr="00A7748B">
        <w:rPr>
          <w:rFonts w:cstheme="minorHAnsi"/>
          <w:sz w:val="20"/>
          <w:szCs w:val="20"/>
        </w:rPr>
        <w:t xml:space="preserve"> (Strategia privind digitalizarea educa</w:t>
      </w:r>
      <w:r w:rsidR="007F52CA" w:rsidRPr="00A7748B">
        <w:rPr>
          <w:rFonts w:cstheme="minorHAnsi"/>
          <w:sz w:val="20"/>
          <w:szCs w:val="20"/>
        </w:rPr>
        <w:t>ț</w:t>
      </w:r>
      <w:r w:rsidR="00AD5DE8" w:rsidRPr="00A7748B">
        <w:rPr>
          <w:rFonts w:cstheme="minorHAnsi"/>
          <w:sz w:val="20"/>
          <w:szCs w:val="20"/>
        </w:rPr>
        <w:t>iei din România”, Ministerul Educa</w:t>
      </w:r>
      <w:r w:rsidR="007F52CA" w:rsidRPr="00A7748B">
        <w:rPr>
          <w:rFonts w:cstheme="minorHAnsi"/>
          <w:sz w:val="20"/>
          <w:szCs w:val="20"/>
        </w:rPr>
        <w:t>ț</w:t>
      </w:r>
      <w:r w:rsidR="00AD5DE8" w:rsidRPr="00A7748B">
        <w:rPr>
          <w:rFonts w:cstheme="minorHAnsi"/>
          <w:sz w:val="20"/>
          <w:szCs w:val="20"/>
        </w:rPr>
        <w:t xml:space="preserve">iei </w:t>
      </w:r>
      <w:r w:rsidR="007F52CA" w:rsidRPr="00A7748B">
        <w:rPr>
          <w:rFonts w:cstheme="minorHAnsi"/>
          <w:sz w:val="20"/>
          <w:szCs w:val="20"/>
        </w:rPr>
        <w:t>ș</w:t>
      </w:r>
      <w:r w:rsidR="00AD5DE8" w:rsidRPr="00A7748B">
        <w:rPr>
          <w:rFonts w:cstheme="minorHAnsi"/>
          <w:sz w:val="20"/>
          <w:szCs w:val="20"/>
        </w:rPr>
        <w:t>i Cercetării, 2021)</w:t>
      </w:r>
      <w:r w:rsidRPr="00A7748B">
        <w:rPr>
          <w:rFonts w:cstheme="minorHAnsi"/>
          <w:sz w:val="20"/>
          <w:szCs w:val="20"/>
        </w:rPr>
        <w:t xml:space="preserve">. În acest context, raportul </w:t>
      </w:r>
      <w:proofErr w:type="spellStart"/>
      <w:r w:rsidRPr="00A7748B">
        <w:rPr>
          <w:rFonts w:cstheme="minorHAnsi"/>
          <w:sz w:val="20"/>
          <w:szCs w:val="20"/>
        </w:rPr>
        <w:t>Eurydice</w:t>
      </w:r>
      <w:proofErr w:type="spellEnd"/>
      <w:r w:rsidRPr="00A7748B">
        <w:rPr>
          <w:rFonts w:cstheme="minorHAnsi"/>
          <w:sz w:val="20"/>
          <w:szCs w:val="20"/>
        </w:rPr>
        <w:t xml:space="preserve"> „Educa</w:t>
      </w:r>
      <w:r w:rsidR="007F52CA" w:rsidRPr="00A7748B">
        <w:rPr>
          <w:rFonts w:cstheme="minorHAnsi"/>
          <w:sz w:val="20"/>
          <w:szCs w:val="20"/>
        </w:rPr>
        <w:t>ț</w:t>
      </w:r>
      <w:r w:rsidRPr="00A7748B">
        <w:rPr>
          <w:rFonts w:cstheme="minorHAnsi"/>
          <w:sz w:val="20"/>
          <w:szCs w:val="20"/>
        </w:rPr>
        <w:t xml:space="preserve">ia digitala în </w:t>
      </w:r>
      <w:r w:rsidR="007F52CA" w:rsidRPr="00A7748B">
        <w:rPr>
          <w:rFonts w:cstheme="minorHAnsi"/>
          <w:sz w:val="20"/>
          <w:szCs w:val="20"/>
        </w:rPr>
        <w:t>ș</w:t>
      </w:r>
      <w:r w:rsidRPr="00A7748B">
        <w:rPr>
          <w:rFonts w:cstheme="minorHAnsi"/>
          <w:sz w:val="20"/>
          <w:szCs w:val="20"/>
        </w:rPr>
        <w:t>colile din Europa”</w:t>
      </w:r>
      <w:r w:rsidR="00EC43E2" w:rsidRPr="00A7748B">
        <w:rPr>
          <w:rFonts w:cstheme="minorHAnsi"/>
          <w:sz w:val="20"/>
          <w:szCs w:val="20"/>
        </w:rPr>
        <w:t xml:space="preserve">, </w:t>
      </w:r>
      <w:r w:rsidRPr="00A7748B">
        <w:rPr>
          <w:rFonts w:cstheme="minorHAnsi"/>
          <w:sz w:val="20"/>
          <w:szCs w:val="20"/>
        </w:rPr>
        <w:t>2018-2019</w:t>
      </w:r>
      <w:r w:rsidR="00EC43E2" w:rsidRPr="00A7748B">
        <w:rPr>
          <w:rFonts w:cstheme="minorHAnsi"/>
          <w:sz w:val="20"/>
          <w:szCs w:val="20"/>
        </w:rPr>
        <w:t>, elaborat de Comisia Europeană</w:t>
      </w:r>
      <w:r w:rsidRPr="00A7748B">
        <w:rPr>
          <w:rFonts w:cstheme="minorHAnsi"/>
          <w:sz w:val="20"/>
          <w:szCs w:val="20"/>
        </w:rPr>
        <w:t xml:space="preserve"> subliniază că din cauza digitalizării continue </w:t>
      </w:r>
      <w:r w:rsidR="007F52CA" w:rsidRPr="00A7748B">
        <w:rPr>
          <w:rFonts w:cstheme="minorHAnsi"/>
          <w:sz w:val="20"/>
          <w:szCs w:val="20"/>
        </w:rPr>
        <w:t>ș</w:t>
      </w:r>
      <w:r w:rsidRPr="00A7748B">
        <w:rPr>
          <w:rFonts w:cstheme="minorHAnsi"/>
          <w:sz w:val="20"/>
          <w:szCs w:val="20"/>
        </w:rPr>
        <w:t xml:space="preserve">i tot mai extinse din societate, strategiile </w:t>
      </w:r>
      <w:r w:rsidR="007F52CA" w:rsidRPr="00A7748B">
        <w:rPr>
          <w:rFonts w:cstheme="minorHAnsi"/>
          <w:sz w:val="20"/>
          <w:szCs w:val="20"/>
        </w:rPr>
        <w:t>ș</w:t>
      </w:r>
      <w:r w:rsidRPr="00A7748B">
        <w:rPr>
          <w:rFonts w:cstheme="minorHAnsi"/>
          <w:sz w:val="20"/>
          <w:szCs w:val="20"/>
        </w:rPr>
        <w:t>i politicile devină rapid depă</w:t>
      </w:r>
      <w:r w:rsidR="007F52CA" w:rsidRPr="00A7748B">
        <w:rPr>
          <w:rFonts w:cstheme="minorHAnsi"/>
          <w:sz w:val="20"/>
          <w:szCs w:val="20"/>
        </w:rPr>
        <w:t>ș</w:t>
      </w:r>
      <w:r w:rsidRPr="00A7748B">
        <w:rPr>
          <w:rFonts w:cstheme="minorHAnsi"/>
          <w:sz w:val="20"/>
          <w:szCs w:val="20"/>
        </w:rPr>
        <w:t xml:space="preserve">ite, </w:t>
      </w:r>
      <w:r w:rsidR="007F52CA" w:rsidRPr="00A7748B">
        <w:rPr>
          <w:rFonts w:cstheme="minorHAnsi"/>
          <w:sz w:val="20"/>
          <w:szCs w:val="20"/>
        </w:rPr>
        <w:t>ț</w:t>
      </w:r>
      <w:r w:rsidRPr="00A7748B">
        <w:rPr>
          <w:rFonts w:cstheme="minorHAnsi"/>
          <w:sz w:val="20"/>
          <w:szCs w:val="20"/>
        </w:rPr>
        <w:t xml:space="preserve">ările europene fiind nevoite să revizuiască </w:t>
      </w:r>
      <w:r w:rsidR="007F52CA" w:rsidRPr="00A7748B">
        <w:rPr>
          <w:rFonts w:cstheme="minorHAnsi"/>
          <w:sz w:val="20"/>
          <w:szCs w:val="20"/>
        </w:rPr>
        <w:t>ș</w:t>
      </w:r>
      <w:r w:rsidRPr="00A7748B">
        <w:rPr>
          <w:rFonts w:cstheme="minorHAnsi"/>
          <w:sz w:val="20"/>
          <w:szCs w:val="20"/>
        </w:rPr>
        <w:t xml:space="preserve">i să elaboreze în continuu noi politici </w:t>
      </w:r>
      <w:r w:rsidR="007F52CA" w:rsidRPr="00A7748B">
        <w:rPr>
          <w:rFonts w:cstheme="minorHAnsi"/>
          <w:sz w:val="20"/>
          <w:szCs w:val="20"/>
        </w:rPr>
        <w:t>ș</w:t>
      </w:r>
      <w:r w:rsidRPr="00A7748B">
        <w:rPr>
          <w:rFonts w:cstheme="minorHAnsi"/>
          <w:sz w:val="20"/>
          <w:szCs w:val="20"/>
        </w:rPr>
        <w:t>i măsuri strategice pentru a răspunde noilor cerin</w:t>
      </w:r>
      <w:r w:rsidR="007F52CA" w:rsidRPr="00A7748B">
        <w:rPr>
          <w:rFonts w:cstheme="minorHAnsi"/>
          <w:sz w:val="20"/>
          <w:szCs w:val="20"/>
        </w:rPr>
        <w:t>ț</w:t>
      </w:r>
      <w:r w:rsidRPr="00A7748B">
        <w:rPr>
          <w:rFonts w:cstheme="minorHAnsi"/>
          <w:sz w:val="20"/>
          <w:szCs w:val="20"/>
        </w:rPr>
        <w:t>e legate de o educa</w:t>
      </w:r>
      <w:r w:rsidR="007F52CA" w:rsidRPr="00A7748B">
        <w:rPr>
          <w:rFonts w:cstheme="minorHAnsi"/>
          <w:sz w:val="20"/>
          <w:szCs w:val="20"/>
        </w:rPr>
        <w:t>ț</w:t>
      </w:r>
      <w:r w:rsidRPr="00A7748B">
        <w:rPr>
          <w:rFonts w:cstheme="minorHAnsi"/>
          <w:sz w:val="20"/>
          <w:szCs w:val="20"/>
        </w:rPr>
        <w:t xml:space="preserve">ie digitală de calitate. </w:t>
      </w:r>
    </w:p>
    <w:p w14:paraId="3061B063" w14:textId="384E4567" w:rsidR="00670D3A" w:rsidRPr="00A7748B" w:rsidRDefault="00670D3A" w:rsidP="00822BC1">
      <w:pPr>
        <w:spacing w:after="120" w:line="240" w:lineRule="auto"/>
        <w:jc w:val="both"/>
        <w:rPr>
          <w:rFonts w:cstheme="minorHAnsi"/>
          <w:color w:val="000000"/>
          <w:sz w:val="20"/>
          <w:szCs w:val="20"/>
        </w:rPr>
      </w:pPr>
      <w:r w:rsidRPr="00A7748B">
        <w:rPr>
          <w:rFonts w:cstheme="minorHAnsi"/>
          <w:color w:val="000000"/>
          <w:sz w:val="20"/>
          <w:szCs w:val="20"/>
        </w:rPr>
        <w:t>În privin</w:t>
      </w:r>
      <w:r w:rsidR="007F52CA" w:rsidRPr="00A7748B">
        <w:rPr>
          <w:rFonts w:cstheme="minorHAnsi"/>
          <w:color w:val="000000"/>
          <w:sz w:val="20"/>
          <w:szCs w:val="20"/>
        </w:rPr>
        <w:t>ț</w:t>
      </w:r>
      <w:r w:rsidRPr="00A7748B">
        <w:rPr>
          <w:rFonts w:cstheme="minorHAnsi"/>
          <w:color w:val="000000"/>
          <w:sz w:val="20"/>
          <w:szCs w:val="20"/>
        </w:rPr>
        <w:t>a îmbunătă</w:t>
      </w:r>
      <w:r w:rsidR="007F52CA" w:rsidRPr="00A7748B">
        <w:rPr>
          <w:rFonts w:cstheme="minorHAnsi"/>
          <w:color w:val="000000"/>
          <w:sz w:val="20"/>
          <w:szCs w:val="20"/>
        </w:rPr>
        <w:t>ț</w:t>
      </w:r>
      <w:r w:rsidRPr="00A7748B">
        <w:rPr>
          <w:rFonts w:cstheme="minorHAnsi"/>
          <w:color w:val="000000"/>
          <w:sz w:val="20"/>
          <w:szCs w:val="20"/>
        </w:rPr>
        <w:t>irii competen</w:t>
      </w:r>
      <w:r w:rsidR="007F52CA" w:rsidRPr="00A7748B">
        <w:rPr>
          <w:rFonts w:cstheme="minorHAnsi"/>
          <w:color w:val="000000"/>
          <w:sz w:val="20"/>
          <w:szCs w:val="20"/>
        </w:rPr>
        <w:t>ț</w:t>
      </w:r>
      <w:r w:rsidRPr="00A7748B">
        <w:rPr>
          <w:rFonts w:cstheme="minorHAnsi"/>
          <w:color w:val="000000"/>
          <w:sz w:val="20"/>
          <w:szCs w:val="20"/>
        </w:rPr>
        <w:t>elor digitale ale cetă</w:t>
      </w:r>
      <w:r w:rsidR="007F52CA" w:rsidRPr="00A7748B">
        <w:rPr>
          <w:rFonts w:cstheme="minorHAnsi"/>
          <w:color w:val="000000"/>
          <w:sz w:val="20"/>
          <w:szCs w:val="20"/>
        </w:rPr>
        <w:t>ț</w:t>
      </w:r>
      <w:r w:rsidRPr="00A7748B">
        <w:rPr>
          <w:rFonts w:cstheme="minorHAnsi"/>
          <w:color w:val="000000"/>
          <w:sz w:val="20"/>
          <w:szCs w:val="20"/>
        </w:rPr>
        <w:t xml:space="preserve">enilor </w:t>
      </w:r>
      <w:r w:rsidR="007F52CA" w:rsidRPr="00A7748B">
        <w:rPr>
          <w:rFonts w:cstheme="minorHAnsi"/>
          <w:color w:val="000000"/>
          <w:sz w:val="20"/>
          <w:szCs w:val="20"/>
        </w:rPr>
        <w:t>ș</w:t>
      </w:r>
      <w:r w:rsidRPr="00A7748B">
        <w:rPr>
          <w:rFonts w:cstheme="minorHAnsi"/>
          <w:color w:val="000000"/>
          <w:sz w:val="20"/>
          <w:szCs w:val="20"/>
        </w:rPr>
        <w:t xml:space="preserve">i pentru aprofundarea procesului de digitalizare a întreprinderilor </w:t>
      </w:r>
      <w:r w:rsidR="007F52CA" w:rsidRPr="00A7748B">
        <w:rPr>
          <w:rFonts w:cstheme="minorHAnsi"/>
          <w:color w:val="000000"/>
          <w:sz w:val="20"/>
          <w:szCs w:val="20"/>
        </w:rPr>
        <w:t>ș</w:t>
      </w:r>
      <w:r w:rsidRPr="00A7748B">
        <w:rPr>
          <w:rFonts w:cstheme="minorHAnsi"/>
          <w:color w:val="000000"/>
          <w:sz w:val="20"/>
          <w:szCs w:val="20"/>
        </w:rPr>
        <w:t>i a sectorului public, ultimul raport al DESI arată că statele membre ale UE ar trebui ar trebuie să facă eforturi pentru alocarea unui spectru 5G.</w:t>
      </w:r>
    </w:p>
    <w:p w14:paraId="7ABDC02E" w14:textId="44F0D62D" w:rsidR="00670D3A" w:rsidRPr="00A7748B" w:rsidRDefault="00670D3A" w:rsidP="00822BC1">
      <w:pPr>
        <w:spacing w:after="120" w:line="240" w:lineRule="auto"/>
        <w:jc w:val="both"/>
        <w:rPr>
          <w:rFonts w:cstheme="minorHAnsi"/>
          <w:color w:val="000000" w:themeColor="text1"/>
          <w:sz w:val="20"/>
          <w:szCs w:val="20"/>
        </w:rPr>
      </w:pPr>
      <w:r w:rsidRPr="00A7748B">
        <w:rPr>
          <w:rFonts w:cstheme="minorHAnsi"/>
          <w:color w:val="000000" w:themeColor="text1"/>
          <w:sz w:val="20"/>
          <w:szCs w:val="20"/>
        </w:rPr>
        <w:t>Analiza studiilor efectuate în ceea ce prive</w:t>
      </w:r>
      <w:r w:rsidR="007F52CA" w:rsidRPr="00A7748B">
        <w:rPr>
          <w:rFonts w:cstheme="minorHAnsi"/>
          <w:color w:val="000000" w:themeColor="text1"/>
          <w:sz w:val="20"/>
          <w:szCs w:val="20"/>
        </w:rPr>
        <w:t>ș</w:t>
      </w:r>
      <w:r w:rsidRPr="00A7748B">
        <w:rPr>
          <w:rFonts w:cstheme="minorHAnsi"/>
          <w:color w:val="000000" w:themeColor="text1"/>
          <w:sz w:val="20"/>
          <w:szCs w:val="20"/>
        </w:rPr>
        <w:t>te îmbunătă</w:t>
      </w:r>
      <w:r w:rsidR="007F52CA" w:rsidRPr="00A7748B">
        <w:rPr>
          <w:rFonts w:cstheme="minorHAnsi"/>
          <w:color w:val="000000" w:themeColor="text1"/>
          <w:sz w:val="20"/>
          <w:szCs w:val="20"/>
        </w:rPr>
        <w:t>ț</w:t>
      </w:r>
      <w:r w:rsidRPr="00A7748B">
        <w:rPr>
          <w:rFonts w:cstheme="minorHAnsi"/>
          <w:color w:val="000000" w:themeColor="text1"/>
          <w:sz w:val="20"/>
          <w:szCs w:val="20"/>
        </w:rPr>
        <w:t>irea alfabetizării digitale la nivel na</w:t>
      </w:r>
      <w:r w:rsidR="007F52CA" w:rsidRPr="00A7748B">
        <w:rPr>
          <w:rFonts w:cstheme="minorHAnsi"/>
          <w:color w:val="000000" w:themeColor="text1"/>
          <w:sz w:val="20"/>
          <w:szCs w:val="20"/>
        </w:rPr>
        <w:t>ț</w:t>
      </w:r>
      <w:r w:rsidRPr="00A7748B">
        <w:rPr>
          <w:rFonts w:cstheme="minorHAnsi"/>
          <w:color w:val="000000" w:themeColor="text1"/>
          <w:sz w:val="20"/>
          <w:szCs w:val="20"/>
        </w:rPr>
        <w:t>ional, eviden</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iază lipsa unei perspective în acest sens, dar </w:t>
      </w:r>
      <w:r w:rsidR="007F52CA" w:rsidRPr="00A7748B">
        <w:rPr>
          <w:rFonts w:cstheme="minorHAnsi"/>
          <w:color w:val="000000" w:themeColor="text1"/>
          <w:sz w:val="20"/>
          <w:szCs w:val="20"/>
        </w:rPr>
        <w:t>ș</w:t>
      </w:r>
      <w:r w:rsidRPr="00A7748B">
        <w:rPr>
          <w:rFonts w:cstheme="minorHAnsi"/>
          <w:color w:val="000000" w:themeColor="text1"/>
          <w:sz w:val="20"/>
          <w:szCs w:val="20"/>
        </w:rPr>
        <w:t xml:space="preserve">i a unor programe </w:t>
      </w:r>
      <w:r w:rsidR="007F52CA" w:rsidRPr="00A7748B">
        <w:rPr>
          <w:rFonts w:cstheme="minorHAnsi"/>
          <w:color w:val="000000" w:themeColor="text1"/>
          <w:sz w:val="20"/>
          <w:szCs w:val="20"/>
        </w:rPr>
        <w:t>ș</w:t>
      </w:r>
      <w:r w:rsidRPr="00A7748B">
        <w:rPr>
          <w:rFonts w:cstheme="minorHAnsi"/>
          <w:color w:val="000000" w:themeColor="text1"/>
          <w:sz w:val="20"/>
          <w:szCs w:val="20"/>
        </w:rPr>
        <w:t>i politici guvernamentale, în aceea</w:t>
      </w:r>
      <w:r w:rsidR="007F52CA" w:rsidRPr="00A7748B">
        <w:rPr>
          <w:rFonts w:cstheme="minorHAnsi"/>
          <w:color w:val="000000" w:themeColor="text1"/>
          <w:sz w:val="20"/>
          <w:szCs w:val="20"/>
        </w:rPr>
        <w:t>ș</w:t>
      </w:r>
      <w:r w:rsidRPr="00A7748B">
        <w:rPr>
          <w:rFonts w:cstheme="minorHAnsi"/>
          <w:color w:val="000000" w:themeColor="text1"/>
          <w:sz w:val="20"/>
          <w:szCs w:val="20"/>
        </w:rPr>
        <w:t xml:space="preserve">i măsură putând fi vorba </w:t>
      </w:r>
      <w:r w:rsidR="007F52CA" w:rsidRPr="00A7748B">
        <w:rPr>
          <w:rFonts w:cstheme="minorHAnsi"/>
          <w:color w:val="000000" w:themeColor="text1"/>
          <w:sz w:val="20"/>
          <w:szCs w:val="20"/>
        </w:rPr>
        <w:t>ș</w:t>
      </w:r>
      <w:r w:rsidRPr="00A7748B">
        <w:rPr>
          <w:rFonts w:cstheme="minorHAnsi"/>
          <w:color w:val="000000" w:themeColor="text1"/>
          <w:sz w:val="20"/>
          <w:szCs w:val="20"/>
        </w:rPr>
        <w:t xml:space="preserve">i de o lipsă a culturii digitalizate, sau de o </w:t>
      </w:r>
      <w:r w:rsidR="008F195A" w:rsidRPr="00A7748B">
        <w:rPr>
          <w:rFonts w:cstheme="minorHAnsi"/>
          <w:color w:val="000000" w:themeColor="text1"/>
          <w:sz w:val="20"/>
          <w:szCs w:val="20"/>
        </w:rPr>
        <w:t>obișnuită</w:t>
      </w:r>
      <w:r w:rsidRPr="00A7748B">
        <w:rPr>
          <w:rFonts w:cstheme="minorHAnsi"/>
          <w:color w:val="000000" w:themeColor="text1"/>
          <w:sz w:val="20"/>
          <w:szCs w:val="20"/>
        </w:rPr>
        <w:t xml:space="preserve"> manifestată greu în anumite medii defavorizate (abia în anul 2020 fiind elaborată o strategie privind digitalizarea educa</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iei din România). Lipsa unor perspective în domeniu </w:t>
      </w:r>
      <w:r w:rsidR="007F52CA" w:rsidRPr="00A7748B">
        <w:rPr>
          <w:rFonts w:cstheme="minorHAnsi"/>
          <w:color w:val="000000" w:themeColor="text1"/>
          <w:sz w:val="20"/>
          <w:szCs w:val="20"/>
        </w:rPr>
        <w:t>ș</w:t>
      </w:r>
      <w:r w:rsidRPr="00A7748B">
        <w:rPr>
          <w:rFonts w:cstheme="minorHAnsi"/>
          <w:color w:val="000000" w:themeColor="text1"/>
          <w:sz w:val="20"/>
          <w:szCs w:val="20"/>
        </w:rPr>
        <w:t xml:space="preserve">i a unei strategii a fost semnalată de Comisia </w:t>
      </w:r>
      <w:r w:rsidRPr="00A7748B">
        <w:rPr>
          <w:rFonts w:cstheme="minorHAnsi"/>
          <w:sz w:val="20"/>
          <w:szCs w:val="20"/>
        </w:rPr>
        <w:t>Europeană, care în raportul DESI pentru România 2020 preciza că „măsura în care România a realizat angajamentele prevăzute în strategie (Strategia Na</w:t>
      </w:r>
      <w:r w:rsidR="007F52CA" w:rsidRPr="00A7748B">
        <w:rPr>
          <w:rFonts w:cstheme="minorHAnsi"/>
          <w:sz w:val="20"/>
          <w:szCs w:val="20"/>
        </w:rPr>
        <w:t>ț</w:t>
      </w:r>
      <w:r w:rsidRPr="00A7748B">
        <w:rPr>
          <w:rFonts w:cstheme="minorHAnsi"/>
          <w:sz w:val="20"/>
          <w:szCs w:val="20"/>
        </w:rPr>
        <w:t xml:space="preserve">ională privind Agenda Digitală pentru România 2020 – n.n.) este necunoscută; de asemenea, nu este clar dacă România are în plan să evalueze punerea în aplicare a strategiei </w:t>
      </w:r>
      <w:r w:rsidR="007F52CA" w:rsidRPr="00A7748B">
        <w:rPr>
          <w:rFonts w:cstheme="minorHAnsi"/>
          <w:sz w:val="20"/>
          <w:szCs w:val="20"/>
        </w:rPr>
        <w:t>ș</w:t>
      </w:r>
      <w:r w:rsidRPr="00A7748B">
        <w:rPr>
          <w:rFonts w:cstheme="minorHAnsi"/>
          <w:sz w:val="20"/>
          <w:szCs w:val="20"/>
        </w:rPr>
        <w:t>i dacă inten</w:t>
      </w:r>
      <w:r w:rsidR="007F52CA" w:rsidRPr="00A7748B">
        <w:rPr>
          <w:rFonts w:cstheme="minorHAnsi"/>
          <w:sz w:val="20"/>
          <w:szCs w:val="20"/>
        </w:rPr>
        <w:t>ț</w:t>
      </w:r>
      <w:r w:rsidRPr="00A7748B">
        <w:rPr>
          <w:rFonts w:cstheme="minorHAnsi"/>
          <w:sz w:val="20"/>
          <w:szCs w:val="20"/>
        </w:rPr>
        <w:t>ionează să prezinte un raport privind situa</w:t>
      </w:r>
      <w:r w:rsidR="007F52CA" w:rsidRPr="00A7748B">
        <w:rPr>
          <w:rFonts w:cstheme="minorHAnsi"/>
          <w:sz w:val="20"/>
          <w:szCs w:val="20"/>
        </w:rPr>
        <w:t>ț</w:t>
      </w:r>
      <w:r w:rsidRPr="00A7748B">
        <w:rPr>
          <w:rFonts w:cstheme="minorHAnsi"/>
          <w:sz w:val="20"/>
          <w:szCs w:val="20"/>
        </w:rPr>
        <w:t>ia actuală”</w:t>
      </w:r>
      <w:r w:rsidR="00AD5DE8" w:rsidRPr="00A7748B">
        <w:rPr>
          <w:rFonts w:cstheme="minorHAnsi"/>
          <w:sz w:val="20"/>
          <w:szCs w:val="20"/>
        </w:rPr>
        <w:t xml:space="preserve"> (Raportul </w:t>
      </w:r>
      <w:proofErr w:type="spellStart"/>
      <w:r w:rsidR="00AD5DE8" w:rsidRPr="00A7748B">
        <w:rPr>
          <w:rFonts w:cstheme="minorHAnsi"/>
          <w:sz w:val="20"/>
          <w:szCs w:val="20"/>
        </w:rPr>
        <w:t>Eurydice</w:t>
      </w:r>
      <w:proofErr w:type="spellEnd"/>
      <w:r w:rsidR="00AD5DE8" w:rsidRPr="00A7748B">
        <w:rPr>
          <w:rFonts w:cstheme="minorHAnsi"/>
          <w:sz w:val="20"/>
          <w:szCs w:val="20"/>
        </w:rPr>
        <w:t xml:space="preserve"> „Educa</w:t>
      </w:r>
      <w:r w:rsidR="007F52CA" w:rsidRPr="00A7748B">
        <w:rPr>
          <w:rFonts w:cstheme="minorHAnsi"/>
          <w:sz w:val="20"/>
          <w:szCs w:val="20"/>
        </w:rPr>
        <w:t>ț</w:t>
      </w:r>
      <w:r w:rsidR="00AD5DE8" w:rsidRPr="00A7748B">
        <w:rPr>
          <w:rFonts w:cstheme="minorHAnsi"/>
          <w:sz w:val="20"/>
          <w:szCs w:val="20"/>
        </w:rPr>
        <w:t xml:space="preserve">ia digitala în </w:t>
      </w:r>
      <w:r w:rsidR="007F52CA" w:rsidRPr="00A7748B">
        <w:rPr>
          <w:rFonts w:cstheme="minorHAnsi"/>
          <w:sz w:val="20"/>
          <w:szCs w:val="20"/>
        </w:rPr>
        <w:t>ș</w:t>
      </w:r>
      <w:r w:rsidR="00AD5DE8" w:rsidRPr="00A7748B">
        <w:rPr>
          <w:rFonts w:cstheme="minorHAnsi"/>
          <w:sz w:val="20"/>
          <w:szCs w:val="20"/>
        </w:rPr>
        <w:t xml:space="preserve">colile din Europa” 2018-2019, European </w:t>
      </w:r>
      <w:proofErr w:type="spellStart"/>
      <w:r w:rsidR="00AD5DE8" w:rsidRPr="00A7748B">
        <w:rPr>
          <w:rFonts w:cstheme="minorHAnsi"/>
          <w:sz w:val="20"/>
          <w:szCs w:val="20"/>
        </w:rPr>
        <w:t>Commision</w:t>
      </w:r>
      <w:proofErr w:type="spellEnd"/>
      <w:r w:rsidR="00DC331E" w:rsidRPr="00A7748B">
        <w:rPr>
          <w:rFonts w:cstheme="minorHAnsi"/>
          <w:sz w:val="20"/>
          <w:szCs w:val="20"/>
        </w:rPr>
        <w:t>)</w:t>
      </w:r>
      <w:r w:rsidRPr="00A7748B">
        <w:rPr>
          <w:rFonts w:cstheme="minorHAnsi"/>
          <w:sz w:val="20"/>
          <w:szCs w:val="20"/>
        </w:rPr>
        <w:t>.</w:t>
      </w:r>
      <w:r w:rsidRPr="00A7748B">
        <w:rPr>
          <w:rFonts w:cstheme="minorHAnsi"/>
          <w:color w:val="000000" w:themeColor="text1"/>
          <w:sz w:val="20"/>
          <w:szCs w:val="20"/>
        </w:rPr>
        <w:t xml:space="preserve">  Paradigma de la care s-a pornit în POCU Incluziune a avut la bază principiul incluziunii </w:t>
      </w:r>
      <w:r w:rsidR="007F52CA" w:rsidRPr="00A7748B">
        <w:rPr>
          <w:rFonts w:cstheme="minorHAnsi"/>
          <w:color w:val="000000" w:themeColor="text1"/>
          <w:sz w:val="20"/>
          <w:szCs w:val="20"/>
        </w:rPr>
        <w:t>ș</w:t>
      </w:r>
      <w:r w:rsidRPr="00A7748B">
        <w:rPr>
          <w:rFonts w:cstheme="minorHAnsi"/>
          <w:color w:val="000000" w:themeColor="text1"/>
          <w:sz w:val="20"/>
          <w:szCs w:val="20"/>
        </w:rPr>
        <w:t xml:space="preserve">i integrării sociale, precum </w:t>
      </w:r>
      <w:r w:rsidR="007F52CA" w:rsidRPr="00A7748B">
        <w:rPr>
          <w:rFonts w:cstheme="minorHAnsi"/>
          <w:color w:val="000000" w:themeColor="text1"/>
          <w:sz w:val="20"/>
          <w:szCs w:val="20"/>
        </w:rPr>
        <w:t>ș</w:t>
      </w:r>
      <w:r w:rsidRPr="00A7748B">
        <w:rPr>
          <w:rFonts w:cstheme="minorHAnsi"/>
          <w:color w:val="000000" w:themeColor="text1"/>
          <w:sz w:val="20"/>
          <w:szCs w:val="20"/>
        </w:rPr>
        <w:t>i îmbunătă</w:t>
      </w:r>
      <w:r w:rsidR="007F52CA" w:rsidRPr="00A7748B">
        <w:rPr>
          <w:rFonts w:cstheme="minorHAnsi"/>
          <w:color w:val="000000" w:themeColor="text1"/>
          <w:sz w:val="20"/>
          <w:szCs w:val="20"/>
        </w:rPr>
        <w:t>ț</w:t>
      </w:r>
      <w:r w:rsidRPr="00A7748B">
        <w:rPr>
          <w:rFonts w:cstheme="minorHAnsi"/>
          <w:color w:val="000000" w:themeColor="text1"/>
          <w:sz w:val="20"/>
          <w:szCs w:val="20"/>
        </w:rPr>
        <w:t>irii situa</w:t>
      </w:r>
      <w:r w:rsidR="007F52CA" w:rsidRPr="00A7748B">
        <w:rPr>
          <w:rFonts w:cstheme="minorHAnsi"/>
          <w:color w:val="000000" w:themeColor="text1"/>
          <w:sz w:val="20"/>
          <w:szCs w:val="20"/>
        </w:rPr>
        <w:t>ț</w:t>
      </w:r>
      <w:r w:rsidRPr="00A7748B">
        <w:rPr>
          <w:rFonts w:cstheme="minorHAnsi"/>
          <w:color w:val="000000" w:themeColor="text1"/>
          <w:sz w:val="20"/>
          <w:szCs w:val="20"/>
        </w:rPr>
        <w:t>iei din comunită</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ile vulnerabile. Luând în considerare, datele </w:t>
      </w:r>
      <w:r w:rsidR="007F52CA" w:rsidRPr="00A7748B">
        <w:rPr>
          <w:rFonts w:cstheme="minorHAnsi"/>
          <w:color w:val="000000" w:themeColor="text1"/>
          <w:sz w:val="20"/>
          <w:szCs w:val="20"/>
        </w:rPr>
        <w:t>ș</w:t>
      </w:r>
      <w:r w:rsidRPr="00A7748B">
        <w:rPr>
          <w:rFonts w:cstheme="minorHAnsi"/>
          <w:color w:val="000000" w:themeColor="text1"/>
          <w:sz w:val="20"/>
          <w:szCs w:val="20"/>
        </w:rPr>
        <w:t>i statisticile în ceea ce prive</w:t>
      </w:r>
      <w:r w:rsidR="007F52CA" w:rsidRPr="00A7748B">
        <w:rPr>
          <w:rFonts w:cstheme="minorHAnsi"/>
          <w:color w:val="000000" w:themeColor="text1"/>
          <w:sz w:val="20"/>
          <w:szCs w:val="20"/>
        </w:rPr>
        <w:t>ș</w:t>
      </w:r>
      <w:r w:rsidRPr="00A7748B">
        <w:rPr>
          <w:rFonts w:cstheme="minorHAnsi"/>
          <w:color w:val="000000" w:themeColor="text1"/>
          <w:sz w:val="20"/>
          <w:szCs w:val="20"/>
        </w:rPr>
        <w:t>te situa</w:t>
      </w:r>
      <w:r w:rsidR="007F52CA" w:rsidRPr="00A7748B">
        <w:rPr>
          <w:rFonts w:cstheme="minorHAnsi"/>
          <w:color w:val="000000" w:themeColor="text1"/>
          <w:sz w:val="20"/>
          <w:szCs w:val="20"/>
        </w:rPr>
        <w:t>ț</w:t>
      </w:r>
      <w:r w:rsidRPr="00A7748B">
        <w:rPr>
          <w:rFonts w:cstheme="minorHAnsi"/>
          <w:color w:val="000000" w:themeColor="text1"/>
          <w:sz w:val="20"/>
          <w:szCs w:val="20"/>
        </w:rPr>
        <w:t>ia la nivel na</w:t>
      </w:r>
      <w:r w:rsidR="007F52CA" w:rsidRPr="00A7748B">
        <w:rPr>
          <w:rFonts w:cstheme="minorHAnsi"/>
          <w:color w:val="000000" w:themeColor="text1"/>
          <w:sz w:val="20"/>
          <w:szCs w:val="20"/>
        </w:rPr>
        <w:t>ț</w:t>
      </w:r>
      <w:r w:rsidRPr="00A7748B">
        <w:rPr>
          <w:rFonts w:cstheme="minorHAnsi"/>
          <w:color w:val="000000" w:themeColor="text1"/>
          <w:sz w:val="20"/>
          <w:szCs w:val="20"/>
        </w:rPr>
        <w:t>ional se prevede adoptarea unei Strategii Na</w:t>
      </w:r>
      <w:r w:rsidR="007F52CA" w:rsidRPr="00A7748B">
        <w:rPr>
          <w:rFonts w:cstheme="minorHAnsi"/>
          <w:color w:val="000000" w:themeColor="text1"/>
          <w:sz w:val="20"/>
          <w:szCs w:val="20"/>
        </w:rPr>
        <w:t>ț</w:t>
      </w:r>
      <w:r w:rsidRPr="00A7748B">
        <w:rPr>
          <w:rFonts w:cstheme="minorHAnsi"/>
          <w:color w:val="000000" w:themeColor="text1"/>
          <w:sz w:val="20"/>
          <w:szCs w:val="20"/>
        </w:rPr>
        <w:t>ionale în ceea ce prive</w:t>
      </w:r>
      <w:r w:rsidR="007F52CA" w:rsidRPr="00A7748B">
        <w:rPr>
          <w:rFonts w:cstheme="minorHAnsi"/>
          <w:color w:val="000000" w:themeColor="text1"/>
          <w:sz w:val="20"/>
          <w:szCs w:val="20"/>
        </w:rPr>
        <w:t>ș</w:t>
      </w:r>
      <w:r w:rsidRPr="00A7748B">
        <w:rPr>
          <w:rFonts w:cstheme="minorHAnsi"/>
          <w:color w:val="000000" w:themeColor="text1"/>
          <w:sz w:val="20"/>
          <w:szCs w:val="20"/>
        </w:rPr>
        <w:t xml:space="preserve">te digitalizarea României </w:t>
      </w:r>
      <w:r w:rsidR="007F52CA" w:rsidRPr="00A7748B">
        <w:rPr>
          <w:rFonts w:cstheme="minorHAnsi"/>
          <w:color w:val="000000" w:themeColor="text1"/>
          <w:sz w:val="20"/>
          <w:szCs w:val="20"/>
        </w:rPr>
        <w:t>ș</w:t>
      </w:r>
      <w:r w:rsidRPr="00A7748B">
        <w:rPr>
          <w:rFonts w:cstheme="minorHAnsi"/>
          <w:color w:val="000000" w:themeColor="text1"/>
          <w:sz w:val="20"/>
          <w:szCs w:val="20"/>
        </w:rPr>
        <w:t>i adoptarea unor politici guvernamentale.</w:t>
      </w:r>
    </w:p>
    <w:p w14:paraId="183496D5" w14:textId="26E76417" w:rsidR="00670D3A" w:rsidRPr="00A7748B" w:rsidRDefault="00670D3A" w:rsidP="00822BC1">
      <w:pPr>
        <w:spacing w:after="120" w:line="240" w:lineRule="auto"/>
        <w:jc w:val="both"/>
        <w:rPr>
          <w:rFonts w:cstheme="minorHAnsi"/>
          <w:color w:val="000000" w:themeColor="text1"/>
          <w:sz w:val="20"/>
          <w:szCs w:val="20"/>
        </w:rPr>
      </w:pPr>
      <w:r w:rsidRPr="00A7748B">
        <w:rPr>
          <w:rFonts w:cstheme="minorHAnsi"/>
          <w:color w:val="000000" w:themeColor="text1"/>
          <w:sz w:val="20"/>
          <w:szCs w:val="20"/>
        </w:rPr>
        <w:t>În cadrul articolului „</w:t>
      </w:r>
      <w:proofErr w:type="spellStart"/>
      <w:r w:rsidRPr="00A7748B">
        <w:rPr>
          <w:rFonts w:cstheme="minorHAnsi"/>
          <w:color w:val="000000" w:themeColor="text1"/>
          <w:sz w:val="20"/>
          <w:szCs w:val="20"/>
        </w:rPr>
        <w:t>Staying</w:t>
      </w:r>
      <w:proofErr w:type="spellEnd"/>
      <w:r w:rsidRPr="00A7748B">
        <w:rPr>
          <w:rFonts w:cstheme="minorHAnsi"/>
          <w:color w:val="000000" w:themeColor="text1"/>
          <w:sz w:val="20"/>
          <w:szCs w:val="20"/>
        </w:rPr>
        <w:t xml:space="preserve"> </w:t>
      </w:r>
      <w:proofErr w:type="spellStart"/>
      <w:r w:rsidRPr="00A7748B">
        <w:rPr>
          <w:rFonts w:cstheme="minorHAnsi"/>
          <w:color w:val="000000" w:themeColor="text1"/>
          <w:sz w:val="20"/>
          <w:szCs w:val="20"/>
        </w:rPr>
        <w:t>connected</w:t>
      </w:r>
      <w:proofErr w:type="spellEnd"/>
      <w:r w:rsidRPr="00A7748B">
        <w:rPr>
          <w:rFonts w:cstheme="minorHAnsi"/>
          <w:color w:val="000000" w:themeColor="text1"/>
          <w:sz w:val="20"/>
          <w:szCs w:val="20"/>
        </w:rPr>
        <w:t xml:space="preserve">: </w:t>
      </w:r>
      <w:proofErr w:type="spellStart"/>
      <w:r w:rsidRPr="00A7748B">
        <w:rPr>
          <w:rFonts w:cstheme="minorHAnsi"/>
          <w:color w:val="000000" w:themeColor="text1"/>
          <w:sz w:val="20"/>
          <w:szCs w:val="20"/>
        </w:rPr>
        <w:t>the</w:t>
      </w:r>
      <w:proofErr w:type="spellEnd"/>
      <w:r w:rsidRPr="00A7748B">
        <w:rPr>
          <w:rFonts w:cstheme="minorHAnsi"/>
          <w:color w:val="000000" w:themeColor="text1"/>
          <w:sz w:val="20"/>
          <w:szCs w:val="20"/>
        </w:rPr>
        <w:t xml:space="preserve"> impact of digital </w:t>
      </w:r>
      <w:proofErr w:type="spellStart"/>
      <w:r w:rsidRPr="00A7748B">
        <w:rPr>
          <w:rFonts w:cstheme="minorHAnsi"/>
          <w:color w:val="000000" w:themeColor="text1"/>
          <w:sz w:val="20"/>
          <w:szCs w:val="20"/>
        </w:rPr>
        <w:t>exclusion</w:t>
      </w:r>
      <w:proofErr w:type="spellEnd"/>
      <w:r w:rsidRPr="00A7748B">
        <w:rPr>
          <w:rFonts w:cstheme="minorHAnsi"/>
          <w:color w:val="000000" w:themeColor="text1"/>
          <w:sz w:val="20"/>
          <w:szCs w:val="20"/>
        </w:rPr>
        <w:t xml:space="preserve"> on </w:t>
      </w:r>
      <w:proofErr w:type="spellStart"/>
      <w:r w:rsidRPr="00A7748B">
        <w:rPr>
          <w:rFonts w:cstheme="minorHAnsi"/>
          <w:color w:val="000000" w:themeColor="text1"/>
          <w:sz w:val="20"/>
          <w:szCs w:val="20"/>
        </w:rPr>
        <w:t>people</w:t>
      </w:r>
      <w:proofErr w:type="spellEnd"/>
      <w:r w:rsidRPr="00A7748B">
        <w:rPr>
          <w:rFonts w:cstheme="minorHAnsi"/>
          <w:color w:val="000000" w:themeColor="text1"/>
          <w:sz w:val="20"/>
          <w:szCs w:val="20"/>
        </w:rPr>
        <w:t xml:space="preserve"> living on </w:t>
      </w:r>
      <w:proofErr w:type="spellStart"/>
      <w:r w:rsidRPr="00A7748B">
        <w:rPr>
          <w:rFonts w:cstheme="minorHAnsi"/>
          <w:color w:val="000000" w:themeColor="text1"/>
          <w:sz w:val="20"/>
          <w:szCs w:val="20"/>
        </w:rPr>
        <w:t>low-incomes</w:t>
      </w:r>
      <w:proofErr w:type="spellEnd"/>
      <w:r w:rsidRPr="00A7748B">
        <w:rPr>
          <w:rFonts w:cstheme="minorHAnsi"/>
          <w:color w:val="000000" w:themeColor="text1"/>
          <w:sz w:val="20"/>
          <w:szCs w:val="20"/>
        </w:rPr>
        <w:t xml:space="preserve"> </w:t>
      </w:r>
      <w:proofErr w:type="spellStart"/>
      <w:r w:rsidRPr="00A7748B">
        <w:rPr>
          <w:rFonts w:cstheme="minorHAnsi"/>
          <w:color w:val="000000" w:themeColor="text1"/>
          <w:sz w:val="20"/>
          <w:szCs w:val="20"/>
        </w:rPr>
        <w:t>and</w:t>
      </w:r>
      <w:proofErr w:type="spellEnd"/>
      <w:r w:rsidRPr="00A7748B">
        <w:rPr>
          <w:rFonts w:cstheme="minorHAnsi"/>
          <w:color w:val="000000" w:themeColor="text1"/>
          <w:sz w:val="20"/>
          <w:szCs w:val="20"/>
        </w:rPr>
        <w:t xml:space="preserve"> </w:t>
      </w:r>
      <w:proofErr w:type="spellStart"/>
      <w:r w:rsidRPr="00A7748B">
        <w:rPr>
          <w:rFonts w:cstheme="minorHAnsi"/>
          <w:color w:val="000000" w:themeColor="text1"/>
          <w:sz w:val="20"/>
          <w:szCs w:val="20"/>
        </w:rPr>
        <w:t>the</w:t>
      </w:r>
      <w:proofErr w:type="spellEnd"/>
      <w:r w:rsidRPr="00A7748B">
        <w:rPr>
          <w:rFonts w:cstheme="minorHAnsi"/>
          <w:color w:val="000000" w:themeColor="text1"/>
          <w:sz w:val="20"/>
          <w:szCs w:val="20"/>
        </w:rPr>
        <w:t xml:space="preserve"> </w:t>
      </w:r>
      <w:proofErr w:type="spellStart"/>
      <w:r w:rsidRPr="00A7748B">
        <w:rPr>
          <w:rFonts w:cstheme="minorHAnsi"/>
          <w:color w:val="000000" w:themeColor="text1"/>
          <w:sz w:val="20"/>
          <w:szCs w:val="20"/>
        </w:rPr>
        <w:t>community</w:t>
      </w:r>
      <w:proofErr w:type="spellEnd"/>
      <w:r w:rsidRPr="00A7748B">
        <w:rPr>
          <w:rFonts w:cstheme="minorHAnsi"/>
          <w:color w:val="000000" w:themeColor="text1"/>
          <w:sz w:val="20"/>
          <w:szCs w:val="20"/>
        </w:rPr>
        <w:t xml:space="preserve"> </w:t>
      </w:r>
      <w:proofErr w:type="spellStart"/>
      <w:r w:rsidRPr="00A7748B">
        <w:rPr>
          <w:rFonts w:cstheme="minorHAnsi"/>
          <w:color w:val="000000" w:themeColor="text1"/>
          <w:sz w:val="20"/>
          <w:szCs w:val="20"/>
        </w:rPr>
        <w:t>organisat</w:t>
      </w:r>
      <w:r w:rsidR="00DC331E" w:rsidRPr="00A7748B">
        <w:rPr>
          <w:rFonts w:cstheme="minorHAnsi"/>
          <w:color w:val="000000" w:themeColor="text1"/>
          <w:sz w:val="20"/>
          <w:szCs w:val="20"/>
        </w:rPr>
        <w:t>ions</w:t>
      </w:r>
      <w:proofErr w:type="spellEnd"/>
      <w:r w:rsidR="00DC331E" w:rsidRPr="00A7748B">
        <w:rPr>
          <w:rFonts w:cstheme="minorHAnsi"/>
          <w:color w:val="000000" w:themeColor="text1"/>
          <w:sz w:val="20"/>
          <w:szCs w:val="20"/>
        </w:rPr>
        <w:t xml:space="preserve"> </w:t>
      </w:r>
      <w:proofErr w:type="spellStart"/>
      <w:r w:rsidR="00DC331E" w:rsidRPr="00A7748B">
        <w:rPr>
          <w:rFonts w:cstheme="minorHAnsi"/>
          <w:color w:val="000000" w:themeColor="text1"/>
          <w:sz w:val="20"/>
          <w:szCs w:val="20"/>
        </w:rPr>
        <w:t>that</w:t>
      </w:r>
      <w:proofErr w:type="spellEnd"/>
      <w:r w:rsidR="00DC331E" w:rsidRPr="00A7748B">
        <w:rPr>
          <w:rFonts w:cstheme="minorHAnsi"/>
          <w:color w:val="000000" w:themeColor="text1"/>
          <w:sz w:val="20"/>
          <w:szCs w:val="20"/>
        </w:rPr>
        <w:t xml:space="preserve"> </w:t>
      </w:r>
      <w:proofErr w:type="spellStart"/>
      <w:r w:rsidR="00DC331E" w:rsidRPr="00A7748B">
        <w:rPr>
          <w:rFonts w:cstheme="minorHAnsi"/>
          <w:color w:val="000000" w:themeColor="text1"/>
          <w:sz w:val="20"/>
          <w:szCs w:val="20"/>
        </w:rPr>
        <w:t>support</w:t>
      </w:r>
      <w:proofErr w:type="spellEnd"/>
      <w:r w:rsidR="00DC331E" w:rsidRPr="00A7748B">
        <w:rPr>
          <w:rFonts w:cstheme="minorHAnsi"/>
          <w:color w:val="000000" w:themeColor="text1"/>
          <w:sz w:val="20"/>
          <w:szCs w:val="20"/>
        </w:rPr>
        <w:t xml:space="preserve"> </w:t>
      </w:r>
      <w:proofErr w:type="spellStart"/>
      <w:r w:rsidR="00DC331E" w:rsidRPr="00A7748B">
        <w:rPr>
          <w:rFonts w:cstheme="minorHAnsi"/>
          <w:color w:val="000000" w:themeColor="text1"/>
          <w:sz w:val="20"/>
          <w:szCs w:val="20"/>
        </w:rPr>
        <w:t>them</w:t>
      </w:r>
      <w:proofErr w:type="spellEnd"/>
      <w:r w:rsidR="00DC331E" w:rsidRPr="00A7748B">
        <w:rPr>
          <w:rFonts w:cstheme="minorHAnsi"/>
          <w:color w:val="000000" w:themeColor="text1"/>
          <w:sz w:val="20"/>
          <w:szCs w:val="20"/>
        </w:rPr>
        <w:t xml:space="preserve">” </w:t>
      </w:r>
      <w:r w:rsidRPr="00A7748B">
        <w:rPr>
          <w:rFonts w:cstheme="minorHAnsi"/>
          <w:color w:val="000000" w:themeColor="text1"/>
          <w:sz w:val="20"/>
          <w:szCs w:val="20"/>
        </w:rPr>
        <w:t>este prezentată importan</w:t>
      </w:r>
      <w:r w:rsidR="007F52CA" w:rsidRPr="00A7748B">
        <w:rPr>
          <w:rFonts w:cstheme="minorHAnsi"/>
          <w:color w:val="000000" w:themeColor="text1"/>
          <w:sz w:val="20"/>
          <w:szCs w:val="20"/>
        </w:rPr>
        <w:t>ț</w:t>
      </w:r>
      <w:r w:rsidRPr="00A7748B">
        <w:rPr>
          <w:rFonts w:cstheme="minorHAnsi"/>
          <w:color w:val="000000" w:themeColor="text1"/>
          <w:sz w:val="20"/>
          <w:szCs w:val="20"/>
        </w:rPr>
        <w:t>a digitalizării în ob</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inerea locurilor de muncă </w:t>
      </w:r>
      <w:r w:rsidR="007F52CA" w:rsidRPr="00A7748B">
        <w:rPr>
          <w:rFonts w:cstheme="minorHAnsi"/>
          <w:color w:val="000000" w:themeColor="text1"/>
          <w:sz w:val="20"/>
          <w:szCs w:val="20"/>
        </w:rPr>
        <w:t>ș</w:t>
      </w:r>
      <w:r w:rsidRPr="00A7748B">
        <w:rPr>
          <w:rFonts w:cstheme="minorHAnsi"/>
          <w:color w:val="000000" w:themeColor="text1"/>
          <w:sz w:val="20"/>
          <w:szCs w:val="20"/>
        </w:rPr>
        <w:t>i nivelului de trai. Prezen</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a alfabetizării, precum </w:t>
      </w:r>
      <w:r w:rsidR="007F52CA" w:rsidRPr="00A7748B">
        <w:rPr>
          <w:rFonts w:cstheme="minorHAnsi"/>
          <w:color w:val="000000" w:themeColor="text1"/>
          <w:sz w:val="20"/>
          <w:szCs w:val="20"/>
        </w:rPr>
        <w:t>ș</w:t>
      </w:r>
      <w:r w:rsidRPr="00A7748B">
        <w:rPr>
          <w:rFonts w:cstheme="minorHAnsi"/>
          <w:color w:val="000000" w:themeColor="text1"/>
          <w:sz w:val="20"/>
          <w:szCs w:val="20"/>
        </w:rPr>
        <w:t>i lipsa competen</w:t>
      </w:r>
      <w:r w:rsidR="007F52CA" w:rsidRPr="00A7748B">
        <w:rPr>
          <w:rFonts w:cstheme="minorHAnsi"/>
          <w:color w:val="000000" w:themeColor="text1"/>
          <w:sz w:val="20"/>
          <w:szCs w:val="20"/>
        </w:rPr>
        <w:t>ț</w:t>
      </w:r>
      <w:r w:rsidRPr="00A7748B">
        <w:rPr>
          <w:rFonts w:cstheme="minorHAnsi"/>
          <w:color w:val="000000" w:themeColor="text1"/>
          <w:sz w:val="20"/>
          <w:szCs w:val="20"/>
        </w:rPr>
        <w:t>elor digitale este văzută ca fiind una dintre principalele bariere în calea angajamentului pentru persoanele care trăiesc în condi</w:t>
      </w:r>
      <w:r w:rsidR="007F52CA" w:rsidRPr="00A7748B">
        <w:rPr>
          <w:rFonts w:cstheme="minorHAnsi"/>
          <w:color w:val="000000" w:themeColor="text1"/>
          <w:sz w:val="20"/>
          <w:szCs w:val="20"/>
        </w:rPr>
        <w:t>ț</w:t>
      </w:r>
      <w:r w:rsidRPr="00A7748B">
        <w:rPr>
          <w:rFonts w:cstheme="minorHAnsi"/>
          <w:color w:val="000000" w:themeColor="text1"/>
          <w:sz w:val="20"/>
          <w:szCs w:val="20"/>
        </w:rPr>
        <w:t>ii reduse de trai</w:t>
      </w:r>
      <w:r w:rsidR="00DC331E" w:rsidRPr="00A7748B">
        <w:rPr>
          <w:rFonts w:cstheme="minorHAnsi"/>
          <w:color w:val="000000" w:themeColor="text1"/>
          <w:sz w:val="20"/>
          <w:szCs w:val="20"/>
        </w:rPr>
        <w:t xml:space="preserve"> (Canberra, 2016).</w:t>
      </w:r>
    </w:p>
    <w:p w14:paraId="348B1596" w14:textId="34904604" w:rsidR="00670D3A" w:rsidRPr="00A7748B" w:rsidRDefault="00670D3A" w:rsidP="00822BC1">
      <w:pPr>
        <w:spacing w:after="120" w:line="240" w:lineRule="auto"/>
        <w:jc w:val="both"/>
        <w:rPr>
          <w:rFonts w:cstheme="minorHAnsi"/>
          <w:color w:val="000000" w:themeColor="text1"/>
          <w:sz w:val="20"/>
          <w:szCs w:val="20"/>
        </w:rPr>
      </w:pPr>
      <w:r w:rsidRPr="00A7748B">
        <w:rPr>
          <w:rFonts w:cstheme="minorHAnsi"/>
          <w:color w:val="000000" w:themeColor="text1"/>
          <w:sz w:val="20"/>
          <w:szCs w:val="20"/>
        </w:rPr>
        <w:t xml:space="preserve">Articolul „A digital </w:t>
      </w:r>
      <w:proofErr w:type="spellStart"/>
      <w:r w:rsidRPr="00A7748B">
        <w:rPr>
          <w:rFonts w:cstheme="minorHAnsi"/>
          <w:color w:val="000000" w:themeColor="text1"/>
          <w:sz w:val="20"/>
          <w:szCs w:val="20"/>
        </w:rPr>
        <w:t>inclusion</w:t>
      </w:r>
      <w:proofErr w:type="spellEnd"/>
      <w:r w:rsidRPr="00A7748B">
        <w:rPr>
          <w:rFonts w:cstheme="minorHAnsi"/>
          <w:color w:val="000000" w:themeColor="text1"/>
          <w:sz w:val="20"/>
          <w:szCs w:val="20"/>
        </w:rPr>
        <w:t xml:space="preserve">: </w:t>
      </w:r>
      <w:proofErr w:type="spellStart"/>
      <w:r w:rsidRPr="00A7748B">
        <w:rPr>
          <w:rFonts w:cstheme="minorHAnsi"/>
          <w:color w:val="000000" w:themeColor="text1"/>
          <w:sz w:val="20"/>
          <w:szCs w:val="20"/>
        </w:rPr>
        <w:t>Empowering</w:t>
      </w:r>
      <w:proofErr w:type="spellEnd"/>
      <w:r w:rsidRPr="00A7748B">
        <w:rPr>
          <w:rFonts w:cstheme="minorHAnsi"/>
          <w:color w:val="000000" w:themeColor="text1"/>
          <w:sz w:val="20"/>
          <w:szCs w:val="20"/>
        </w:rPr>
        <w:t xml:space="preserve"> </w:t>
      </w:r>
      <w:proofErr w:type="spellStart"/>
      <w:r w:rsidRPr="00A7748B">
        <w:rPr>
          <w:rFonts w:cstheme="minorHAnsi"/>
          <w:color w:val="000000" w:themeColor="text1"/>
          <w:sz w:val="20"/>
          <w:szCs w:val="20"/>
        </w:rPr>
        <w:t>all</w:t>
      </w:r>
      <w:proofErr w:type="spellEnd"/>
      <w:r w:rsidRPr="00A7748B">
        <w:rPr>
          <w:rFonts w:cstheme="minorHAnsi"/>
          <w:color w:val="000000" w:themeColor="text1"/>
          <w:sz w:val="20"/>
          <w:szCs w:val="20"/>
        </w:rPr>
        <w:t xml:space="preserve"> </w:t>
      </w:r>
      <w:proofErr w:type="spellStart"/>
      <w:r w:rsidRPr="00A7748B">
        <w:rPr>
          <w:rFonts w:cstheme="minorHAnsi"/>
          <w:color w:val="000000" w:themeColor="text1"/>
          <w:sz w:val="20"/>
          <w:szCs w:val="20"/>
        </w:rPr>
        <w:t>Australians</w:t>
      </w:r>
      <w:proofErr w:type="spellEnd"/>
      <w:r w:rsidRPr="00A7748B">
        <w:rPr>
          <w:rFonts w:cstheme="minorHAnsi"/>
          <w:color w:val="000000" w:themeColor="text1"/>
          <w:sz w:val="20"/>
          <w:szCs w:val="20"/>
        </w:rPr>
        <w:t>” prezintă dezvoltarea abilită</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ilor digitale </w:t>
      </w:r>
      <w:r w:rsidR="007F52CA" w:rsidRPr="00A7748B">
        <w:rPr>
          <w:rFonts w:cstheme="minorHAnsi"/>
          <w:color w:val="000000" w:themeColor="text1"/>
          <w:sz w:val="20"/>
          <w:szCs w:val="20"/>
        </w:rPr>
        <w:t>ș</w:t>
      </w:r>
      <w:r w:rsidRPr="00A7748B">
        <w:rPr>
          <w:rFonts w:cstheme="minorHAnsi"/>
          <w:color w:val="000000" w:themeColor="text1"/>
          <w:sz w:val="20"/>
          <w:szCs w:val="20"/>
        </w:rPr>
        <w:t>i în</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elegerea tehnologiei ca un proces necesar </w:t>
      </w:r>
      <w:r w:rsidR="007F52CA" w:rsidRPr="00A7748B">
        <w:rPr>
          <w:rFonts w:cstheme="minorHAnsi"/>
          <w:color w:val="000000" w:themeColor="text1"/>
          <w:sz w:val="20"/>
          <w:szCs w:val="20"/>
        </w:rPr>
        <w:t>ș</w:t>
      </w:r>
      <w:r w:rsidRPr="00A7748B">
        <w:rPr>
          <w:rFonts w:cstheme="minorHAnsi"/>
          <w:color w:val="000000" w:themeColor="text1"/>
          <w:sz w:val="20"/>
          <w:szCs w:val="20"/>
        </w:rPr>
        <w:t>i continuu pentru men</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inerea economică </w:t>
      </w:r>
      <w:r w:rsidR="007F52CA" w:rsidRPr="00A7748B">
        <w:rPr>
          <w:rFonts w:cstheme="minorHAnsi"/>
          <w:color w:val="000000" w:themeColor="text1"/>
          <w:sz w:val="20"/>
          <w:szCs w:val="20"/>
        </w:rPr>
        <w:t>ș</w:t>
      </w:r>
      <w:r w:rsidRPr="00A7748B">
        <w:rPr>
          <w:rFonts w:cstheme="minorHAnsi"/>
          <w:color w:val="000000" w:themeColor="text1"/>
          <w:sz w:val="20"/>
          <w:szCs w:val="20"/>
        </w:rPr>
        <w:t xml:space="preserve">i angajamentului social . Pe măsură ce tehnologia avansează, aceasta are un impact direct asupra locului de muncă </w:t>
      </w:r>
      <w:r w:rsidR="007F52CA" w:rsidRPr="00A7748B">
        <w:rPr>
          <w:rFonts w:cstheme="minorHAnsi"/>
          <w:color w:val="000000" w:themeColor="text1"/>
          <w:sz w:val="20"/>
          <w:szCs w:val="20"/>
        </w:rPr>
        <w:t>ș</w:t>
      </w:r>
      <w:r w:rsidRPr="00A7748B">
        <w:rPr>
          <w:rFonts w:cstheme="minorHAnsi"/>
          <w:color w:val="000000" w:themeColor="text1"/>
          <w:sz w:val="20"/>
          <w:szCs w:val="20"/>
        </w:rPr>
        <w:t>i aduce în prim plan o educa</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ie digitală continuă. Acest aspect poate reprezenta o barieră semnificativă în calea accesului </w:t>
      </w:r>
      <w:r w:rsidR="007F52CA" w:rsidRPr="00A7748B">
        <w:rPr>
          <w:rFonts w:cstheme="minorHAnsi"/>
          <w:color w:val="000000" w:themeColor="text1"/>
          <w:sz w:val="20"/>
          <w:szCs w:val="20"/>
        </w:rPr>
        <w:t>ș</w:t>
      </w:r>
      <w:r w:rsidRPr="00A7748B">
        <w:rPr>
          <w:rFonts w:cstheme="minorHAnsi"/>
          <w:color w:val="000000" w:themeColor="text1"/>
          <w:sz w:val="20"/>
          <w:szCs w:val="20"/>
        </w:rPr>
        <w:t>i men</w:t>
      </w:r>
      <w:r w:rsidR="007F52CA" w:rsidRPr="00A7748B">
        <w:rPr>
          <w:rFonts w:cstheme="minorHAnsi"/>
          <w:color w:val="000000" w:themeColor="text1"/>
          <w:sz w:val="20"/>
          <w:szCs w:val="20"/>
        </w:rPr>
        <w:t>ț</w:t>
      </w:r>
      <w:r w:rsidRPr="00A7748B">
        <w:rPr>
          <w:rFonts w:cstheme="minorHAnsi"/>
          <w:color w:val="000000" w:themeColor="text1"/>
          <w:sz w:val="20"/>
          <w:szCs w:val="20"/>
        </w:rPr>
        <w:t>inerii locului de muncă, în special pentru oamenii care au rămas fără loc de muncă, sau care au oportunită</w:t>
      </w:r>
      <w:r w:rsidR="007F52CA" w:rsidRPr="00A7748B">
        <w:rPr>
          <w:rFonts w:cstheme="minorHAnsi"/>
          <w:color w:val="000000" w:themeColor="text1"/>
          <w:sz w:val="20"/>
          <w:szCs w:val="20"/>
        </w:rPr>
        <w:t>ț</w:t>
      </w:r>
      <w:r w:rsidRPr="00A7748B">
        <w:rPr>
          <w:rFonts w:cstheme="minorHAnsi"/>
          <w:color w:val="000000" w:themeColor="text1"/>
          <w:sz w:val="20"/>
          <w:szCs w:val="20"/>
        </w:rPr>
        <w:t>i educa</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ionale limitate </w:t>
      </w:r>
      <w:r w:rsidR="007F52CA" w:rsidRPr="00A7748B">
        <w:rPr>
          <w:rFonts w:cstheme="minorHAnsi"/>
          <w:color w:val="000000" w:themeColor="text1"/>
          <w:sz w:val="20"/>
          <w:szCs w:val="20"/>
        </w:rPr>
        <w:t>ș</w:t>
      </w:r>
      <w:r w:rsidRPr="00A7748B">
        <w:rPr>
          <w:rFonts w:cstheme="minorHAnsi"/>
          <w:color w:val="000000" w:themeColor="text1"/>
          <w:sz w:val="20"/>
          <w:szCs w:val="20"/>
        </w:rPr>
        <w:t>i posibilită</w:t>
      </w:r>
      <w:r w:rsidR="007F52CA" w:rsidRPr="00A7748B">
        <w:rPr>
          <w:rFonts w:cstheme="minorHAnsi"/>
          <w:color w:val="000000" w:themeColor="text1"/>
          <w:sz w:val="20"/>
          <w:szCs w:val="20"/>
        </w:rPr>
        <w:t>ț</w:t>
      </w:r>
      <w:r w:rsidRPr="00A7748B">
        <w:rPr>
          <w:rFonts w:cstheme="minorHAnsi"/>
          <w:color w:val="000000" w:themeColor="text1"/>
          <w:sz w:val="20"/>
          <w:szCs w:val="20"/>
        </w:rPr>
        <w:t>i reduse de învă</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ate, care se pot adapta într-un ritm mai greoi la un anumit nivel  de dezvoltare al tehnologiei </w:t>
      </w:r>
      <w:r w:rsidR="00DC331E" w:rsidRPr="00A7748B">
        <w:rPr>
          <w:rFonts w:cstheme="minorHAnsi"/>
          <w:color w:val="000000" w:themeColor="text1"/>
          <w:sz w:val="20"/>
          <w:szCs w:val="20"/>
        </w:rPr>
        <w:br/>
        <w:t xml:space="preserve">(Walton, P, </w:t>
      </w:r>
      <w:proofErr w:type="spellStart"/>
      <w:r w:rsidR="00DC331E" w:rsidRPr="00A7748B">
        <w:rPr>
          <w:rFonts w:cstheme="minorHAnsi"/>
          <w:color w:val="000000" w:themeColor="text1"/>
          <w:sz w:val="20"/>
          <w:szCs w:val="20"/>
        </w:rPr>
        <w:t>Kop</w:t>
      </w:r>
      <w:proofErr w:type="spellEnd"/>
      <w:r w:rsidR="00DC331E" w:rsidRPr="00A7748B">
        <w:rPr>
          <w:rFonts w:cstheme="minorHAnsi"/>
          <w:color w:val="000000" w:themeColor="text1"/>
          <w:sz w:val="20"/>
          <w:szCs w:val="20"/>
        </w:rPr>
        <w:t xml:space="preserve">, T, </w:t>
      </w:r>
      <w:proofErr w:type="spellStart"/>
      <w:r w:rsidR="00DC331E" w:rsidRPr="00A7748B">
        <w:rPr>
          <w:rFonts w:cstheme="minorHAnsi"/>
          <w:color w:val="000000" w:themeColor="text1"/>
          <w:sz w:val="20"/>
          <w:szCs w:val="20"/>
        </w:rPr>
        <w:t>Spriggs</w:t>
      </w:r>
      <w:proofErr w:type="spellEnd"/>
      <w:r w:rsidR="00DC331E" w:rsidRPr="00A7748B">
        <w:rPr>
          <w:rFonts w:cstheme="minorHAnsi"/>
          <w:color w:val="000000" w:themeColor="text1"/>
          <w:sz w:val="20"/>
          <w:szCs w:val="20"/>
        </w:rPr>
        <w:t>, D, Fitzgerald, B, 2013)</w:t>
      </w:r>
      <w:r w:rsidRPr="00A7748B">
        <w:rPr>
          <w:rFonts w:cstheme="minorHAnsi"/>
          <w:color w:val="000000" w:themeColor="text1"/>
          <w:sz w:val="20"/>
          <w:szCs w:val="20"/>
        </w:rPr>
        <w:t xml:space="preserve">. </w:t>
      </w:r>
    </w:p>
    <w:p w14:paraId="47B38997" w14:textId="6A5C3A85" w:rsidR="00D85B47" w:rsidRPr="00A7748B" w:rsidRDefault="00670D3A" w:rsidP="00822BC1">
      <w:pPr>
        <w:spacing w:after="120" w:line="240" w:lineRule="auto"/>
        <w:jc w:val="both"/>
        <w:rPr>
          <w:rFonts w:cstheme="minorHAnsi"/>
          <w:color w:val="000000" w:themeColor="text1"/>
          <w:sz w:val="20"/>
          <w:szCs w:val="20"/>
        </w:rPr>
      </w:pPr>
      <w:r w:rsidRPr="00A7748B">
        <w:rPr>
          <w:rFonts w:cstheme="minorHAnsi"/>
          <w:color w:val="000000" w:themeColor="text1"/>
          <w:sz w:val="20"/>
          <w:szCs w:val="20"/>
        </w:rPr>
        <w:t xml:space="preserve">Mason, C, </w:t>
      </w:r>
      <w:proofErr w:type="spellStart"/>
      <w:r w:rsidRPr="00A7748B">
        <w:rPr>
          <w:rFonts w:cstheme="minorHAnsi"/>
          <w:color w:val="000000" w:themeColor="text1"/>
          <w:sz w:val="20"/>
          <w:szCs w:val="20"/>
        </w:rPr>
        <w:t>O'Br</w:t>
      </w:r>
      <w:r w:rsidR="00DC331E" w:rsidRPr="00A7748B">
        <w:rPr>
          <w:rFonts w:cstheme="minorHAnsi"/>
          <w:color w:val="000000" w:themeColor="text1"/>
          <w:sz w:val="20"/>
          <w:szCs w:val="20"/>
        </w:rPr>
        <w:t>ien-McInally</w:t>
      </w:r>
      <w:proofErr w:type="spellEnd"/>
      <w:r w:rsidR="00DC331E" w:rsidRPr="00A7748B">
        <w:rPr>
          <w:rFonts w:cstheme="minorHAnsi"/>
          <w:color w:val="000000" w:themeColor="text1"/>
          <w:sz w:val="20"/>
          <w:szCs w:val="20"/>
        </w:rPr>
        <w:t>, B &amp; Dane, S</w:t>
      </w:r>
      <w:r w:rsidRPr="00A7748B">
        <w:rPr>
          <w:rFonts w:cstheme="minorHAnsi"/>
          <w:color w:val="000000" w:themeColor="text1"/>
          <w:sz w:val="20"/>
          <w:szCs w:val="20"/>
        </w:rPr>
        <w:t xml:space="preserve"> în articolul „</w:t>
      </w:r>
      <w:proofErr w:type="spellStart"/>
      <w:r w:rsidRPr="00A7748B">
        <w:rPr>
          <w:rFonts w:cstheme="minorHAnsi"/>
          <w:color w:val="000000" w:themeColor="text1"/>
          <w:sz w:val="20"/>
          <w:szCs w:val="20"/>
        </w:rPr>
        <w:t>High-level</w:t>
      </w:r>
      <w:proofErr w:type="spellEnd"/>
      <w:r w:rsidRPr="00A7748B">
        <w:rPr>
          <w:rFonts w:cstheme="minorHAnsi"/>
          <w:color w:val="000000" w:themeColor="text1"/>
          <w:sz w:val="20"/>
          <w:szCs w:val="20"/>
        </w:rPr>
        <w:t xml:space="preserve"> </w:t>
      </w:r>
      <w:proofErr w:type="spellStart"/>
      <w:r w:rsidRPr="00A7748B">
        <w:rPr>
          <w:rFonts w:cstheme="minorHAnsi"/>
          <w:color w:val="000000" w:themeColor="text1"/>
          <w:sz w:val="20"/>
          <w:szCs w:val="20"/>
        </w:rPr>
        <w:t>stakeholders</w:t>
      </w:r>
      <w:proofErr w:type="spellEnd"/>
      <w:r w:rsidRPr="00A7748B">
        <w:rPr>
          <w:rFonts w:cstheme="minorHAnsi"/>
          <w:color w:val="000000" w:themeColor="text1"/>
          <w:sz w:val="20"/>
          <w:szCs w:val="20"/>
        </w:rPr>
        <w:t xml:space="preserve">' </w:t>
      </w:r>
      <w:proofErr w:type="spellStart"/>
      <w:r w:rsidRPr="00A7748B">
        <w:rPr>
          <w:rFonts w:cstheme="minorHAnsi"/>
          <w:color w:val="000000" w:themeColor="text1"/>
          <w:sz w:val="20"/>
          <w:szCs w:val="20"/>
        </w:rPr>
        <w:t>insights</w:t>
      </w:r>
      <w:proofErr w:type="spellEnd"/>
      <w:r w:rsidRPr="00A7748B">
        <w:rPr>
          <w:rFonts w:cstheme="minorHAnsi"/>
          <w:color w:val="000000" w:themeColor="text1"/>
          <w:sz w:val="20"/>
          <w:szCs w:val="20"/>
        </w:rPr>
        <w:t xml:space="preserve"> on </w:t>
      </w:r>
      <w:proofErr w:type="spellStart"/>
      <w:r w:rsidRPr="00A7748B">
        <w:rPr>
          <w:rFonts w:cstheme="minorHAnsi"/>
          <w:color w:val="000000" w:themeColor="text1"/>
          <w:sz w:val="20"/>
          <w:szCs w:val="20"/>
        </w:rPr>
        <w:t>readying</w:t>
      </w:r>
      <w:proofErr w:type="spellEnd"/>
      <w:r w:rsidRPr="00A7748B">
        <w:rPr>
          <w:rFonts w:cstheme="minorHAnsi"/>
          <w:color w:val="000000" w:themeColor="text1"/>
          <w:sz w:val="20"/>
          <w:szCs w:val="20"/>
        </w:rPr>
        <w:t xml:space="preserve"> Australia for </w:t>
      </w:r>
      <w:proofErr w:type="spellStart"/>
      <w:r w:rsidRPr="00A7748B">
        <w:rPr>
          <w:rFonts w:cstheme="minorHAnsi"/>
          <w:color w:val="000000" w:themeColor="text1"/>
          <w:sz w:val="20"/>
          <w:szCs w:val="20"/>
        </w:rPr>
        <w:t>next</w:t>
      </w:r>
      <w:proofErr w:type="spellEnd"/>
      <w:r w:rsidRPr="00A7748B">
        <w:rPr>
          <w:rFonts w:cstheme="minorHAnsi"/>
          <w:color w:val="000000" w:themeColor="text1"/>
          <w:sz w:val="20"/>
          <w:szCs w:val="20"/>
        </w:rPr>
        <w:t xml:space="preserve"> </w:t>
      </w:r>
      <w:proofErr w:type="spellStart"/>
      <w:r w:rsidRPr="00A7748B">
        <w:rPr>
          <w:rFonts w:cstheme="minorHAnsi"/>
          <w:color w:val="000000" w:themeColor="text1"/>
          <w:sz w:val="20"/>
          <w:szCs w:val="20"/>
        </w:rPr>
        <w:t>generation</w:t>
      </w:r>
      <w:proofErr w:type="spellEnd"/>
      <w:r w:rsidRPr="00A7748B">
        <w:rPr>
          <w:rFonts w:cstheme="minorHAnsi"/>
          <w:color w:val="000000" w:themeColor="text1"/>
          <w:sz w:val="20"/>
          <w:szCs w:val="20"/>
        </w:rPr>
        <w:t xml:space="preserve"> </w:t>
      </w:r>
      <w:proofErr w:type="spellStart"/>
      <w:r w:rsidRPr="00A7748B">
        <w:rPr>
          <w:rFonts w:cstheme="minorHAnsi"/>
          <w:color w:val="000000" w:themeColor="text1"/>
          <w:sz w:val="20"/>
          <w:szCs w:val="20"/>
        </w:rPr>
        <w:t>broadband</w:t>
      </w:r>
      <w:proofErr w:type="spellEnd"/>
      <w:r w:rsidRPr="00A7748B">
        <w:rPr>
          <w:rFonts w:cstheme="minorHAnsi"/>
          <w:color w:val="000000" w:themeColor="text1"/>
          <w:sz w:val="20"/>
          <w:szCs w:val="20"/>
        </w:rPr>
        <w:t>” aduce în prim plan importan</w:t>
      </w:r>
      <w:r w:rsidR="007F52CA" w:rsidRPr="00A7748B">
        <w:rPr>
          <w:rFonts w:cstheme="minorHAnsi"/>
          <w:color w:val="000000" w:themeColor="text1"/>
          <w:sz w:val="20"/>
          <w:szCs w:val="20"/>
        </w:rPr>
        <w:t>ț</w:t>
      </w:r>
      <w:r w:rsidRPr="00A7748B">
        <w:rPr>
          <w:rFonts w:cstheme="minorHAnsi"/>
          <w:color w:val="000000" w:themeColor="text1"/>
          <w:sz w:val="20"/>
          <w:szCs w:val="20"/>
        </w:rPr>
        <w:t>a accesibilită</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ii la anumite resurse digitale </w:t>
      </w:r>
      <w:r w:rsidR="007F52CA" w:rsidRPr="00A7748B">
        <w:rPr>
          <w:rFonts w:cstheme="minorHAnsi"/>
          <w:color w:val="000000" w:themeColor="text1"/>
          <w:sz w:val="20"/>
          <w:szCs w:val="20"/>
        </w:rPr>
        <w:t>ș</w:t>
      </w:r>
      <w:r w:rsidRPr="00A7748B">
        <w:rPr>
          <w:rFonts w:cstheme="minorHAnsi"/>
          <w:color w:val="000000" w:themeColor="text1"/>
          <w:sz w:val="20"/>
          <w:szCs w:val="20"/>
        </w:rPr>
        <w:t>i tehnologice. Accesibilitatea la anumite resurse digitale mută decalajul digital dincolo de no</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iunea de incluziune socială sau economică (pe baza accesului </w:t>
      </w:r>
      <w:r w:rsidR="007F52CA" w:rsidRPr="00A7748B">
        <w:rPr>
          <w:rFonts w:cstheme="minorHAnsi"/>
          <w:color w:val="000000" w:themeColor="text1"/>
          <w:sz w:val="20"/>
          <w:szCs w:val="20"/>
        </w:rPr>
        <w:t>ș</w:t>
      </w:r>
      <w:r w:rsidRPr="00A7748B">
        <w:rPr>
          <w:rFonts w:cstheme="minorHAnsi"/>
          <w:color w:val="000000" w:themeColor="text1"/>
          <w:sz w:val="20"/>
          <w:szCs w:val="20"/>
        </w:rPr>
        <w:t>i disponibilită</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ii infrastructurii de bază precum internetul), subliniind nevoia directă pentru sprijin </w:t>
      </w:r>
      <w:r w:rsidR="007F52CA" w:rsidRPr="00A7748B">
        <w:rPr>
          <w:rFonts w:cstheme="minorHAnsi"/>
          <w:color w:val="000000" w:themeColor="text1"/>
          <w:sz w:val="20"/>
          <w:szCs w:val="20"/>
        </w:rPr>
        <w:t>ș</w:t>
      </w:r>
      <w:r w:rsidRPr="00A7748B">
        <w:rPr>
          <w:rFonts w:cstheme="minorHAnsi"/>
          <w:color w:val="000000" w:themeColor="text1"/>
          <w:sz w:val="20"/>
          <w:szCs w:val="20"/>
        </w:rPr>
        <w:t>i instruire</w:t>
      </w:r>
      <w:r w:rsidR="00667AB3" w:rsidRPr="00A7748B">
        <w:rPr>
          <w:rFonts w:cstheme="minorHAnsi"/>
          <w:color w:val="000000" w:themeColor="text1"/>
          <w:sz w:val="20"/>
          <w:szCs w:val="20"/>
        </w:rPr>
        <w:t xml:space="preserve"> (Mason, C, </w:t>
      </w:r>
      <w:proofErr w:type="spellStart"/>
      <w:r w:rsidR="00667AB3" w:rsidRPr="00A7748B">
        <w:rPr>
          <w:rFonts w:cstheme="minorHAnsi"/>
          <w:color w:val="000000" w:themeColor="text1"/>
          <w:sz w:val="20"/>
          <w:szCs w:val="20"/>
        </w:rPr>
        <w:t>O'Brien-McInally</w:t>
      </w:r>
      <w:proofErr w:type="spellEnd"/>
      <w:r w:rsidR="00667AB3" w:rsidRPr="00A7748B">
        <w:rPr>
          <w:rFonts w:cstheme="minorHAnsi"/>
          <w:color w:val="000000" w:themeColor="text1"/>
          <w:sz w:val="20"/>
          <w:szCs w:val="20"/>
        </w:rPr>
        <w:t>, B &amp; Dane, S 2014)</w:t>
      </w:r>
      <w:r w:rsidRPr="00A7748B">
        <w:rPr>
          <w:rFonts w:cstheme="minorHAnsi"/>
          <w:color w:val="000000" w:themeColor="text1"/>
          <w:sz w:val="20"/>
          <w:szCs w:val="20"/>
        </w:rPr>
        <w:t>. Studiul subliniază că pentru îmbunătă</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irea alfabetizării digitale accesul la resurse, dar </w:t>
      </w:r>
      <w:r w:rsidR="007F52CA" w:rsidRPr="00A7748B">
        <w:rPr>
          <w:rFonts w:cstheme="minorHAnsi"/>
          <w:color w:val="000000" w:themeColor="text1"/>
          <w:sz w:val="20"/>
          <w:szCs w:val="20"/>
        </w:rPr>
        <w:t>ș</w:t>
      </w:r>
      <w:r w:rsidRPr="00A7748B">
        <w:rPr>
          <w:rFonts w:cstheme="minorHAnsi"/>
          <w:color w:val="000000" w:themeColor="text1"/>
          <w:sz w:val="20"/>
          <w:szCs w:val="20"/>
        </w:rPr>
        <w:t>i instruirea au un rol important, pe acest palier guvernele având un rol important în emiterea de politici care să asigure accesul cetă</w:t>
      </w:r>
      <w:r w:rsidR="007F52CA" w:rsidRPr="00A7748B">
        <w:rPr>
          <w:rFonts w:cstheme="minorHAnsi"/>
          <w:color w:val="000000" w:themeColor="text1"/>
          <w:sz w:val="20"/>
          <w:szCs w:val="20"/>
        </w:rPr>
        <w:t>ț</w:t>
      </w:r>
      <w:r w:rsidRPr="00A7748B">
        <w:rPr>
          <w:rFonts w:cstheme="minorHAnsi"/>
          <w:color w:val="000000" w:themeColor="text1"/>
          <w:sz w:val="20"/>
          <w:szCs w:val="20"/>
        </w:rPr>
        <w:t xml:space="preserve">enilor la resurse digitale </w:t>
      </w:r>
      <w:r w:rsidR="007F52CA" w:rsidRPr="00A7748B">
        <w:rPr>
          <w:rFonts w:cstheme="minorHAnsi"/>
          <w:color w:val="000000" w:themeColor="text1"/>
          <w:sz w:val="20"/>
          <w:szCs w:val="20"/>
        </w:rPr>
        <w:t>ș</w:t>
      </w:r>
      <w:r w:rsidRPr="00A7748B">
        <w:rPr>
          <w:rFonts w:cstheme="minorHAnsi"/>
          <w:color w:val="000000" w:themeColor="text1"/>
          <w:sz w:val="20"/>
          <w:szCs w:val="20"/>
        </w:rPr>
        <w:t>i programe de instruire.</w:t>
      </w:r>
    </w:p>
    <w:p w14:paraId="2E920A60" w14:textId="33A4CB9C" w:rsidR="00E8155D" w:rsidRPr="00A7748B" w:rsidRDefault="00E8155D">
      <w:pPr>
        <w:rPr>
          <w:rFonts w:cstheme="minorHAnsi"/>
          <w:color w:val="000000" w:themeColor="text1"/>
          <w:sz w:val="20"/>
          <w:szCs w:val="20"/>
        </w:rPr>
      </w:pPr>
      <w:r w:rsidRPr="00A7748B">
        <w:rPr>
          <w:rFonts w:cstheme="minorHAnsi"/>
          <w:color w:val="000000" w:themeColor="text1"/>
          <w:sz w:val="20"/>
          <w:szCs w:val="20"/>
        </w:rPr>
        <w:br w:type="page"/>
      </w:r>
    </w:p>
    <w:p w14:paraId="25F86DE9" w14:textId="77777777" w:rsidR="00986882" w:rsidRPr="00A7748B" w:rsidRDefault="00986882">
      <w:pPr>
        <w:rPr>
          <w:rFonts w:cstheme="minorHAnsi"/>
          <w:b/>
          <w:bCs/>
          <w:sz w:val="20"/>
          <w:szCs w:val="20"/>
          <w:highlight w:val="cyan"/>
        </w:rPr>
      </w:pPr>
    </w:p>
    <w:p w14:paraId="0C428319" w14:textId="20CB2161" w:rsidR="00CC6BB7" w:rsidRPr="00A7748B" w:rsidRDefault="00F42008" w:rsidP="00DD39BE">
      <w:pPr>
        <w:pStyle w:val="Titlu1"/>
        <w:jc w:val="both"/>
        <w:rPr>
          <w:b/>
          <w:bCs/>
          <w:color w:val="2D788C" w:themeColor="accent3" w:themeShade="BF"/>
          <w:sz w:val="28"/>
          <w:szCs w:val="28"/>
        </w:rPr>
      </w:pPr>
      <w:bookmarkStart w:id="5" w:name="_Toc89198550"/>
      <w:r w:rsidRPr="00A7748B">
        <w:rPr>
          <w:b/>
          <w:bCs/>
          <w:color w:val="2D788C" w:themeColor="accent3" w:themeShade="BF"/>
          <w:sz w:val="28"/>
          <w:szCs w:val="28"/>
        </w:rPr>
        <w:t xml:space="preserve">2. </w:t>
      </w:r>
      <w:r w:rsidR="00DD39BE" w:rsidRPr="00A7748B">
        <w:rPr>
          <w:b/>
          <w:bCs/>
          <w:color w:val="2D788C" w:themeColor="accent3" w:themeShade="BF"/>
          <w:sz w:val="28"/>
          <w:szCs w:val="28"/>
        </w:rPr>
        <w:t>BIBLIOGRAFIE</w:t>
      </w:r>
      <w:bookmarkEnd w:id="5"/>
    </w:p>
    <w:p w14:paraId="37AF191F" w14:textId="77777777" w:rsidR="00741710" w:rsidRPr="00A7748B" w:rsidRDefault="00741710" w:rsidP="00741710">
      <w:pPr>
        <w:rPr>
          <w:rFonts w:cstheme="minorHAnsi"/>
          <w:sz w:val="20"/>
          <w:szCs w:val="20"/>
        </w:rPr>
      </w:pPr>
    </w:p>
    <w:p w14:paraId="68236736" w14:textId="77777777" w:rsidR="00DA2C2B" w:rsidRPr="00A7748B" w:rsidRDefault="00DA2C2B" w:rsidP="00DA2C2B">
      <w:pPr>
        <w:contextualSpacing/>
        <w:rPr>
          <w:rStyle w:val="Hyperlink"/>
          <w:rFonts w:asciiTheme="majorHAnsi" w:hAnsiTheme="majorHAnsi" w:cstheme="majorHAnsi"/>
        </w:rPr>
      </w:pPr>
      <w:r w:rsidRPr="00A7748B">
        <w:rPr>
          <w:rFonts w:asciiTheme="majorHAnsi" w:hAnsiTheme="majorHAnsi" w:cstheme="majorHAnsi"/>
        </w:rPr>
        <w:t xml:space="preserve">Administrația Prezidențială (2016). România Educată, disponibil la </w:t>
      </w:r>
      <w:hyperlink r:id="rId11" w:history="1">
        <w:r w:rsidRPr="00A7748B">
          <w:rPr>
            <w:rStyle w:val="Hyperlink"/>
            <w:rFonts w:asciiTheme="majorHAnsi" w:hAnsiTheme="majorHAnsi" w:cstheme="majorHAnsi"/>
          </w:rPr>
          <w:t>http://www.romaniaeducata.eu/</w:t>
        </w:r>
      </w:hyperlink>
    </w:p>
    <w:p w14:paraId="313B6B5E" w14:textId="77777777" w:rsidR="00DA2C2B" w:rsidRPr="00A7748B" w:rsidRDefault="00DA2C2B" w:rsidP="00DA2C2B">
      <w:pPr>
        <w:contextualSpacing/>
        <w:rPr>
          <w:rStyle w:val="Hyperlink"/>
          <w:rFonts w:asciiTheme="majorHAnsi" w:hAnsiTheme="majorHAnsi" w:cstheme="majorHAnsi"/>
        </w:rPr>
      </w:pPr>
    </w:p>
    <w:p w14:paraId="4DB9D5FB" w14:textId="19414215" w:rsidR="00DA2C2B" w:rsidRPr="00A7748B" w:rsidRDefault="00DA2C2B" w:rsidP="00DA2C2B">
      <w:pPr>
        <w:contextualSpacing/>
        <w:rPr>
          <w:rFonts w:asciiTheme="majorHAnsi" w:hAnsiTheme="majorHAnsi" w:cstheme="majorHAnsi"/>
        </w:rPr>
      </w:pPr>
      <w:proofErr w:type="spellStart"/>
      <w:r w:rsidRPr="00A7748B">
        <w:rPr>
          <w:rFonts w:asciiTheme="majorHAnsi" w:hAnsiTheme="majorHAnsi" w:cstheme="majorHAnsi"/>
        </w:rPr>
        <w:t>Blossfeld</w:t>
      </w:r>
      <w:proofErr w:type="spellEnd"/>
      <w:r w:rsidRPr="00A7748B">
        <w:rPr>
          <w:rFonts w:asciiTheme="majorHAnsi" w:hAnsiTheme="majorHAnsi" w:cstheme="majorHAnsi"/>
        </w:rPr>
        <w:t xml:space="preserve">, H. P. et al. (2018). Suveranitatea digitală și educația. </w:t>
      </w:r>
      <w:proofErr w:type="spellStart"/>
      <w:r w:rsidRPr="00A7748B">
        <w:rPr>
          <w:rFonts w:asciiTheme="majorHAnsi" w:hAnsiTheme="majorHAnsi" w:cstheme="majorHAnsi"/>
        </w:rPr>
        <w:t>Münster</w:t>
      </w:r>
      <w:proofErr w:type="spellEnd"/>
      <w:r w:rsidRPr="00A7748B">
        <w:rPr>
          <w:rFonts w:asciiTheme="majorHAnsi" w:hAnsiTheme="majorHAnsi" w:cstheme="majorHAnsi"/>
        </w:rPr>
        <w:t xml:space="preserve">: </w:t>
      </w:r>
      <w:proofErr w:type="spellStart"/>
      <w:r w:rsidRPr="00A7748B">
        <w:rPr>
          <w:rFonts w:asciiTheme="majorHAnsi" w:hAnsiTheme="majorHAnsi" w:cstheme="majorHAnsi"/>
        </w:rPr>
        <w:t>Waxmann</w:t>
      </w:r>
      <w:proofErr w:type="spellEnd"/>
      <w:r w:rsidRPr="00A7748B">
        <w:rPr>
          <w:rFonts w:asciiTheme="majorHAnsi" w:hAnsiTheme="majorHAnsi" w:cstheme="majorHAnsi"/>
        </w:rPr>
        <w:t xml:space="preserve"> Verlag </w:t>
      </w:r>
      <w:proofErr w:type="spellStart"/>
      <w:r w:rsidRPr="00A7748B">
        <w:rPr>
          <w:rFonts w:asciiTheme="majorHAnsi" w:hAnsiTheme="majorHAnsi" w:cstheme="majorHAnsi"/>
        </w:rPr>
        <w:t>GmbH</w:t>
      </w:r>
      <w:proofErr w:type="spellEnd"/>
    </w:p>
    <w:p w14:paraId="6D52CA3C" w14:textId="77777777" w:rsidR="00DA2C2B" w:rsidRPr="00A7748B" w:rsidRDefault="00DA2C2B" w:rsidP="00DA2C2B">
      <w:pPr>
        <w:pStyle w:val="Textnotdesubsol"/>
        <w:contextualSpacing/>
        <w:jc w:val="both"/>
        <w:rPr>
          <w:rFonts w:asciiTheme="majorHAnsi" w:hAnsiTheme="majorHAnsi" w:cstheme="majorHAnsi"/>
          <w:sz w:val="22"/>
          <w:szCs w:val="22"/>
        </w:rPr>
      </w:pPr>
      <w:proofErr w:type="spellStart"/>
      <w:r w:rsidRPr="00A7748B">
        <w:rPr>
          <w:rFonts w:asciiTheme="majorHAnsi" w:hAnsiTheme="majorHAnsi" w:cstheme="majorHAnsi"/>
          <w:sz w:val="22"/>
          <w:szCs w:val="22"/>
        </w:rPr>
        <w:t>Cachia</w:t>
      </w:r>
      <w:proofErr w:type="spellEnd"/>
      <w:r w:rsidRPr="00A7748B">
        <w:rPr>
          <w:rFonts w:asciiTheme="majorHAnsi" w:hAnsiTheme="majorHAnsi" w:cstheme="majorHAnsi"/>
          <w:sz w:val="22"/>
          <w:szCs w:val="22"/>
        </w:rPr>
        <w:t xml:space="preserve">, R. et al. (2010). Creative </w:t>
      </w:r>
      <w:proofErr w:type="spellStart"/>
      <w:r w:rsidRPr="00A7748B">
        <w:rPr>
          <w:rFonts w:asciiTheme="majorHAnsi" w:hAnsiTheme="majorHAnsi" w:cstheme="majorHAnsi"/>
          <w:sz w:val="22"/>
          <w:szCs w:val="22"/>
        </w:rPr>
        <w:t>Learning</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and</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Innovative</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Teaching</w:t>
      </w:r>
      <w:proofErr w:type="spellEnd"/>
      <w:r w:rsidRPr="00A7748B">
        <w:rPr>
          <w:rFonts w:asciiTheme="majorHAnsi" w:hAnsiTheme="majorHAnsi" w:cstheme="majorHAnsi"/>
          <w:sz w:val="22"/>
          <w:szCs w:val="22"/>
        </w:rPr>
        <w:t xml:space="preserve">: Final Report on </w:t>
      </w:r>
      <w:proofErr w:type="spellStart"/>
      <w:r w:rsidRPr="00A7748B">
        <w:rPr>
          <w:rFonts w:asciiTheme="majorHAnsi" w:hAnsiTheme="majorHAnsi" w:cstheme="majorHAnsi"/>
          <w:sz w:val="22"/>
          <w:szCs w:val="22"/>
        </w:rPr>
        <w:t>the</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Study</w:t>
      </w:r>
      <w:proofErr w:type="spellEnd"/>
      <w:r w:rsidRPr="00A7748B">
        <w:rPr>
          <w:rFonts w:asciiTheme="majorHAnsi" w:hAnsiTheme="majorHAnsi" w:cstheme="majorHAnsi"/>
          <w:sz w:val="22"/>
          <w:szCs w:val="22"/>
        </w:rPr>
        <w:t xml:space="preserve"> on </w:t>
      </w:r>
      <w:proofErr w:type="spellStart"/>
      <w:r w:rsidRPr="00A7748B">
        <w:rPr>
          <w:rFonts w:asciiTheme="majorHAnsi" w:hAnsiTheme="majorHAnsi" w:cstheme="majorHAnsi"/>
          <w:sz w:val="22"/>
          <w:szCs w:val="22"/>
        </w:rPr>
        <w:t>Creativity</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and</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Innovation</w:t>
      </w:r>
      <w:proofErr w:type="spellEnd"/>
      <w:r w:rsidRPr="00A7748B">
        <w:rPr>
          <w:rFonts w:asciiTheme="majorHAnsi" w:hAnsiTheme="majorHAnsi" w:cstheme="majorHAnsi"/>
          <w:sz w:val="22"/>
          <w:szCs w:val="22"/>
        </w:rPr>
        <w:t xml:space="preserve"> in </w:t>
      </w:r>
      <w:proofErr w:type="spellStart"/>
      <w:r w:rsidRPr="00A7748B">
        <w:rPr>
          <w:rFonts w:asciiTheme="majorHAnsi" w:hAnsiTheme="majorHAnsi" w:cstheme="majorHAnsi"/>
          <w:sz w:val="22"/>
          <w:szCs w:val="22"/>
        </w:rPr>
        <w:t>Education</w:t>
      </w:r>
      <w:proofErr w:type="spellEnd"/>
      <w:r w:rsidRPr="00A7748B">
        <w:rPr>
          <w:rFonts w:asciiTheme="majorHAnsi" w:hAnsiTheme="majorHAnsi" w:cstheme="majorHAnsi"/>
          <w:sz w:val="22"/>
          <w:szCs w:val="22"/>
        </w:rPr>
        <w:t xml:space="preserve"> in </w:t>
      </w:r>
      <w:proofErr w:type="spellStart"/>
      <w:r w:rsidRPr="00A7748B">
        <w:rPr>
          <w:rFonts w:asciiTheme="majorHAnsi" w:hAnsiTheme="majorHAnsi" w:cstheme="majorHAnsi"/>
          <w:sz w:val="22"/>
          <w:szCs w:val="22"/>
        </w:rPr>
        <w:t>the</w:t>
      </w:r>
      <w:proofErr w:type="spellEnd"/>
      <w:r w:rsidRPr="00A7748B">
        <w:rPr>
          <w:rFonts w:asciiTheme="majorHAnsi" w:hAnsiTheme="majorHAnsi" w:cstheme="majorHAnsi"/>
          <w:sz w:val="22"/>
          <w:szCs w:val="22"/>
        </w:rPr>
        <w:t xml:space="preserve"> EU </w:t>
      </w:r>
      <w:proofErr w:type="spellStart"/>
      <w:r w:rsidRPr="00A7748B">
        <w:rPr>
          <w:rFonts w:asciiTheme="majorHAnsi" w:hAnsiTheme="majorHAnsi" w:cstheme="majorHAnsi"/>
          <w:sz w:val="22"/>
          <w:szCs w:val="22"/>
        </w:rPr>
        <w:t>Member</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States</w:t>
      </w:r>
      <w:proofErr w:type="spellEnd"/>
      <w:r w:rsidRPr="00A7748B">
        <w:rPr>
          <w:rFonts w:asciiTheme="majorHAnsi" w:hAnsiTheme="majorHAnsi" w:cstheme="majorHAnsi"/>
          <w:sz w:val="22"/>
          <w:szCs w:val="22"/>
        </w:rPr>
        <w:t>. Luxemburg: Oficiul pentru Publicații al Uniunii Europene</w:t>
      </w:r>
    </w:p>
    <w:p w14:paraId="7790DD97" w14:textId="77777777" w:rsidR="00DA2C2B" w:rsidRPr="00A7748B" w:rsidRDefault="00DA2C2B" w:rsidP="00DA2C2B">
      <w:pPr>
        <w:contextualSpacing/>
        <w:rPr>
          <w:rFonts w:asciiTheme="majorHAnsi" w:hAnsiTheme="majorHAnsi" w:cstheme="majorHAnsi"/>
          <w:color w:val="000000" w:themeColor="text1"/>
        </w:rPr>
      </w:pPr>
    </w:p>
    <w:p w14:paraId="5D3A7BDA" w14:textId="0B91F261" w:rsidR="00DA2C2B" w:rsidRPr="00A7748B" w:rsidRDefault="00DA2C2B" w:rsidP="00DA2C2B">
      <w:pPr>
        <w:contextualSpacing/>
        <w:rPr>
          <w:rFonts w:asciiTheme="majorHAnsi" w:hAnsiTheme="majorHAnsi" w:cstheme="majorHAnsi"/>
          <w:color w:val="000000" w:themeColor="text1"/>
        </w:rPr>
      </w:pPr>
      <w:r w:rsidRPr="00A7748B">
        <w:rPr>
          <w:rFonts w:asciiTheme="majorHAnsi" w:hAnsiTheme="majorHAnsi" w:cstheme="majorHAnsi"/>
          <w:color w:val="000000" w:themeColor="text1"/>
        </w:rPr>
        <w:t xml:space="preserve">Canberra. C. (2020). </w:t>
      </w:r>
      <w:proofErr w:type="spellStart"/>
      <w:r w:rsidRPr="00A7748B">
        <w:rPr>
          <w:rFonts w:asciiTheme="majorHAnsi" w:hAnsiTheme="majorHAnsi" w:cstheme="majorHAnsi"/>
          <w:color w:val="000000" w:themeColor="text1"/>
        </w:rPr>
        <w:t>Staying</w:t>
      </w:r>
      <w:proofErr w:type="spellEnd"/>
      <w:r w:rsidRPr="00A7748B">
        <w:rPr>
          <w:rFonts w:asciiTheme="majorHAnsi" w:hAnsiTheme="majorHAnsi" w:cstheme="majorHAnsi"/>
          <w:color w:val="000000" w:themeColor="text1"/>
        </w:rPr>
        <w:t xml:space="preserve"> </w:t>
      </w:r>
      <w:proofErr w:type="spellStart"/>
      <w:r w:rsidRPr="00A7748B">
        <w:rPr>
          <w:rFonts w:asciiTheme="majorHAnsi" w:hAnsiTheme="majorHAnsi" w:cstheme="majorHAnsi"/>
          <w:color w:val="000000" w:themeColor="text1"/>
        </w:rPr>
        <w:t>connected</w:t>
      </w:r>
      <w:proofErr w:type="spellEnd"/>
      <w:r w:rsidRPr="00A7748B">
        <w:rPr>
          <w:rFonts w:asciiTheme="majorHAnsi" w:hAnsiTheme="majorHAnsi" w:cstheme="majorHAnsi"/>
          <w:color w:val="000000" w:themeColor="text1"/>
        </w:rPr>
        <w:t xml:space="preserve">: </w:t>
      </w:r>
      <w:proofErr w:type="spellStart"/>
      <w:r w:rsidRPr="00A7748B">
        <w:rPr>
          <w:rFonts w:asciiTheme="majorHAnsi" w:hAnsiTheme="majorHAnsi" w:cstheme="majorHAnsi"/>
          <w:color w:val="000000" w:themeColor="text1"/>
        </w:rPr>
        <w:t>the</w:t>
      </w:r>
      <w:proofErr w:type="spellEnd"/>
      <w:r w:rsidRPr="00A7748B">
        <w:rPr>
          <w:rFonts w:asciiTheme="majorHAnsi" w:hAnsiTheme="majorHAnsi" w:cstheme="majorHAnsi"/>
          <w:color w:val="000000" w:themeColor="text1"/>
        </w:rPr>
        <w:t xml:space="preserve"> impact of digital </w:t>
      </w:r>
      <w:proofErr w:type="spellStart"/>
      <w:r w:rsidRPr="00A7748B">
        <w:rPr>
          <w:rFonts w:asciiTheme="majorHAnsi" w:hAnsiTheme="majorHAnsi" w:cstheme="majorHAnsi"/>
          <w:color w:val="000000" w:themeColor="text1"/>
        </w:rPr>
        <w:t>exclusion</w:t>
      </w:r>
      <w:proofErr w:type="spellEnd"/>
      <w:r w:rsidRPr="00A7748B">
        <w:rPr>
          <w:rFonts w:asciiTheme="majorHAnsi" w:hAnsiTheme="majorHAnsi" w:cstheme="majorHAnsi"/>
          <w:color w:val="000000" w:themeColor="text1"/>
        </w:rPr>
        <w:t xml:space="preserve"> on </w:t>
      </w:r>
      <w:proofErr w:type="spellStart"/>
      <w:r w:rsidRPr="00A7748B">
        <w:rPr>
          <w:rFonts w:asciiTheme="majorHAnsi" w:hAnsiTheme="majorHAnsi" w:cstheme="majorHAnsi"/>
          <w:color w:val="000000" w:themeColor="text1"/>
        </w:rPr>
        <w:t>people</w:t>
      </w:r>
      <w:proofErr w:type="spellEnd"/>
      <w:r w:rsidRPr="00A7748B">
        <w:rPr>
          <w:rFonts w:asciiTheme="majorHAnsi" w:hAnsiTheme="majorHAnsi" w:cstheme="majorHAnsi"/>
          <w:color w:val="000000" w:themeColor="text1"/>
        </w:rPr>
        <w:t xml:space="preserve"> living on </w:t>
      </w:r>
      <w:proofErr w:type="spellStart"/>
      <w:r w:rsidRPr="00A7748B">
        <w:rPr>
          <w:rFonts w:asciiTheme="majorHAnsi" w:hAnsiTheme="majorHAnsi" w:cstheme="majorHAnsi"/>
          <w:color w:val="000000" w:themeColor="text1"/>
        </w:rPr>
        <w:t>low-incomes</w:t>
      </w:r>
      <w:proofErr w:type="spellEnd"/>
      <w:r w:rsidRPr="00A7748B">
        <w:rPr>
          <w:rFonts w:asciiTheme="majorHAnsi" w:hAnsiTheme="majorHAnsi" w:cstheme="majorHAnsi"/>
          <w:color w:val="000000" w:themeColor="text1"/>
        </w:rPr>
        <w:t xml:space="preserve"> </w:t>
      </w:r>
      <w:proofErr w:type="spellStart"/>
      <w:r w:rsidRPr="00A7748B">
        <w:rPr>
          <w:rFonts w:asciiTheme="majorHAnsi" w:hAnsiTheme="majorHAnsi" w:cstheme="majorHAnsi"/>
          <w:color w:val="000000" w:themeColor="text1"/>
        </w:rPr>
        <w:t>and</w:t>
      </w:r>
      <w:proofErr w:type="spellEnd"/>
      <w:r w:rsidRPr="00A7748B">
        <w:rPr>
          <w:rFonts w:asciiTheme="majorHAnsi" w:hAnsiTheme="majorHAnsi" w:cstheme="majorHAnsi"/>
          <w:color w:val="000000" w:themeColor="text1"/>
        </w:rPr>
        <w:t xml:space="preserve"> </w:t>
      </w:r>
      <w:proofErr w:type="spellStart"/>
      <w:r w:rsidRPr="00A7748B">
        <w:rPr>
          <w:rFonts w:asciiTheme="majorHAnsi" w:hAnsiTheme="majorHAnsi" w:cstheme="majorHAnsi"/>
          <w:color w:val="000000" w:themeColor="text1"/>
        </w:rPr>
        <w:t>the</w:t>
      </w:r>
      <w:proofErr w:type="spellEnd"/>
      <w:r w:rsidRPr="00A7748B">
        <w:rPr>
          <w:rFonts w:asciiTheme="majorHAnsi" w:hAnsiTheme="majorHAnsi" w:cstheme="majorHAnsi"/>
          <w:color w:val="000000" w:themeColor="text1"/>
        </w:rPr>
        <w:t xml:space="preserve"> </w:t>
      </w:r>
      <w:proofErr w:type="spellStart"/>
      <w:r w:rsidRPr="00A7748B">
        <w:rPr>
          <w:rFonts w:asciiTheme="majorHAnsi" w:hAnsiTheme="majorHAnsi" w:cstheme="majorHAnsi"/>
          <w:color w:val="000000" w:themeColor="text1"/>
        </w:rPr>
        <w:t>community</w:t>
      </w:r>
      <w:proofErr w:type="spellEnd"/>
      <w:r w:rsidRPr="00A7748B">
        <w:rPr>
          <w:rFonts w:asciiTheme="majorHAnsi" w:hAnsiTheme="majorHAnsi" w:cstheme="majorHAnsi"/>
          <w:color w:val="000000" w:themeColor="text1"/>
        </w:rPr>
        <w:t xml:space="preserve"> </w:t>
      </w:r>
      <w:proofErr w:type="spellStart"/>
      <w:r w:rsidRPr="00A7748B">
        <w:rPr>
          <w:rFonts w:asciiTheme="majorHAnsi" w:hAnsiTheme="majorHAnsi" w:cstheme="majorHAnsi"/>
          <w:color w:val="000000" w:themeColor="text1"/>
        </w:rPr>
        <w:t>organisations</w:t>
      </w:r>
      <w:proofErr w:type="spellEnd"/>
      <w:r w:rsidRPr="00A7748B">
        <w:rPr>
          <w:rFonts w:asciiTheme="majorHAnsi" w:hAnsiTheme="majorHAnsi" w:cstheme="majorHAnsi"/>
          <w:color w:val="000000" w:themeColor="text1"/>
        </w:rPr>
        <w:t xml:space="preserve"> </w:t>
      </w:r>
      <w:proofErr w:type="spellStart"/>
      <w:r w:rsidRPr="00A7748B">
        <w:rPr>
          <w:rFonts w:asciiTheme="majorHAnsi" w:hAnsiTheme="majorHAnsi" w:cstheme="majorHAnsi"/>
          <w:color w:val="000000" w:themeColor="text1"/>
        </w:rPr>
        <w:t>that</w:t>
      </w:r>
      <w:proofErr w:type="spellEnd"/>
      <w:r w:rsidRPr="00A7748B">
        <w:rPr>
          <w:rFonts w:asciiTheme="majorHAnsi" w:hAnsiTheme="majorHAnsi" w:cstheme="majorHAnsi"/>
          <w:color w:val="000000" w:themeColor="text1"/>
        </w:rPr>
        <w:t xml:space="preserve"> </w:t>
      </w:r>
      <w:proofErr w:type="spellStart"/>
      <w:r w:rsidRPr="00A7748B">
        <w:rPr>
          <w:rFonts w:asciiTheme="majorHAnsi" w:hAnsiTheme="majorHAnsi" w:cstheme="majorHAnsi"/>
          <w:color w:val="000000" w:themeColor="text1"/>
        </w:rPr>
        <w:t>support</w:t>
      </w:r>
      <w:proofErr w:type="spellEnd"/>
      <w:r w:rsidRPr="00A7748B">
        <w:rPr>
          <w:rFonts w:asciiTheme="majorHAnsi" w:hAnsiTheme="majorHAnsi" w:cstheme="majorHAnsi"/>
          <w:color w:val="000000" w:themeColor="text1"/>
        </w:rPr>
        <w:t xml:space="preserve"> </w:t>
      </w:r>
      <w:proofErr w:type="spellStart"/>
      <w:r w:rsidRPr="00A7748B">
        <w:rPr>
          <w:rFonts w:asciiTheme="majorHAnsi" w:hAnsiTheme="majorHAnsi" w:cstheme="majorHAnsi"/>
          <w:color w:val="000000" w:themeColor="text1"/>
        </w:rPr>
        <w:t>them</w:t>
      </w:r>
      <w:proofErr w:type="spellEnd"/>
      <w:r w:rsidRPr="00A7748B">
        <w:rPr>
          <w:rFonts w:asciiTheme="majorHAnsi" w:hAnsiTheme="majorHAnsi" w:cstheme="majorHAnsi"/>
          <w:color w:val="000000" w:themeColor="text1"/>
        </w:rPr>
        <w:t>. Commonwealth Australia</w:t>
      </w:r>
    </w:p>
    <w:p w14:paraId="27AE3E27" w14:textId="77777777" w:rsidR="00DA2C2B" w:rsidRPr="00A7748B" w:rsidRDefault="00DA2C2B" w:rsidP="00DA2C2B">
      <w:pPr>
        <w:pStyle w:val="Textnotdesubsol"/>
        <w:contextualSpacing/>
        <w:jc w:val="both"/>
        <w:rPr>
          <w:rFonts w:asciiTheme="majorHAnsi" w:hAnsiTheme="majorHAnsi" w:cstheme="majorHAnsi"/>
          <w:sz w:val="22"/>
          <w:szCs w:val="22"/>
        </w:rPr>
      </w:pPr>
      <w:proofErr w:type="spellStart"/>
      <w:r w:rsidRPr="00A7748B">
        <w:rPr>
          <w:rFonts w:asciiTheme="majorHAnsi" w:hAnsiTheme="majorHAnsi" w:cstheme="majorHAnsi"/>
          <w:sz w:val="22"/>
          <w:szCs w:val="22"/>
        </w:rPr>
        <w:t>Cedefop</w:t>
      </w:r>
      <w:proofErr w:type="spellEnd"/>
      <w:r w:rsidRPr="00A7748B">
        <w:rPr>
          <w:rFonts w:asciiTheme="majorHAnsi" w:hAnsiTheme="majorHAnsi" w:cstheme="majorHAnsi"/>
          <w:sz w:val="22"/>
          <w:szCs w:val="22"/>
        </w:rPr>
        <w:t xml:space="preserve"> (2016). The </w:t>
      </w:r>
      <w:proofErr w:type="spellStart"/>
      <w:r w:rsidRPr="00A7748B">
        <w:rPr>
          <w:rFonts w:asciiTheme="majorHAnsi" w:hAnsiTheme="majorHAnsi" w:cstheme="majorHAnsi"/>
          <w:sz w:val="22"/>
          <w:szCs w:val="22"/>
        </w:rPr>
        <w:t>great</w:t>
      </w:r>
      <w:proofErr w:type="spellEnd"/>
      <w:r w:rsidRPr="00A7748B">
        <w:rPr>
          <w:rFonts w:asciiTheme="majorHAnsi" w:hAnsiTheme="majorHAnsi" w:cstheme="majorHAnsi"/>
          <w:sz w:val="22"/>
          <w:szCs w:val="22"/>
        </w:rPr>
        <w:t xml:space="preserve"> divide: </w:t>
      </w:r>
      <w:proofErr w:type="spellStart"/>
      <w:r w:rsidRPr="00A7748B">
        <w:rPr>
          <w:rFonts w:asciiTheme="majorHAnsi" w:hAnsiTheme="majorHAnsi" w:cstheme="majorHAnsi"/>
          <w:sz w:val="22"/>
          <w:szCs w:val="22"/>
        </w:rPr>
        <w:t>Digitalisation</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and</w:t>
      </w:r>
      <w:proofErr w:type="spellEnd"/>
      <w:r w:rsidRPr="00A7748B">
        <w:rPr>
          <w:rFonts w:asciiTheme="majorHAnsi" w:hAnsiTheme="majorHAnsi" w:cstheme="majorHAnsi"/>
          <w:sz w:val="22"/>
          <w:szCs w:val="22"/>
        </w:rPr>
        <w:t xml:space="preserve"> digital </w:t>
      </w:r>
      <w:proofErr w:type="spellStart"/>
      <w:r w:rsidRPr="00A7748B">
        <w:rPr>
          <w:rFonts w:asciiTheme="majorHAnsi" w:hAnsiTheme="majorHAnsi" w:cstheme="majorHAnsi"/>
          <w:sz w:val="22"/>
          <w:szCs w:val="22"/>
        </w:rPr>
        <w:t>skill</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gaps</w:t>
      </w:r>
      <w:proofErr w:type="spellEnd"/>
      <w:r w:rsidRPr="00A7748B">
        <w:rPr>
          <w:rFonts w:asciiTheme="majorHAnsi" w:hAnsiTheme="majorHAnsi" w:cstheme="majorHAnsi"/>
          <w:sz w:val="22"/>
          <w:szCs w:val="22"/>
        </w:rPr>
        <w:t xml:space="preserve"> in </w:t>
      </w:r>
      <w:proofErr w:type="spellStart"/>
      <w:r w:rsidRPr="00A7748B">
        <w:rPr>
          <w:rFonts w:asciiTheme="majorHAnsi" w:hAnsiTheme="majorHAnsi" w:cstheme="majorHAnsi"/>
          <w:sz w:val="22"/>
          <w:szCs w:val="22"/>
        </w:rPr>
        <w:t>the</w:t>
      </w:r>
      <w:proofErr w:type="spellEnd"/>
      <w:r w:rsidRPr="00A7748B">
        <w:rPr>
          <w:rFonts w:asciiTheme="majorHAnsi" w:hAnsiTheme="majorHAnsi" w:cstheme="majorHAnsi"/>
          <w:sz w:val="22"/>
          <w:szCs w:val="22"/>
        </w:rPr>
        <w:t xml:space="preserve"> EU </w:t>
      </w:r>
      <w:proofErr w:type="spellStart"/>
      <w:r w:rsidRPr="00A7748B">
        <w:rPr>
          <w:rFonts w:asciiTheme="majorHAnsi" w:hAnsiTheme="majorHAnsi" w:cstheme="majorHAnsi"/>
          <w:sz w:val="22"/>
          <w:szCs w:val="22"/>
        </w:rPr>
        <w:t>workforce</w:t>
      </w:r>
      <w:proofErr w:type="spellEnd"/>
      <w:r w:rsidRPr="00A7748B">
        <w:rPr>
          <w:rFonts w:asciiTheme="majorHAnsi" w:hAnsiTheme="majorHAnsi" w:cstheme="majorHAnsi"/>
          <w:sz w:val="22"/>
          <w:szCs w:val="22"/>
        </w:rPr>
        <w:t xml:space="preserve">. #ESJsurvey </w:t>
      </w:r>
      <w:proofErr w:type="spellStart"/>
      <w:r w:rsidRPr="00A7748B">
        <w:rPr>
          <w:rFonts w:asciiTheme="majorHAnsi" w:hAnsiTheme="majorHAnsi" w:cstheme="majorHAnsi"/>
          <w:sz w:val="22"/>
          <w:szCs w:val="22"/>
        </w:rPr>
        <w:t>Insights</w:t>
      </w:r>
      <w:proofErr w:type="spellEnd"/>
      <w:r w:rsidRPr="00A7748B">
        <w:rPr>
          <w:rFonts w:asciiTheme="majorHAnsi" w:hAnsiTheme="majorHAnsi" w:cstheme="majorHAnsi"/>
          <w:sz w:val="22"/>
          <w:szCs w:val="22"/>
        </w:rPr>
        <w:t xml:space="preserve">, No 9. , disponibil pe: http://www.cedefop.europa.eu/files/esj_insight_9_digital_skills_final. </w:t>
      </w:r>
      <w:proofErr w:type="spellStart"/>
      <w:r w:rsidRPr="00A7748B">
        <w:rPr>
          <w:rFonts w:asciiTheme="majorHAnsi" w:hAnsiTheme="majorHAnsi" w:cstheme="majorHAnsi"/>
          <w:sz w:val="22"/>
          <w:szCs w:val="22"/>
        </w:rPr>
        <w:t>pdf</w:t>
      </w:r>
      <w:proofErr w:type="spellEnd"/>
    </w:p>
    <w:p w14:paraId="62931D7B" w14:textId="77777777" w:rsidR="00DA2C2B" w:rsidRPr="00A7748B" w:rsidRDefault="00DA2C2B" w:rsidP="00DA2C2B">
      <w:pPr>
        <w:pStyle w:val="Textnotdesubsol"/>
        <w:contextualSpacing/>
        <w:jc w:val="both"/>
        <w:rPr>
          <w:rFonts w:asciiTheme="majorHAnsi" w:hAnsiTheme="majorHAnsi" w:cstheme="majorHAnsi"/>
          <w:sz w:val="22"/>
          <w:szCs w:val="22"/>
        </w:rPr>
      </w:pPr>
    </w:p>
    <w:p w14:paraId="40DEE42E" w14:textId="77777777" w:rsidR="00DA2C2B" w:rsidRPr="00A7748B" w:rsidRDefault="00DA2C2B" w:rsidP="00DA2C2B">
      <w:pPr>
        <w:pStyle w:val="Textnotdesubsol"/>
        <w:contextualSpacing/>
        <w:rPr>
          <w:rFonts w:asciiTheme="majorHAnsi" w:hAnsiTheme="majorHAnsi" w:cstheme="majorHAnsi"/>
          <w:sz w:val="22"/>
          <w:szCs w:val="22"/>
        </w:rPr>
      </w:pPr>
      <w:r w:rsidRPr="00A7748B">
        <w:rPr>
          <w:rFonts w:asciiTheme="majorHAnsi" w:hAnsiTheme="majorHAnsi" w:cstheme="majorHAnsi"/>
          <w:sz w:val="22"/>
          <w:szCs w:val="22"/>
        </w:rPr>
        <w:t>Centrul Comun de Cercetare al Comisiei Europene (2020). Cadrul european al competenței digitale pentru cetățeni (</w:t>
      </w:r>
      <w:proofErr w:type="spellStart"/>
      <w:r w:rsidRPr="00A7748B">
        <w:rPr>
          <w:rFonts w:asciiTheme="majorHAnsi" w:hAnsiTheme="majorHAnsi" w:cstheme="majorHAnsi"/>
          <w:sz w:val="22"/>
          <w:szCs w:val="22"/>
        </w:rPr>
        <w:t>DigComp</w:t>
      </w:r>
      <w:proofErr w:type="spellEnd"/>
      <w:r w:rsidRPr="00A7748B">
        <w:rPr>
          <w:rFonts w:asciiTheme="majorHAnsi" w:hAnsiTheme="majorHAnsi" w:cstheme="majorHAnsi"/>
          <w:sz w:val="22"/>
          <w:szCs w:val="22"/>
        </w:rPr>
        <w:t xml:space="preserve">). disponibil la </w:t>
      </w:r>
      <w:hyperlink r:id="rId12" w:history="1">
        <w:r w:rsidRPr="00A7748B">
          <w:rPr>
            <w:rStyle w:val="Hyperlink"/>
            <w:rFonts w:asciiTheme="majorHAnsi" w:hAnsiTheme="majorHAnsi" w:cstheme="majorHAnsi"/>
            <w:sz w:val="22"/>
            <w:szCs w:val="22"/>
          </w:rPr>
          <w:t>https://ecdl.ro/uploads/articole/resources/files/Brosura_ECDL_DigComp_RO.pdf</w:t>
        </w:r>
      </w:hyperlink>
      <w:r w:rsidRPr="00A7748B">
        <w:rPr>
          <w:rFonts w:asciiTheme="majorHAnsi" w:hAnsiTheme="majorHAnsi" w:cstheme="majorHAnsi"/>
          <w:sz w:val="22"/>
          <w:szCs w:val="22"/>
        </w:rPr>
        <w:t xml:space="preserve"> </w:t>
      </w:r>
    </w:p>
    <w:p w14:paraId="41E49326" w14:textId="77777777" w:rsidR="00DA2C2B" w:rsidRPr="00A7748B" w:rsidRDefault="00DA2C2B" w:rsidP="00DA2C2B">
      <w:pPr>
        <w:pStyle w:val="Textnotdesubsol"/>
        <w:contextualSpacing/>
        <w:jc w:val="both"/>
        <w:rPr>
          <w:rFonts w:asciiTheme="majorHAnsi" w:hAnsiTheme="majorHAnsi" w:cstheme="majorHAnsi"/>
          <w:sz w:val="22"/>
          <w:szCs w:val="22"/>
        </w:rPr>
      </w:pPr>
    </w:p>
    <w:p w14:paraId="78EDFBDB" w14:textId="77777777" w:rsidR="00DA2C2B" w:rsidRPr="00A7748B" w:rsidRDefault="00DA2C2B" w:rsidP="00DA2C2B">
      <w:pPr>
        <w:pStyle w:val="Textnotdesubsol"/>
        <w:contextualSpacing/>
        <w:rPr>
          <w:rFonts w:asciiTheme="majorHAnsi" w:hAnsiTheme="majorHAnsi" w:cstheme="majorHAnsi"/>
          <w:sz w:val="22"/>
          <w:szCs w:val="22"/>
        </w:rPr>
      </w:pPr>
      <w:r w:rsidRPr="00A7748B">
        <w:rPr>
          <w:rFonts w:asciiTheme="majorHAnsi" w:hAnsiTheme="majorHAnsi" w:cstheme="majorHAnsi"/>
          <w:sz w:val="22"/>
          <w:szCs w:val="22"/>
        </w:rPr>
        <w:t xml:space="preserve">Council of Europe (2020). </w:t>
      </w:r>
      <w:proofErr w:type="spellStart"/>
      <w:r w:rsidRPr="00A7748B">
        <w:rPr>
          <w:rFonts w:asciiTheme="majorHAnsi" w:hAnsiTheme="majorHAnsi" w:cstheme="majorHAnsi"/>
          <w:sz w:val="22"/>
          <w:szCs w:val="22"/>
        </w:rPr>
        <w:t>Communication</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From</w:t>
      </w:r>
      <w:proofErr w:type="spellEnd"/>
      <w:r w:rsidRPr="00A7748B">
        <w:rPr>
          <w:rFonts w:asciiTheme="majorHAnsi" w:hAnsiTheme="majorHAnsi" w:cstheme="majorHAnsi"/>
          <w:sz w:val="22"/>
          <w:szCs w:val="22"/>
        </w:rPr>
        <w:t xml:space="preserve"> The </w:t>
      </w:r>
      <w:proofErr w:type="spellStart"/>
      <w:r w:rsidRPr="00A7748B">
        <w:rPr>
          <w:rFonts w:asciiTheme="majorHAnsi" w:hAnsiTheme="majorHAnsi" w:cstheme="majorHAnsi"/>
          <w:sz w:val="22"/>
          <w:szCs w:val="22"/>
        </w:rPr>
        <w:t>Commission</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To</w:t>
      </w:r>
      <w:proofErr w:type="spellEnd"/>
      <w:r w:rsidRPr="00A7748B">
        <w:rPr>
          <w:rFonts w:asciiTheme="majorHAnsi" w:hAnsiTheme="majorHAnsi" w:cstheme="majorHAnsi"/>
          <w:sz w:val="22"/>
          <w:szCs w:val="22"/>
        </w:rPr>
        <w:t xml:space="preserve"> The European </w:t>
      </w:r>
      <w:proofErr w:type="spellStart"/>
      <w:r w:rsidRPr="00A7748B">
        <w:rPr>
          <w:rFonts w:asciiTheme="majorHAnsi" w:hAnsiTheme="majorHAnsi" w:cstheme="majorHAnsi"/>
          <w:sz w:val="22"/>
          <w:szCs w:val="22"/>
        </w:rPr>
        <w:t>Parliament</w:t>
      </w:r>
      <w:proofErr w:type="spellEnd"/>
      <w:r w:rsidRPr="00A7748B">
        <w:rPr>
          <w:rFonts w:asciiTheme="majorHAnsi" w:hAnsiTheme="majorHAnsi" w:cstheme="majorHAnsi"/>
          <w:sz w:val="22"/>
          <w:szCs w:val="22"/>
        </w:rPr>
        <w:t xml:space="preserve">, The Council, The European Economic </w:t>
      </w:r>
      <w:proofErr w:type="spellStart"/>
      <w:r w:rsidRPr="00A7748B">
        <w:rPr>
          <w:rFonts w:asciiTheme="majorHAnsi" w:hAnsiTheme="majorHAnsi" w:cstheme="majorHAnsi"/>
          <w:sz w:val="22"/>
          <w:szCs w:val="22"/>
        </w:rPr>
        <w:t>And</w:t>
      </w:r>
      <w:proofErr w:type="spellEnd"/>
      <w:r w:rsidRPr="00A7748B">
        <w:rPr>
          <w:rFonts w:asciiTheme="majorHAnsi" w:hAnsiTheme="majorHAnsi" w:cstheme="majorHAnsi"/>
          <w:sz w:val="22"/>
          <w:szCs w:val="22"/>
        </w:rPr>
        <w:t xml:space="preserve"> Social </w:t>
      </w:r>
      <w:proofErr w:type="spellStart"/>
      <w:r w:rsidRPr="00A7748B">
        <w:rPr>
          <w:rFonts w:asciiTheme="majorHAnsi" w:hAnsiTheme="majorHAnsi" w:cstheme="majorHAnsi"/>
          <w:sz w:val="22"/>
          <w:szCs w:val="22"/>
        </w:rPr>
        <w:t>Committee</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And</w:t>
      </w:r>
      <w:proofErr w:type="spellEnd"/>
      <w:r w:rsidRPr="00A7748B">
        <w:rPr>
          <w:rFonts w:asciiTheme="majorHAnsi" w:hAnsiTheme="majorHAnsi" w:cstheme="majorHAnsi"/>
          <w:sz w:val="22"/>
          <w:szCs w:val="22"/>
        </w:rPr>
        <w:t xml:space="preserve"> The </w:t>
      </w:r>
      <w:proofErr w:type="spellStart"/>
      <w:r w:rsidRPr="00A7748B">
        <w:rPr>
          <w:rFonts w:asciiTheme="majorHAnsi" w:hAnsiTheme="majorHAnsi" w:cstheme="majorHAnsi"/>
          <w:sz w:val="22"/>
          <w:szCs w:val="22"/>
        </w:rPr>
        <w:t>Committee</w:t>
      </w:r>
      <w:proofErr w:type="spellEnd"/>
      <w:r w:rsidRPr="00A7748B">
        <w:rPr>
          <w:rFonts w:asciiTheme="majorHAnsi" w:hAnsiTheme="majorHAnsi" w:cstheme="majorHAnsi"/>
          <w:sz w:val="22"/>
          <w:szCs w:val="22"/>
        </w:rPr>
        <w:t xml:space="preserve"> Of The </w:t>
      </w:r>
      <w:proofErr w:type="spellStart"/>
      <w:r w:rsidRPr="00A7748B">
        <w:rPr>
          <w:rFonts w:asciiTheme="majorHAnsi" w:hAnsiTheme="majorHAnsi" w:cstheme="majorHAnsi"/>
          <w:sz w:val="22"/>
          <w:szCs w:val="22"/>
        </w:rPr>
        <w:t>Regions</w:t>
      </w:r>
      <w:proofErr w:type="spellEnd"/>
      <w:r w:rsidRPr="00A7748B">
        <w:rPr>
          <w:rFonts w:asciiTheme="majorHAnsi" w:hAnsiTheme="majorHAnsi" w:cstheme="majorHAnsi"/>
          <w:sz w:val="22"/>
          <w:szCs w:val="22"/>
        </w:rPr>
        <w:t xml:space="preserve"> on </w:t>
      </w:r>
      <w:proofErr w:type="spellStart"/>
      <w:r w:rsidRPr="00A7748B">
        <w:rPr>
          <w:rFonts w:asciiTheme="majorHAnsi" w:hAnsiTheme="majorHAnsi" w:cstheme="majorHAnsi"/>
          <w:sz w:val="22"/>
          <w:szCs w:val="22"/>
        </w:rPr>
        <w:t>achieving</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the</w:t>
      </w:r>
      <w:proofErr w:type="spellEnd"/>
      <w:r w:rsidRPr="00A7748B">
        <w:rPr>
          <w:rFonts w:asciiTheme="majorHAnsi" w:hAnsiTheme="majorHAnsi" w:cstheme="majorHAnsi"/>
          <w:sz w:val="22"/>
          <w:szCs w:val="22"/>
        </w:rPr>
        <w:t xml:space="preserve"> European </w:t>
      </w:r>
      <w:proofErr w:type="spellStart"/>
      <w:r w:rsidRPr="00A7748B">
        <w:rPr>
          <w:rFonts w:asciiTheme="majorHAnsi" w:hAnsiTheme="majorHAnsi" w:cstheme="majorHAnsi"/>
          <w:sz w:val="22"/>
          <w:szCs w:val="22"/>
        </w:rPr>
        <w:t>Education</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Area</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by</w:t>
      </w:r>
      <w:proofErr w:type="spellEnd"/>
      <w:r w:rsidRPr="00A7748B">
        <w:rPr>
          <w:rFonts w:asciiTheme="majorHAnsi" w:hAnsiTheme="majorHAnsi" w:cstheme="majorHAnsi"/>
          <w:sz w:val="22"/>
          <w:szCs w:val="22"/>
        </w:rPr>
        <w:t xml:space="preserve">. disponibil la </w:t>
      </w:r>
      <w:hyperlink r:id="rId13" w:history="1">
        <w:r w:rsidRPr="00A7748B">
          <w:rPr>
            <w:rStyle w:val="Hyperlink"/>
            <w:rFonts w:asciiTheme="majorHAnsi" w:hAnsiTheme="majorHAnsi" w:cstheme="majorHAnsi"/>
            <w:sz w:val="22"/>
            <w:szCs w:val="22"/>
          </w:rPr>
          <w:t>https://ec.europa.eu/education/sites/default/files/document-library-docs/eea-factsheet-sept2020_en.pdf</w:t>
        </w:r>
      </w:hyperlink>
    </w:p>
    <w:p w14:paraId="5CE405B4" w14:textId="77777777" w:rsidR="00DA2C2B" w:rsidRPr="00A7748B" w:rsidRDefault="00DA2C2B" w:rsidP="00DA2C2B">
      <w:pPr>
        <w:contextualSpacing/>
        <w:rPr>
          <w:rFonts w:asciiTheme="majorHAnsi" w:hAnsiTheme="majorHAnsi" w:cstheme="majorHAnsi"/>
        </w:rPr>
      </w:pPr>
    </w:p>
    <w:p w14:paraId="681049A2" w14:textId="790C24EA" w:rsidR="00DA2C2B" w:rsidRPr="00A7748B" w:rsidRDefault="00DA2C2B" w:rsidP="00DA2C2B">
      <w:pPr>
        <w:contextualSpacing/>
        <w:rPr>
          <w:rFonts w:asciiTheme="majorHAnsi" w:hAnsiTheme="majorHAnsi" w:cstheme="majorHAnsi"/>
        </w:rPr>
      </w:pPr>
      <w:r w:rsidRPr="00A7748B">
        <w:rPr>
          <w:rStyle w:val="Hyperlink"/>
          <w:rFonts w:asciiTheme="majorHAnsi" w:hAnsiTheme="majorHAnsi" w:cstheme="majorHAnsi"/>
        </w:rPr>
        <w:t xml:space="preserve">European </w:t>
      </w:r>
      <w:proofErr w:type="spellStart"/>
      <w:r w:rsidRPr="00A7748B">
        <w:rPr>
          <w:rStyle w:val="Hyperlink"/>
          <w:rFonts w:asciiTheme="majorHAnsi" w:hAnsiTheme="majorHAnsi" w:cstheme="majorHAnsi"/>
        </w:rPr>
        <w:t>Commission</w:t>
      </w:r>
      <w:proofErr w:type="spellEnd"/>
      <w:r w:rsidRPr="00A7748B">
        <w:rPr>
          <w:rStyle w:val="Hyperlink"/>
          <w:rFonts w:asciiTheme="majorHAnsi" w:hAnsiTheme="majorHAnsi" w:cstheme="majorHAnsi"/>
        </w:rPr>
        <w:t xml:space="preserve"> (ianuarie 2018). </w:t>
      </w:r>
      <w:r w:rsidRPr="00A7748B">
        <w:rPr>
          <w:rFonts w:asciiTheme="majorHAnsi" w:hAnsiTheme="majorHAnsi" w:cstheme="majorHAnsi"/>
        </w:rPr>
        <w:t>Planul de acțiune privind educația digitală</w:t>
      </w:r>
    </w:p>
    <w:p w14:paraId="53E5AEAE" w14:textId="77777777" w:rsidR="00DA2C2B" w:rsidRPr="00A7748B" w:rsidRDefault="00DA2C2B" w:rsidP="00DA2C2B">
      <w:pPr>
        <w:pStyle w:val="Textnotdesubsol"/>
        <w:contextualSpacing/>
        <w:rPr>
          <w:rFonts w:asciiTheme="majorHAnsi" w:hAnsiTheme="majorHAnsi" w:cstheme="majorHAnsi"/>
          <w:sz w:val="22"/>
          <w:szCs w:val="22"/>
        </w:rPr>
      </w:pPr>
      <w:r w:rsidRPr="00A7748B">
        <w:rPr>
          <w:rFonts w:asciiTheme="majorHAnsi" w:hAnsiTheme="majorHAnsi" w:cstheme="majorHAnsi"/>
          <w:sz w:val="22"/>
          <w:szCs w:val="22"/>
        </w:rPr>
        <w:t xml:space="preserve">European </w:t>
      </w:r>
      <w:proofErr w:type="spellStart"/>
      <w:r w:rsidRPr="00A7748B">
        <w:rPr>
          <w:rFonts w:asciiTheme="majorHAnsi" w:hAnsiTheme="majorHAnsi" w:cstheme="majorHAnsi"/>
          <w:sz w:val="22"/>
          <w:szCs w:val="22"/>
        </w:rPr>
        <w:t>Commision</w:t>
      </w:r>
      <w:proofErr w:type="spellEnd"/>
      <w:r w:rsidRPr="00A7748B">
        <w:rPr>
          <w:rFonts w:asciiTheme="majorHAnsi" w:hAnsiTheme="majorHAnsi" w:cstheme="majorHAnsi"/>
          <w:sz w:val="22"/>
          <w:szCs w:val="22"/>
        </w:rPr>
        <w:t xml:space="preserve"> (2019). Raportul </w:t>
      </w:r>
      <w:proofErr w:type="spellStart"/>
      <w:r w:rsidRPr="00A7748B">
        <w:rPr>
          <w:rFonts w:asciiTheme="majorHAnsi" w:hAnsiTheme="majorHAnsi" w:cstheme="majorHAnsi"/>
          <w:sz w:val="22"/>
          <w:szCs w:val="22"/>
        </w:rPr>
        <w:t>Eurydice</w:t>
      </w:r>
      <w:proofErr w:type="spellEnd"/>
      <w:r w:rsidRPr="00A7748B">
        <w:rPr>
          <w:rFonts w:asciiTheme="majorHAnsi" w:hAnsiTheme="majorHAnsi" w:cstheme="majorHAnsi"/>
          <w:sz w:val="22"/>
          <w:szCs w:val="22"/>
        </w:rPr>
        <w:t xml:space="preserve"> „Educația digitala în școlile din Europa”</w:t>
      </w:r>
    </w:p>
    <w:p w14:paraId="2D6B3974" w14:textId="77777777" w:rsidR="00DA2C2B" w:rsidRPr="00A7748B" w:rsidRDefault="00DA2C2B" w:rsidP="00DA2C2B">
      <w:pPr>
        <w:contextualSpacing/>
        <w:rPr>
          <w:rFonts w:asciiTheme="majorHAnsi" w:hAnsiTheme="majorHAnsi" w:cstheme="majorHAnsi"/>
        </w:rPr>
      </w:pPr>
    </w:p>
    <w:p w14:paraId="0587F4BB" w14:textId="77777777" w:rsidR="00DA2C2B" w:rsidRPr="00A7748B" w:rsidRDefault="00DA2C2B" w:rsidP="00DA2C2B">
      <w:pPr>
        <w:contextualSpacing/>
        <w:rPr>
          <w:rStyle w:val="Hyperlink"/>
          <w:rFonts w:asciiTheme="majorHAnsi" w:hAnsiTheme="majorHAnsi" w:cstheme="majorHAnsi"/>
        </w:rPr>
      </w:pPr>
      <w:r w:rsidRPr="00A7748B">
        <w:rPr>
          <w:rStyle w:val="Hyperlink"/>
          <w:rFonts w:asciiTheme="majorHAnsi" w:hAnsiTheme="majorHAnsi" w:cstheme="majorHAnsi"/>
        </w:rPr>
        <w:t xml:space="preserve">European </w:t>
      </w:r>
      <w:proofErr w:type="spellStart"/>
      <w:r w:rsidRPr="00A7748B">
        <w:rPr>
          <w:rStyle w:val="Hyperlink"/>
          <w:rFonts w:asciiTheme="majorHAnsi" w:hAnsiTheme="majorHAnsi" w:cstheme="majorHAnsi"/>
        </w:rPr>
        <w:t>Commission</w:t>
      </w:r>
      <w:proofErr w:type="spellEnd"/>
      <w:r w:rsidRPr="00A7748B">
        <w:rPr>
          <w:rStyle w:val="Hyperlink"/>
          <w:rFonts w:asciiTheme="majorHAnsi" w:hAnsiTheme="majorHAnsi" w:cstheme="majorHAnsi"/>
        </w:rPr>
        <w:t xml:space="preserve"> (2020). </w:t>
      </w:r>
      <w:r w:rsidRPr="00A7748B">
        <w:rPr>
          <w:rFonts w:asciiTheme="majorHAnsi" w:hAnsiTheme="majorHAnsi" w:cstheme="majorHAnsi"/>
          <w:color w:val="000000" w:themeColor="text1"/>
        </w:rPr>
        <w:t xml:space="preserve">Indicele economiei și societății digitale (DESI), disponibil la </w:t>
      </w:r>
      <w:hyperlink r:id="rId14" w:history="1">
        <w:r w:rsidRPr="00A7748B">
          <w:rPr>
            <w:rStyle w:val="Hyperlink"/>
            <w:rFonts w:asciiTheme="majorHAnsi" w:hAnsiTheme="majorHAnsi" w:cstheme="majorHAnsi"/>
          </w:rPr>
          <w:t>https://ec.europa.eu/romania/news/20200611_raport_rezilienta_digitala_ro</w:t>
        </w:r>
      </w:hyperlink>
    </w:p>
    <w:p w14:paraId="4BC45864" w14:textId="77777777" w:rsidR="00DA2C2B" w:rsidRPr="00A7748B" w:rsidRDefault="00DA2C2B" w:rsidP="00DA2C2B">
      <w:pPr>
        <w:contextualSpacing/>
        <w:rPr>
          <w:rStyle w:val="Hyperlink"/>
          <w:rFonts w:asciiTheme="majorHAnsi" w:hAnsiTheme="majorHAnsi" w:cstheme="majorHAnsi"/>
          <w:color w:val="000000" w:themeColor="text1"/>
        </w:rPr>
      </w:pPr>
    </w:p>
    <w:p w14:paraId="467FBF7B" w14:textId="77777777" w:rsidR="00DA2C2B" w:rsidRPr="00A7748B" w:rsidRDefault="00DA2C2B" w:rsidP="00DA2C2B">
      <w:pPr>
        <w:pStyle w:val="Textnotdesubsol"/>
        <w:contextualSpacing/>
        <w:jc w:val="both"/>
        <w:rPr>
          <w:rFonts w:asciiTheme="majorHAnsi" w:hAnsiTheme="majorHAnsi" w:cstheme="majorHAnsi"/>
          <w:sz w:val="22"/>
          <w:szCs w:val="22"/>
        </w:rPr>
      </w:pPr>
      <w:r w:rsidRPr="00A7748B">
        <w:rPr>
          <w:rFonts w:asciiTheme="majorHAnsi" w:hAnsiTheme="majorHAnsi" w:cstheme="majorHAnsi"/>
          <w:sz w:val="22"/>
          <w:szCs w:val="22"/>
        </w:rPr>
        <w:t xml:space="preserve">European </w:t>
      </w:r>
      <w:proofErr w:type="spellStart"/>
      <w:r w:rsidRPr="00A7748B">
        <w:rPr>
          <w:rFonts w:asciiTheme="majorHAnsi" w:hAnsiTheme="majorHAnsi" w:cstheme="majorHAnsi"/>
          <w:sz w:val="22"/>
          <w:szCs w:val="22"/>
        </w:rPr>
        <w:t>Commission</w:t>
      </w:r>
      <w:proofErr w:type="spellEnd"/>
      <w:r w:rsidRPr="00A7748B">
        <w:rPr>
          <w:rFonts w:asciiTheme="majorHAnsi" w:hAnsiTheme="majorHAnsi" w:cstheme="majorHAnsi"/>
          <w:sz w:val="22"/>
          <w:szCs w:val="22"/>
        </w:rPr>
        <w:t xml:space="preserve"> (iulie 2020). European </w:t>
      </w:r>
      <w:proofErr w:type="spellStart"/>
      <w:r w:rsidRPr="00A7748B">
        <w:rPr>
          <w:rFonts w:asciiTheme="majorHAnsi" w:hAnsiTheme="majorHAnsi" w:cstheme="majorHAnsi"/>
          <w:sz w:val="22"/>
          <w:szCs w:val="22"/>
        </w:rPr>
        <w:t>Skills</w:t>
      </w:r>
      <w:proofErr w:type="spellEnd"/>
      <w:r w:rsidRPr="00A7748B">
        <w:rPr>
          <w:rFonts w:asciiTheme="majorHAnsi" w:hAnsiTheme="majorHAnsi" w:cstheme="majorHAnsi"/>
          <w:sz w:val="22"/>
          <w:szCs w:val="22"/>
        </w:rPr>
        <w:t xml:space="preserve"> Agenda for </w:t>
      </w:r>
      <w:proofErr w:type="spellStart"/>
      <w:r w:rsidRPr="00A7748B">
        <w:rPr>
          <w:rFonts w:asciiTheme="majorHAnsi" w:hAnsiTheme="majorHAnsi" w:cstheme="majorHAnsi"/>
          <w:sz w:val="22"/>
          <w:szCs w:val="22"/>
        </w:rPr>
        <w:t>Sustainable</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Competitiveness</w:t>
      </w:r>
      <w:proofErr w:type="spellEnd"/>
      <w:r w:rsidRPr="00A7748B">
        <w:rPr>
          <w:rFonts w:asciiTheme="majorHAnsi" w:hAnsiTheme="majorHAnsi" w:cstheme="majorHAnsi"/>
          <w:sz w:val="22"/>
          <w:szCs w:val="22"/>
        </w:rPr>
        <w:t xml:space="preserve">, Social </w:t>
      </w:r>
      <w:proofErr w:type="spellStart"/>
      <w:r w:rsidRPr="00A7748B">
        <w:rPr>
          <w:rFonts w:asciiTheme="majorHAnsi" w:hAnsiTheme="majorHAnsi" w:cstheme="majorHAnsi"/>
          <w:sz w:val="22"/>
          <w:szCs w:val="22"/>
        </w:rPr>
        <w:t>Fairness</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and</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Resilience</w:t>
      </w:r>
      <w:proofErr w:type="spellEnd"/>
    </w:p>
    <w:p w14:paraId="2DE1B2A4" w14:textId="77777777" w:rsidR="00DA2C2B" w:rsidRPr="00A7748B" w:rsidRDefault="00DA2C2B" w:rsidP="00DA2C2B">
      <w:pPr>
        <w:pStyle w:val="Textnotdesubsol"/>
        <w:contextualSpacing/>
        <w:jc w:val="both"/>
        <w:rPr>
          <w:rFonts w:asciiTheme="majorHAnsi" w:hAnsiTheme="majorHAnsi" w:cstheme="majorHAnsi"/>
          <w:sz w:val="22"/>
          <w:szCs w:val="22"/>
        </w:rPr>
      </w:pPr>
    </w:p>
    <w:p w14:paraId="468F1911" w14:textId="77777777" w:rsidR="00DA2C2B" w:rsidRPr="00A7748B" w:rsidRDefault="00DA2C2B" w:rsidP="00DA2C2B">
      <w:pPr>
        <w:pStyle w:val="Textnotdesubsol"/>
        <w:contextualSpacing/>
        <w:jc w:val="both"/>
        <w:rPr>
          <w:rFonts w:asciiTheme="majorHAnsi" w:hAnsiTheme="majorHAnsi" w:cstheme="majorHAnsi"/>
          <w:sz w:val="22"/>
          <w:szCs w:val="22"/>
        </w:rPr>
      </w:pPr>
      <w:r w:rsidRPr="00A7748B">
        <w:rPr>
          <w:rFonts w:asciiTheme="majorHAnsi" w:hAnsiTheme="majorHAnsi" w:cstheme="majorHAnsi"/>
          <w:sz w:val="22"/>
          <w:szCs w:val="22"/>
        </w:rPr>
        <w:t xml:space="preserve">European </w:t>
      </w:r>
      <w:proofErr w:type="spellStart"/>
      <w:r w:rsidRPr="00A7748B">
        <w:rPr>
          <w:rFonts w:asciiTheme="majorHAnsi" w:hAnsiTheme="majorHAnsi" w:cstheme="majorHAnsi"/>
          <w:sz w:val="22"/>
          <w:szCs w:val="22"/>
        </w:rPr>
        <w:t>Commission</w:t>
      </w:r>
      <w:proofErr w:type="spellEnd"/>
      <w:r w:rsidRPr="00A7748B">
        <w:rPr>
          <w:rFonts w:asciiTheme="majorHAnsi" w:hAnsiTheme="majorHAnsi" w:cstheme="majorHAnsi"/>
          <w:sz w:val="22"/>
          <w:szCs w:val="22"/>
        </w:rPr>
        <w:t xml:space="preserve"> (2020). </w:t>
      </w:r>
      <w:proofErr w:type="spellStart"/>
      <w:r w:rsidRPr="00A7748B">
        <w:rPr>
          <w:rFonts w:asciiTheme="majorHAnsi" w:hAnsiTheme="majorHAnsi" w:cstheme="majorHAnsi"/>
          <w:sz w:val="22"/>
          <w:szCs w:val="22"/>
        </w:rPr>
        <w:t>Resetting</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education</w:t>
      </w:r>
      <w:proofErr w:type="spellEnd"/>
      <w:r w:rsidRPr="00A7748B">
        <w:rPr>
          <w:rFonts w:asciiTheme="majorHAnsi" w:hAnsiTheme="majorHAnsi" w:cstheme="majorHAnsi"/>
          <w:sz w:val="22"/>
          <w:szCs w:val="22"/>
        </w:rPr>
        <w:t xml:space="preserve"> </w:t>
      </w:r>
      <w:proofErr w:type="spellStart"/>
      <w:r w:rsidRPr="00A7748B">
        <w:rPr>
          <w:rFonts w:asciiTheme="majorHAnsi" w:hAnsiTheme="majorHAnsi" w:cstheme="majorHAnsi"/>
          <w:sz w:val="22"/>
          <w:szCs w:val="22"/>
        </w:rPr>
        <w:t>and</w:t>
      </w:r>
      <w:proofErr w:type="spellEnd"/>
      <w:r w:rsidRPr="00A7748B">
        <w:rPr>
          <w:rFonts w:asciiTheme="majorHAnsi" w:hAnsiTheme="majorHAnsi" w:cstheme="majorHAnsi"/>
          <w:sz w:val="22"/>
          <w:szCs w:val="22"/>
        </w:rPr>
        <w:t xml:space="preserve"> training for </w:t>
      </w:r>
      <w:proofErr w:type="spellStart"/>
      <w:r w:rsidRPr="00A7748B">
        <w:rPr>
          <w:rFonts w:asciiTheme="majorHAnsi" w:hAnsiTheme="majorHAnsi" w:cstheme="majorHAnsi"/>
          <w:sz w:val="22"/>
          <w:szCs w:val="22"/>
        </w:rPr>
        <w:t>the</w:t>
      </w:r>
      <w:proofErr w:type="spellEnd"/>
      <w:r w:rsidRPr="00A7748B">
        <w:rPr>
          <w:rFonts w:asciiTheme="majorHAnsi" w:hAnsiTheme="majorHAnsi" w:cstheme="majorHAnsi"/>
          <w:sz w:val="22"/>
          <w:szCs w:val="22"/>
        </w:rPr>
        <w:t xml:space="preserve"> digital </w:t>
      </w:r>
      <w:proofErr w:type="spellStart"/>
      <w:r w:rsidRPr="00A7748B">
        <w:rPr>
          <w:rFonts w:asciiTheme="majorHAnsi" w:hAnsiTheme="majorHAnsi" w:cstheme="majorHAnsi"/>
          <w:sz w:val="22"/>
          <w:szCs w:val="22"/>
        </w:rPr>
        <w:t>age</w:t>
      </w:r>
      <w:proofErr w:type="spellEnd"/>
      <w:r w:rsidRPr="00A7748B">
        <w:rPr>
          <w:rFonts w:asciiTheme="majorHAnsi" w:hAnsiTheme="majorHAnsi" w:cstheme="majorHAnsi"/>
          <w:sz w:val="22"/>
          <w:szCs w:val="22"/>
        </w:rPr>
        <w:t xml:space="preserve">”. disponibil la </w:t>
      </w:r>
      <w:hyperlink r:id="rId15" w:history="1">
        <w:r w:rsidRPr="00A7748B">
          <w:rPr>
            <w:rStyle w:val="Hyperlink"/>
            <w:rFonts w:asciiTheme="majorHAnsi" w:hAnsiTheme="majorHAnsi" w:cstheme="majorHAnsi"/>
            <w:sz w:val="22"/>
            <w:szCs w:val="22"/>
          </w:rPr>
          <w:t xml:space="preserve">Digital </w:t>
        </w:r>
        <w:proofErr w:type="spellStart"/>
        <w:r w:rsidRPr="00A7748B">
          <w:rPr>
            <w:rStyle w:val="Hyperlink"/>
            <w:rFonts w:asciiTheme="majorHAnsi" w:hAnsiTheme="majorHAnsi" w:cstheme="majorHAnsi"/>
            <w:sz w:val="22"/>
            <w:szCs w:val="22"/>
          </w:rPr>
          <w:t>education</w:t>
        </w:r>
        <w:proofErr w:type="spellEnd"/>
        <w:r w:rsidRPr="00A7748B">
          <w:rPr>
            <w:rStyle w:val="Hyperlink"/>
            <w:rFonts w:asciiTheme="majorHAnsi" w:hAnsiTheme="majorHAnsi" w:cstheme="majorHAnsi"/>
            <w:sz w:val="22"/>
            <w:szCs w:val="22"/>
          </w:rPr>
          <w:t xml:space="preserve"> </w:t>
        </w:r>
        <w:proofErr w:type="spellStart"/>
        <w:r w:rsidRPr="00A7748B">
          <w:rPr>
            <w:rStyle w:val="Hyperlink"/>
            <w:rFonts w:asciiTheme="majorHAnsi" w:hAnsiTheme="majorHAnsi" w:cstheme="majorHAnsi"/>
            <w:sz w:val="22"/>
            <w:szCs w:val="22"/>
          </w:rPr>
          <w:t>action</w:t>
        </w:r>
        <w:proofErr w:type="spellEnd"/>
        <w:r w:rsidRPr="00A7748B">
          <w:rPr>
            <w:rStyle w:val="Hyperlink"/>
            <w:rFonts w:asciiTheme="majorHAnsi" w:hAnsiTheme="majorHAnsi" w:cstheme="majorHAnsi"/>
            <w:sz w:val="22"/>
            <w:szCs w:val="22"/>
          </w:rPr>
          <w:t xml:space="preserve"> plan (update) (europa.eu)</w:t>
        </w:r>
      </w:hyperlink>
    </w:p>
    <w:p w14:paraId="7AC172B2" w14:textId="77777777" w:rsidR="00DA2C2B" w:rsidRPr="00A7748B" w:rsidRDefault="00DA2C2B" w:rsidP="00DA2C2B">
      <w:pPr>
        <w:contextualSpacing/>
        <w:rPr>
          <w:rFonts w:asciiTheme="majorHAnsi" w:hAnsiTheme="majorHAnsi" w:cstheme="majorHAnsi"/>
        </w:rPr>
      </w:pPr>
    </w:p>
    <w:p w14:paraId="6A5A087A" w14:textId="77777777" w:rsidR="00DA2C2B" w:rsidRPr="00A7748B" w:rsidRDefault="00DA2C2B" w:rsidP="00DA2C2B">
      <w:pPr>
        <w:contextualSpacing/>
        <w:rPr>
          <w:rFonts w:asciiTheme="majorHAnsi" w:hAnsiTheme="majorHAnsi" w:cstheme="majorHAnsi"/>
        </w:rPr>
      </w:pPr>
      <w:r w:rsidRPr="00A7748B">
        <w:rPr>
          <w:rFonts w:asciiTheme="majorHAnsi" w:hAnsiTheme="majorHAnsi" w:cstheme="majorHAnsi"/>
        </w:rPr>
        <w:t xml:space="preserve">European </w:t>
      </w:r>
      <w:proofErr w:type="spellStart"/>
      <w:r w:rsidRPr="00A7748B">
        <w:rPr>
          <w:rFonts w:asciiTheme="majorHAnsi" w:hAnsiTheme="majorHAnsi" w:cstheme="majorHAnsi"/>
        </w:rPr>
        <w:t>Commission</w:t>
      </w:r>
      <w:proofErr w:type="spellEnd"/>
      <w:r w:rsidRPr="00A7748B">
        <w:rPr>
          <w:rFonts w:asciiTheme="majorHAnsi" w:hAnsiTheme="majorHAnsi" w:cstheme="majorHAnsi"/>
        </w:rPr>
        <w:t xml:space="preserve"> (2020). The Pact for </w:t>
      </w:r>
      <w:proofErr w:type="spellStart"/>
      <w:r w:rsidRPr="00A7748B">
        <w:rPr>
          <w:rFonts w:asciiTheme="majorHAnsi" w:hAnsiTheme="majorHAnsi" w:cstheme="majorHAnsi"/>
        </w:rPr>
        <w:t>Skills</w:t>
      </w:r>
      <w:proofErr w:type="spellEnd"/>
      <w:r w:rsidRPr="00A7748B">
        <w:rPr>
          <w:rFonts w:asciiTheme="majorHAnsi" w:hAnsiTheme="majorHAnsi" w:cstheme="majorHAnsi"/>
        </w:rPr>
        <w:t xml:space="preserve">. disponibil la   </w:t>
      </w:r>
      <w:hyperlink r:id="rId16" w:history="1">
        <w:r w:rsidRPr="00A7748B">
          <w:rPr>
            <w:rStyle w:val="Hyperlink"/>
            <w:rFonts w:asciiTheme="majorHAnsi" w:hAnsiTheme="majorHAnsi" w:cstheme="majorHAnsi"/>
          </w:rPr>
          <w:t>https://ec.europa.eu/social/main.jsp?catId=1517&amp;langId=en</w:t>
        </w:r>
      </w:hyperlink>
    </w:p>
    <w:p w14:paraId="1B042D3A" w14:textId="77777777" w:rsidR="00DA2C2B" w:rsidRPr="00A7748B" w:rsidRDefault="00DA2C2B" w:rsidP="00DA2C2B">
      <w:pPr>
        <w:contextualSpacing/>
        <w:rPr>
          <w:rFonts w:asciiTheme="majorHAnsi" w:hAnsiTheme="majorHAnsi" w:cstheme="majorHAnsi"/>
        </w:rPr>
      </w:pPr>
    </w:p>
    <w:p w14:paraId="0A47DC0C" w14:textId="77777777" w:rsidR="00DA2C2B" w:rsidRPr="00A7748B" w:rsidRDefault="00DA2C2B" w:rsidP="00DA2C2B">
      <w:pPr>
        <w:contextualSpacing/>
        <w:rPr>
          <w:rFonts w:asciiTheme="majorHAnsi" w:hAnsiTheme="majorHAnsi" w:cstheme="majorHAnsi"/>
        </w:rPr>
      </w:pPr>
      <w:r w:rsidRPr="00A7748B">
        <w:rPr>
          <w:rFonts w:asciiTheme="majorHAnsi" w:hAnsiTheme="majorHAnsi" w:cstheme="majorHAnsi"/>
        </w:rPr>
        <w:t xml:space="preserve">European </w:t>
      </w:r>
      <w:proofErr w:type="spellStart"/>
      <w:r w:rsidRPr="00A7748B">
        <w:rPr>
          <w:rFonts w:asciiTheme="majorHAnsi" w:hAnsiTheme="majorHAnsi" w:cstheme="majorHAnsi"/>
        </w:rPr>
        <w:t>Commission</w:t>
      </w:r>
      <w:proofErr w:type="spellEnd"/>
      <w:r w:rsidRPr="00A7748B">
        <w:rPr>
          <w:rFonts w:asciiTheme="majorHAnsi" w:hAnsiTheme="majorHAnsi" w:cstheme="majorHAnsi"/>
        </w:rPr>
        <w:t xml:space="preserve"> (2020). Comunicare A Comisiei Către Parlamentul European, Consiliul European, Consiliu, Banca Centrală Europeană Și </w:t>
      </w:r>
      <w:proofErr w:type="spellStart"/>
      <w:r w:rsidRPr="00A7748B">
        <w:rPr>
          <w:rFonts w:asciiTheme="majorHAnsi" w:hAnsiTheme="majorHAnsi" w:cstheme="majorHAnsi"/>
        </w:rPr>
        <w:t>Eurogrup</w:t>
      </w:r>
      <w:proofErr w:type="spellEnd"/>
      <w:r w:rsidRPr="00A7748B">
        <w:rPr>
          <w:rFonts w:asciiTheme="majorHAnsi" w:hAnsiTheme="majorHAnsi" w:cstheme="majorHAnsi"/>
        </w:rPr>
        <w:t>, Bruxelles</w:t>
      </w:r>
    </w:p>
    <w:p w14:paraId="587F154B" w14:textId="77777777" w:rsidR="00DA2C2B" w:rsidRPr="00A7748B" w:rsidRDefault="00DA2C2B" w:rsidP="00DA2C2B">
      <w:pPr>
        <w:pStyle w:val="Textnotdesubsol"/>
        <w:contextualSpacing/>
        <w:rPr>
          <w:rFonts w:asciiTheme="majorHAnsi" w:hAnsiTheme="majorHAnsi" w:cstheme="majorHAnsi"/>
          <w:sz w:val="22"/>
          <w:szCs w:val="22"/>
        </w:rPr>
      </w:pPr>
      <w:proofErr w:type="spellStart"/>
      <w:r w:rsidRPr="00A7748B">
        <w:rPr>
          <w:rFonts w:asciiTheme="majorHAnsi" w:hAnsiTheme="majorHAnsi" w:cstheme="majorHAnsi"/>
          <w:sz w:val="22"/>
          <w:szCs w:val="22"/>
        </w:rPr>
        <w:t>Eurostat</w:t>
      </w:r>
      <w:proofErr w:type="spellEnd"/>
      <w:r w:rsidRPr="00A7748B">
        <w:rPr>
          <w:rFonts w:asciiTheme="majorHAnsi" w:hAnsiTheme="majorHAnsi" w:cstheme="majorHAnsi"/>
          <w:sz w:val="22"/>
          <w:szCs w:val="22"/>
        </w:rPr>
        <w:t xml:space="preserve"> (2019). </w:t>
      </w:r>
      <w:proofErr w:type="spellStart"/>
      <w:r w:rsidRPr="00A7748B">
        <w:rPr>
          <w:rFonts w:asciiTheme="majorHAnsi" w:hAnsiTheme="majorHAnsi" w:cstheme="majorHAnsi"/>
          <w:sz w:val="22"/>
          <w:szCs w:val="22"/>
        </w:rPr>
        <w:t>disponil</w:t>
      </w:r>
      <w:proofErr w:type="spellEnd"/>
      <w:r w:rsidRPr="00A7748B">
        <w:rPr>
          <w:rFonts w:asciiTheme="majorHAnsi" w:hAnsiTheme="majorHAnsi" w:cstheme="majorHAnsi"/>
          <w:sz w:val="22"/>
          <w:szCs w:val="22"/>
        </w:rPr>
        <w:t xml:space="preserve"> la </w:t>
      </w:r>
      <w:hyperlink r:id="rId17" w:history="1">
        <w:r w:rsidRPr="00A7748B">
          <w:rPr>
            <w:rStyle w:val="Hyperlink"/>
            <w:rFonts w:asciiTheme="majorHAnsi" w:hAnsiTheme="majorHAnsi" w:cstheme="majorHAnsi"/>
            <w:sz w:val="22"/>
            <w:szCs w:val="22"/>
          </w:rPr>
          <w:t>https://ec.europa.eu/eurostat/news/themes-in-the-spotlight/european-statistics-day-2019</w:t>
        </w:r>
      </w:hyperlink>
      <w:r w:rsidRPr="00A7748B">
        <w:rPr>
          <w:rFonts w:asciiTheme="majorHAnsi" w:hAnsiTheme="majorHAnsi" w:cstheme="majorHAnsi"/>
          <w:sz w:val="22"/>
          <w:szCs w:val="22"/>
        </w:rPr>
        <w:t xml:space="preserve"> </w:t>
      </w:r>
    </w:p>
    <w:p w14:paraId="1E60D1DD" w14:textId="77777777" w:rsidR="00DA2C2B" w:rsidRPr="00A7748B" w:rsidRDefault="00DA2C2B" w:rsidP="00DA2C2B">
      <w:pPr>
        <w:contextualSpacing/>
        <w:rPr>
          <w:rFonts w:asciiTheme="majorHAnsi" w:hAnsiTheme="majorHAnsi" w:cstheme="majorHAnsi"/>
        </w:rPr>
      </w:pPr>
      <w:r w:rsidRPr="00A7748B">
        <w:rPr>
          <w:rFonts w:asciiTheme="majorHAnsi" w:hAnsiTheme="majorHAnsi" w:cstheme="majorHAnsi"/>
        </w:rPr>
        <w:t xml:space="preserve">EUROSTAT (2021) indicator EDAT_LFSE_14, disponibil la </w:t>
      </w:r>
      <w:hyperlink r:id="rId18" w:history="1">
        <w:r w:rsidRPr="00A7748B">
          <w:rPr>
            <w:rStyle w:val="Hyperlink"/>
            <w:rFonts w:asciiTheme="majorHAnsi" w:hAnsiTheme="majorHAnsi" w:cstheme="majorHAnsi"/>
          </w:rPr>
          <w:t>https://appsso.eurostat.ec.europa.eu/nui/show.do?dataset=edat_lfse_14&amp;lang=en</w:t>
        </w:r>
      </w:hyperlink>
      <w:r w:rsidRPr="00A7748B">
        <w:rPr>
          <w:rFonts w:asciiTheme="majorHAnsi" w:hAnsiTheme="majorHAnsi" w:cstheme="majorHAnsi"/>
        </w:rPr>
        <w:t xml:space="preserve"> </w:t>
      </w:r>
    </w:p>
    <w:p w14:paraId="035FE02F" w14:textId="77777777" w:rsidR="00DA2C2B" w:rsidRPr="00A7748B" w:rsidRDefault="00DA2C2B" w:rsidP="00DA2C2B">
      <w:pPr>
        <w:contextualSpacing/>
        <w:rPr>
          <w:rFonts w:asciiTheme="majorHAnsi" w:hAnsiTheme="majorHAnsi" w:cstheme="majorHAnsi"/>
        </w:rPr>
      </w:pPr>
    </w:p>
    <w:p w14:paraId="102816D6" w14:textId="77777777" w:rsidR="00DA2C2B" w:rsidRPr="00A7748B" w:rsidRDefault="00DA2C2B" w:rsidP="00DA2C2B">
      <w:pPr>
        <w:contextualSpacing/>
        <w:rPr>
          <w:rFonts w:asciiTheme="majorHAnsi" w:hAnsiTheme="majorHAnsi" w:cstheme="majorHAnsi"/>
        </w:rPr>
      </w:pPr>
      <w:r w:rsidRPr="00A7748B">
        <w:rPr>
          <w:rFonts w:asciiTheme="majorHAnsi" w:hAnsiTheme="majorHAnsi" w:cstheme="majorHAnsi"/>
        </w:rPr>
        <w:t>EUROSTAT (2021) indicator EDAT_LFSE_35, disponibil la</w:t>
      </w:r>
    </w:p>
    <w:p w14:paraId="6D00C636" w14:textId="77777777" w:rsidR="00DA2C2B" w:rsidRPr="00A7748B" w:rsidRDefault="00B631E8" w:rsidP="00DA2C2B">
      <w:pPr>
        <w:contextualSpacing/>
        <w:rPr>
          <w:rFonts w:asciiTheme="majorHAnsi" w:hAnsiTheme="majorHAnsi" w:cstheme="majorHAnsi"/>
        </w:rPr>
      </w:pPr>
      <w:hyperlink r:id="rId19" w:history="1">
        <w:r w:rsidR="00DA2C2B" w:rsidRPr="00A7748B">
          <w:rPr>
            <w:rStyle w:val="Hyperlink"/>
            <w:rFonts w:asciiTheme="majorHAnsi" w:hAnsiTheme="majorHAnsi" w:cstheme="majorHAnsi"/>
          </w:rPr>
          <w:t>http://appsso.eurostat.ec.europa.eu/nui/show.do?dataset=edat_lfse_35&amp;lang=en</w:t>
        </w:r>
      </w:hyperlink>
    </w:p>
    <w:p w14:paraId="51C107D8" w14:textId="77777777" w:rsidR="00DA2C2B" w:rsidRPr="00A7748B" w:rsidRDefault="00DA2C2B" w:rsidP="00DA2C2B">
      <w:pPr>
        <w:contextualSpacing/>
        <w:rPr>
          <w:rFonts w:asciiTheme="majorHAnsi" w:hAnsiTheme="majorHAnsi" w:cstheme="majorHAnsi"/>
        </w:rPr>
      </w:pPr>
    </w:p>
    <w:p w14:paraId="7556B79E" w14:textId="77777777" w:rsidR="00DA2C2B" w:rsidRPr="00A7748B" w:rsidRDefault="00DA2C2B" w:rsidP="00DA2C2B">
      <w:pPr>
        <w:contextualSpacing/>
        <w:rPr>
          <w:rFonts w:asciiTheme="majorHAnsi" w:hAnsiTheme="majorHAnsi" w:cstheme="majorHAnsi"/>
        </w:rPr>
      </w:pPr>
      <w:proofErr w:type="spellStart"/>
      <w:r w:rsidRPr="00A7748B">
        <w:rPr>
          <w:rFonts w:asciiTheme="majorHAnsi" w:hAnsiTheme="majorHAnsi" w:cstheme="majorHAnsi"/>
        </w:rPr>
        <w:t>Lyons</w:t>
      </w:r>
      <w:proofErr w:type="spellEnd"/>
      <w:r w:rsidRPr="00A7748B">
        <w:rPr>
          <w:rFonts w:asciiTheme="majorHAnsi" w:hAnsiTheme="majorHAnsi" w:cstheme="majorHAnsi"/>
        </w:rPr>
        <w:t xml:space="preserve">, </w:t>
      </w:r>
      <w:proofErr w:type="spellStart"/>
      <w:r w:rsidRPr="00A7748B">
        <w:rPr>
          <w:rFonts w:asciiTheme="majorHAnsi" w:hAnsiTheme="majorHAnsi" w:cstheme="majorHAnsi"/>
        </w:rPr>
        <w:t>Zucchetti</w:t>
      </w:r>
      <w:proofErr w:type="spellEnd"/>
      <w:r w:rsidRPr="00A7748B">
        <w:rPr>
          <w:rFonts w:asciiTheme="majorHAnsi" w:hAnsiTheme="majorHAnsi" w:cstheme="majorHAnsi"/>
        </w:rPr>
        <w:t xml:space="preserve">, </w:t>
      </w:r>
      <w:proofErr w:type="spellStart"/>
      <w:r w:rsidRPr="00A7748B">
        <w:rPr>
          <w:rFonts w:asciiTheme="majorHAnsi" w:hAnsiTheme="majorHAnsi" w:cstheme="majorHAnsi"/>
        </w:rPr>
        <w:t>Kass-Hanna</w:t>
      </w:r>
      <w:proofErr w:type="spellEnd"/>
      <w:r w:rsidRPr="00A7748B">
        <w:rPr>
          <w:rFonts w:asciiTheme="majorHAnsi" w:hAnsiTheme="majorHAnsi" w:cstheme="majorHAnsi"/>
        </w:rPr>
        <w:t xml:space="preserve">, </w:t>
      </w:r>
      <w:proofErr w:type="spellStart"/>
      <w:r w:rsidRPr="00A7748B">
        <w:rPr>
          <w:rFonts w:asciiTheme="majorHAnsi" w:hAnsiTheme="majorHAnsi" w:cstheme="majorHAnsi"/>
        </w:rPr>
        <w:t>Cobo</w:t>
      </w:r>
      <w:proofErr w:type="spellEnd"/>
      <w:r w:rsidRPr="00A7748B">
        <w:rPr>
          <w:rFonts w:asciiTheme="majorHAnsi" w:hAnsiTheme="majorHAnsi" w:cstheme="majorHAnsi"/>
        </w:rPr>
        <w:t xml:space="preserve"> (2019). The </w:t>
      </w:r>
      <w:proofErr w:type="spellStart"/>
      <w:r w:rsidRPr="00A7748B">
        <w:rPr>
          <w:rFonts w:asciiTheme="majorHAnsi" w:hAnsiTheme="majorHAnsi" w:cstheme="majorHAnsi"/>
        </w:rPr>
        <w:t>Future</w:t>
      </w:r>
      <w:proofErr w:type="spellEnd"/>
      <w:r w:rsidRPr="00A7748B">
        <w:rPr>
          <w:rFonts w:asciiTheme="majorHAnsi" w:hAnsiTheme="majorHAnsi" w:cstheme="majorHAnsi"/>
        </w:rPr>
        <w:t xml:space="preserve"> Of </w:t>
      </w:r>
      <w:proofErr w:type="spellStart"/>
      <w:r w:rsidRPr="00A7748B">
        <w:rPr>
          <w:rFonts w:asciiTheme="majorHAnsi" w:hAnsiTheme="majorHAnsi" w:cstheme="majorHAnsi"/>
        </w:rPr>
        <w:t>Work</w:t>
      </w:r>
      <w:proofErr w:type="spellEnd"/>
      <w:r w:rsidRPr="00A7748B">
        <w:rPr>
          <w:rFonts w:asciiTheme="majorHAnsi" w:hAnsiTheme="majorHAnsi" w:cstheme="majorHAnsi"/>
        </w:rPr>
        <w:t xml:space="preserve"> </w:t>
      </w:r>
      <w:proofErr w:type="spellStart"/>
      <w:r w:rsidRPr="00A7748B">
        <w:rPr>
          <w:rFonts w:asciiTheme="majorHAnsi" w:hAnsiTheme="majorHAnsi" w:cstheme="majorHAnsi"/>
        </w:rPr>
        <w:t>And</w:t>
      </w:r>
      <w:proofErr w:type="spellEnd"/>
      <w:r w:rsidRPr="00A7748B">
        <w:rPr>
          <w:rFonts w:asciiTheme="majorHAnsi" w:hAnsiTheme="majorHAnsi" w:cstheme="majorHAnsi"/>
        </w:rPr>
        <w:t xml:space="preserve"> </w:t>
      </w:r>
      <w:proofErr w:type="spellStart"/>
      <w:r w:rsidRPr="00A7748B">
        <w:rPr>
          <w:rFonts w:asciiTheme="majorHAnsi" w:hAnsiTheme="majorHAnsi" w:cstheme="majorHAnsi"/>
        </w:rPr>
        <w:t>Education</w:t>
      </w:r>
      <w:proofErr w:type="spellEnd"/>
      <w:r w:rsidRPr="00A7748B">
        <w:rPr>
          <w:rFonts w:asciiTheme="majorHAnsi" w:hAnsiTheme="majorHAnsi" w:cstheme="majorHAnsi"/>
        </w:rPr>
        <w:t xml:space="preserve"> For The Digital </w:t>
      </w:r>
      <w:proofErr w:type="spellStart"/>
      <w:r w:rsidRPr="00A7748B">
        <w:rPr>
          <w:rFonts w:asciiTheme="majorHAnsi" w:hAnsiTheme="majorHAnsi" w:cstheme="majorHAnsi"/>
        </w:rPr>
        <w:t>Age</w:t>
      </w:r>
      <w:proofErr w:type="spellEnd"/>
      <w:r w:rsidRPr="00A7748B">
        <w:rPr>
          <w:rFonts w:asciiTheme="majorHAnsi" w:hAnsiTheme="majorHAnsi" w:cstheme="majorHAnsi"/>
        </w:rPr>
        <w:t xml:space="preserve"> </w:t>
      </w:r>
      <w:proofErr w:type="spellStart"/>
      <w:r w:rsidRPr="00A7748B">
        <w:rPr>
          <w:rFonts w:asciiTheme="majorHAnsi" w:hAnsiTheme="majorHAnsi" w:cstheme="majorHAnsi"/>
        </w:rPr>
        <w:t>Bridging</w:t>
      </w:r>
      <w:proofErr w:type="spellEnd"/>
      <w:r w:rsidRPr="00A7748B">
        <w:rPr>
          <w:rFonts w:asciiTheme="majorHAnsi" w:hAnsiTheme="majorHAnsi" w:cstheme="majorHAnsi"/>
        </w:rPr>
        <w:t xml:space="preserve"> </w:t>
      </w:r>
      <w:proofErr w:type="spellStart"/>
      <w:r w:rsidRPr="00A7748B">
        <w:rPr>
          <w:rFonts w:asciiTheme="majorHAnsi" w:hAnsiTheme="majorHAnsi" w:cstheme="majorHAnsi"/>
        </w:rPr>
        <w:t>the</w:t>
      </w:r>
      <w:proofErr w:type="spellEnd"/>
      <w:r w:rsidRPr="00A7748B">
        <w:rPr>
          <w:rFonts w:asciiTheme="majorHAnsi" w:hAnsiTheme="majorHAnsi" w:cstheme="majorHAnsi"/>
        </w:rPr>
        <w:t xml:space="preserve"> </w:t>
      </w:r>
      <w:proofErr w:type="spellStart"/>
      <w:r w:rsidRPr="00A7748B">
        <w:rPr>
          <w:rFonts w:asciiTheme="majorHAnsi" w:hAnsiTheme="majorHAnsi" w:cstheme="majorHAnsi"/>
        </w:rPr>
        <w:t>Gap</w:t>
      </w:r>
      <w:proofErr w:type="spellEnd"/>
      <w:r w:rsidRPr="00A7748B">
        <w:rPr>
          <w:rFonts w:asciiTheme="majorHAnsi" w:hAnsiTheme="majorHAnsi" w:cstheme="majorHAnsi"/>
        </w:rPr>
        <w:t xml:space="preserve"> </w:t>
      </w:r>
      <w:proofErr w:type="spellStart"/>
      <w:r w:rsidRPr="00A7748B">
        <w:rPr>
          <w:rFonts w:asciiTheme="majorHAnsi" w:hAnsiTheme="majorHAnsi" w:cstheme="majorHAnsi"/>
        </w:rPr>
        <w:t>Between</w:t>
      </w:r>
      <w:proofErr w:type="spellEnd"/>
      <w:r w:rsidRPr="00A7748B">
        <w:rPr>
          <w:rFonts w:asciiTheme="majorHAnsi" w:hAnsiTheme="majorHAnsi" w:cstheme="majorHAnsi"/>
        </w:rPr>
        <w:t xml:space="preserve"> Digital </w:t>
      </w:r>
      <w:proofErr w:type="spellStart"/>
      <w:r w:rsidRPr="00A7748B">
        <w:rPr>
          <w:rFonts w:asciiTheme="majorHAnsi" w:hAnsiTheme="majorHAnsi" w:cstheme="majorHAnsi"/>
        </w:rPr>
        <w:t>Skills</w:t>
      </w:r>
      <w:proofErr w:type="spellEnd"/>
      <w:r w:rsidRPr="00A7748B">
        <w:rPr>
          <w:rFonts w:asciiTheme="majorHAnsi" w:hAnsiTheme="majorHAnsi" w:cstheme="majorHAnsi"/>
        </w:rPr>
        <w:t xml:space="preserve"> </w:t>
      </w:r>
      <w:proofErr w:type="spellStart"/>
      <w:r w:rsidRPr="00A7748B">
        <w:rPr>
          <w:rFonts w:asciiTheme="majorHAnsi" w:hAnsiTheme="majorHAnsi" w:cstheme="majorHAnsi"/>
        </w:rPr>
        <w:t>and</w:t>
      </w:r>
      <w:proofErr w:type="spellEnd"/>
      <w:r w:rsidRPr="00A7748B">
        <w:rPr>
          <w:rFonts w:asciiTheme="majorHAnsi" w:hAnsiTheme="majorHAnsi" w:cstheme="majorHAnsi"/>
        </w:rPr>
        <w:t xml:space="preserve"> </w:t>
      </w:r>
      <w:proofErr w:type="spellStart"/>
      <w:r w:rsidRPr="00A7748B">
        <w:rPr>
          <w:rFonts w:asciiTheme="majorHAnsi" w:hAnsiTheme="majorHAnsi" w:cstheme="majorHAnsi"/>
        </w:rPr>
        <w:t>Employability</w:t>
      </w:r>
      <w:proofErr w:type="spellEnd"/>
      <w:r w:rsidRPr="00A7748B">
        <w:rPr>
          <w:rFonts w:asciiTheme="majorHAnsi" w:hAnsiTheme="majorHAnsi" w:cstheme="majorHAnsi"/>
        </w:rPr>
        <w:t xml:space="preserve"> for </w:t>
      </w:r>
      <w:proofErr w:type="spellStart"/>
      <w:r w:rsidRPr="00A7748B">
        <w:rPr>
          <w:rFonts w:asciiTheme="majorHAnsi" w:hAnsiTheme="majorHAnsi" w:cstheme="majorHAnsi"/>
        </w:rPr>
        <w:t>Vulnerable</w:t>
      </w:r>
      <w:proofErr w:type="spellEnd"/>
      <w:r w:rsidRPr="00A7748B">
        <w:rPr>
          <w:rFonts w:asciiTheme="majorHAnsi" w:hAnsiTheme="majorHAnsi" w:cstheme="majorHAnsi"/>
        </w:rPr>
        <w:t xml:space="preserve"> </w:t>
      </w:r>
      <w:proofErr w:type="spellStart"/>
      <w:r w:rsidRPr="00A7748B">
        <w:rPr>
          <w:rFonts w:asciiTheme="majorHAnsi" w:hAnsiTheme="majorHAnsi" w:cstheme="majorHAnsi"/>
        </w:rPr>
        <w:t>Populations</w:t>
      </w:r>
      <w:proofErr w:type="spellEnd"/>
      <w:r w:rsidRPr="00A7748B">
        <w:rPr>
          <w:rFonts w:asciiTheme="majorHAnsi" w:hAnsiTheme="majorHAnsi" w:cstheme="majorHAnsi"/>
        </w:rPr>
        <w:t>.</w:t>
      </w:r>
    </w:p>
    <w:p w14:paraId="1ACF138C" w14:textId="77777777" w:rsidR="00DA2C2B" w:rsidRPr="00A7748B" w:rsidRDefault="00DA2C2B" w:rsidP="00DA2C2B">
      <w:pPr>
        <w:contextualSpacing/>
        <w:rPr>
          <w:rFonts w:asciiTheme="majorHAnsi" w:hAnsiTheme="majorHAnsi" w:cstheme="majorHAnsi"/>
        </w:rPr>
      </w:pPr>
    </w:p>
    <w:p w14:paraId="152DB21C" w14:textId="77777777" w:rsidR="00DA2C2B" w:rsidRPr="00A7748B" w:rsidRDefault="00DA2C2B" w:rsidP="00DA2C2B">
      <w:pPr>
        <w:contextualSpacing/>
        <w:rPr>
          <w:rFonts w:asciiTheme="majorHAnsi" w:hAnsiTheme="majorHAnsi" w:cstheme="majorHAnsi"/>
        </w:rPr>
      </w:pPr>
      <w:r w:rsidRPr="00A7748B">
        <w:rPr>
          <w:rFonts w:asciiTheme="majorHAnsi" w:hAnsiTheme="majorHAnsi" w:cstheme="majorHAnsi"/>
        </w:rPr>
        <w:t>Ghidul Solicitantului POCU</w:t>
      </w:r>
    </w:p>
    <w:p w14:paraId="61F10F41" w14:textId="77777777" w:rsidR="00DA2C2B" w:rsidRPr="00A7748B" w:rsidRDefault="00DA2C2B" w:rsidP="00DA2C2B">
      <w:pPr>
        <w:contextualSpacing/>
        <w:rPr>
          <w:rFonts w:asciiTheme="majorHAnsi" w:hAnsiTheme="majorHAnsi" w:cstheme="majorHAnsi"/>
        </w:rPr>
      </w:pPr>
    </w:p>
    <w:p w14:paraId="20A8216A" w14:textId="77777777" w:rsidR="00DA2C2B" w:rsidRPr="00A7748B" w:rsidRDefault="00DA2C2B" w:rsidP="00DA2C2B">
      <w:pPr>
        <w:contextualSpacing/>
        <w:rPr>
          <w:rFonts w:asciiTheme="majorHAnsi" w:hAnsiTheme="majorHAnsi" w:cstheme="majorHAnsi"/>
        </w:rPr>
      </w:pPr>
      <w:r w:rsidRPr="00A7748B">
        <w:rPr>
          <w:rFonts w:asciiTheme="majorHAnsi" w:hAnsiTheme="majorHAnsi" w:cstheme="majorHAnsi"/>
        </w:rPr>
        <w:t>Manualul Beneficiarului POCU</w:t>
      </w:r>
    </w:p>
    <w:p w14:paraId="6D16A424" w14:textId="77777777" w:rsidR="00DA2C2B" w:rsidRPr="00A7748B" w:rsidRDefault="00DA2C2B" w:rsidP="00DA2C2B">
      <w:pPr>
        <w:contextualSpacing/>
        <w:rPr>
          <w:rFonts w:asciiTheme="majorHAnsi" w:hAnsiTheme="majorHAnsi" w:cstheme="majorHAnsi"/>
          <w:color w:val="000000" w:themeColor="text1"/>
        </w:rPr>
      </w:pPr>
    </w:p>
    <w:p w14:paraId="18A3E19B" w14:textId="77777777" w:rsidR="00DA2C2B" w:rsidRPr="00A7748B" w:rsidRDefault="00DA2C2B" w:rsidP="00DA2C2B">
      <w:pPr>
        <w:contextualSpacing/>
        <w:rPr>
          <w:rFonts w:asciiTheme="majorHAnsi" w:hAnsiTheme="majorHAnsi" w:cstheme="majorHAnsi"/>
          <w:color w:val="000000" w:themeColor="text1"/>
        </w:rPr>
      </w:pPr>
      <w:r w:rsidRPr="00A7748B">
        <w:rPr>
          <w:rFonts w:asciiTheme="majorHAnsi" w:hAnsiTheme="majorHAnsi" w:cstheme="majorHAnsi"/>
          <w:color w:val="000000" w:themeColor="text1"/>
        </w:rPr>
        <w:t xml:space="preserve">Ministerul Educației și Cercetării (2020). Strategia privind digitalizarea educației din România. București </w:t>
      </w:r>
    </w:p>
    <w:p w14:paraId="6212B9C5" w14:textId="77777777" w:rsidR="00DA2C2B" w:rsidRPr="00A7748B" w:rsidRDefault="00DA2C2B" w:rsidP="00DA2C2B">
      <w:pPr>
        <w:contextualSpacing/>
        <w:rPr>
          <w:rFonts w:asciiTheme="majorHAnsi" w:hAnsiTheme="majorHAnsi" w:cstheme="majorHAnsi"/>
          <w:color w:val="000000" w:themeColor="text1"/>
        </w:rPr>
      </w:pPr>
    </w:p>
    <w:p w14:paraId="036D98D5" w14:textId="77777777" w:rsidR="00DA2C2B" w:rsidRPr="00A7748B" w:rsidRDefault="00DA2C2B" w:rsidP="00DA2C2B">
      <w:pPr>
        <w:contextualSpacing/>
        <w:rPr>
          <w:rFonts w:asciiTheme="majorHAnsi" w:hAnsiTheme="majorHAnsi" w:cstheme="majorHAnsi"/>
        </w:rPr>
      </w:pPr>
      <w:r w:rsidRPr="00A7748B">
        <w:rPr>
          <w:rFonts w:asciiTheme="majorHAnsi" w:hAnsiTheme="majorHAnsi" w:cstheme="majorHAnsi"/>
          <w:color w:val="000000" w:themeColor="text1"/>
        </w:rPr>
        <w:t xml:space="preserve">Walton, P, </w:t>
      </w:r>
      <w:proofErr w:type="spellStart"/>
      <w:r w:rsidRPr="00A7748B">
        <w:rPr>
          <w:rFonts w:asciiTheme="majorHAnsi" w:hAnsiTheme="majorHAnsi" w:cstheme="majorHAnsi"/>
          <w:color w:val="000000" w:themeColor="text1"/>
        </w:rPr>
        <w:t>Kop</w:t>
      </w:r>
      <w:proofErr w:type="spellEnd"/>
      <w:r w:rsidRPr="00A7748B">
        <w:rPr>
          <w:rFonts w:asciiTheme="majorHAnsi" w:hAnsiTheme="majorHAnsi" w:cstheme="majorHAnsi"/>
          <w:color w:val="000000" w:themeColor="text1"/>
        </w:rPr>
        <w:t xml:space="preserve">, T, </w:t>
      </w:r>
      <w:proofErr w:type="spellStart"/>
      <w:r w:rsidRPr="00A7748B">
        <w:rPr>
          <w:rFonts w:asciiTheme="majorHAnsi" w:hAnsiTheme="majorHAnsi" w:cstheme="majorHAnsi"/>
          <w:color w:val="000000" w:themeColor="text1"/>
        </w:rPr>
        <w:t>Spriggs</w:t>
      </w:r>
      <w:proofErr w:type="spellEnd"/>
      <w:r w:rsidRPr="00A7748B">
        <w:rPr>
          <w:rFonts w:asciiTheme="majorHAnsi" w:hAnsiTheme="majorHAnsi" w:cstheme="majorHAnsi"/>
          <w:color w:val="000000" w:themeColor="text1"/>
        </w:rPr>
        <w:t xml:space="preserve">, D, Fitzgerald, B. (2013). A digital </w:t>
      </w:r>
      <w:proofErr w:type="spellStart"/>
      <w:r w:rsidRPr="00A7748B">
        <w:rPr>
          <w:rFonts w:asciiTheme="majorHAnsi" w:hAnsiTheme="majorHAnsi" w:cstheme="majorHAnsi"/>
          <w:color w:val="000000" w:themeColor="text1"/>
        </w:rPr>
        <w:t>inclusion</w:t>
      </w:r>
      <w:proofErr w:type="spellEnd"/>
      <w:r w:rsidRPr="00A7748B">
        <w:rPr>
          <w:rFonts w:asciiTheme="majorHAnsi" w:hAnsiTheme="majorHAnsi" w:cstheme="majorHAnsi"/>
          <w:color w:val="000000" w:themeColor="text1"/>
        </w:rPr>
        <w:t xml:space="preserve">: </w:t>
      </w:r>
      <w:proofErr w:type="spellStart"/>
      <w:r w:rsidRPr="00A7748B">
        <w:rPr>
          <w:rFonts w:asciiTheme="majorHAnsi" w:hAnsiTheme="majorHAnsi" w:cstheme="majorHAnsi"/>
          <w:color w:val="000000" w:themeColor="text1"/>
        </w:rPr>
        <w:t>Empowering</w:t>
      </w:r>
      <w:proofErr w:type="spellEnd"/>
      <w:r w:rsidRPr="00A7748B">
        <w:rPr>
          <w:rFonts w:asciiTheme="majorHAnsi" w:hAnsiTheme="majorHAnsi" w:cstheme="majorHAnsi"/>
          <w:color w:val="000000" w:themeColor="text1"/>
        </w:rPr>
        <w:t xml:space="preserve"> </w:t>
      </w:r>
      <w:proofErr w:type="spellStart"/>
      <w:r w:rsidRPr="00A7748B">
        <w:rPr>
          <w:rFonts w:asciiTheme="majorHAnsi" w:hAnsiTheme="majorHAnsi" w:cstheme="majorHAnsi"/>
          <w:color w:val="000000" w:themeColor="text1"/>
        </w:rPr>
        <w:t>all</w:t>
      </w:r>
      <w:proofErr w:type="spellEnd"/>
      <w:r w:rsidRPr="00A7748B">
        <w:rPr>
          <w:rFonts w:asciiTheme="majorHAnsi" w:hAnsiTheme="majorHAnsi" w:cstheme="majorHAnsi"/>
          <w:color w:val="000000" w:themeColor="text1"/>
        </w:rPr>
        <w:t xml:space="preserve"> </w:t>
      </w:r>
      <w:proofErr w:type="spellStart"/>
      <w:r w:rsidRPr="00A7748B">
        <w:rPr>
          <w:rFonts w:asciiTheme="majorHAnsi" w:hAnsiTheme="majorHAnsi" w:cstheme="majorHAnsi"/>
          <w:color w:val="000000" w:themeColor="text1"/>
        </w:rPr>
        <w:t>Australians</w:t>
      </w:r>
      <w:proofErr w:type="spellEnd"/>
    </w:p>
    <w:p w14:paraId="1E8CC3D3" w14:textId="77777777" w:rsidR="00DA2C2B" w:rsidRPr="00A7748B" w:rsidRDefault="00DA2C2B" w:rsidP="00DA2C2B">
      <w:pPr>
        <w:spacing w:after="120"/>
        <w:rPr>
          <w:rFonts w:asciiTheme="majorHAnsi" w:hAnsiTheme="majorHAnsi" w:cstheme="majorHAnsi"/>
          <w:b/>
        </w:rPr>
      </w:pPr>
    </w:p>
    <w:p w14:paraId="6D954A9B" w14:textId="135C20DC" w:rsidR="005233DA" w:rsidRPr="00A7748B" w:rsidRDefault="005233DA" w:rsidP="00470F0F">
      <w:pPr>
        <w:spacing w:after="120" w:line="240" w:lineRule="auto"/>
        <w:jc w:val="both"/>
        <w:rPr>
          <w:rFonts w:cstheme="minorHAnsi"/>
        </w:rPr>
      </w:pPr>
    </w:p>
    <w:p w14:paraId="506557D6" w14:textId="77777777" w:rsidR="005233DA" w:rsidRPr="00A7748B" w:rsidRDefault="005233DA" w:rsidP="00470F0F">
      <w:pPr>
        <w:spacing w:after="120" w:line="240" w:lineRule="auto"/>
        <w:jc w:val="both"/>
        <w:rPr>
          <w:rFonts w:cstheme="minorHAnsi"/>
        </w:rPr>
      </w:pPr>
    </w:p>
    <w:p w14:paraId="223AF3D3" w14:textId="77777777" w:rsidR="006538CD" w:rsidRPr="00A7748B" w:rsidRDefault="006538CD">
      <w:pPr>
        <w:jc w:val="both"/>
        <w:rPr>
          <w:rFonts w:cstheme="minorHAnsi"/>
        </w:rPr>
      </w:pPr>
    </w:p>
    <w:sectPr w:rsidR="006538CD" w:rsidRPr="00A7748B" w:rsidSect="00DF6BD6">
      <w:headerReference w:type="default" r:id="rId20"/>
      <w:footerReference w:type="default" r:id="rId21"/>
      <w:headerReference w:type="first" r:id="rId22"/>
      <w:pgSz w:w="12240" w:h="15840"/>
      <w:pgMar w:top="1276"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B5A4" w14:textId="77777777" w:rsidR="00B631E8" w:rsidRDefault="00B631E8" w:rsidP="001C7C78">
      <w:pPr>
        <w:spacing w:after="0" w:line="240" w:lineRule="auto"/>
      </w:pPr>
      <w:r>
        <w:separator/>
      </w:r>
    </w:p>
  </w:endnote>
  <w:endnote w:type="continuationSeparator" w:id="0">
    <w:p w14:paraId="307BAD83" w14:textId="77777777" w:rsidR="00B631E8" w:rsidRDefault="00B631E8" w:rsidP="001C7C78">
      <w:pPr>
        <w:spacing w:after="0" w:line="240" w:lineRule="auto"/>
      </w:pPr>
      <w:r>
        <w:continuationSeparator/>
      </w:r>
    </w:p>
  </w:endnote>
  <w:endnote w:type="continuationNotice" w:id="1">
    <w:p w14:paraId="3B4A8E45" w14:textId="77777777" w:rsidR="00B631E8" w:rsidRDefault="00B63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00000287" w:usb1="08070000" w:usb2="00000010" w:usb3="00000000" w:csb0="0002009F" w:csb1="00000000"/>
  </w:font>
  <w:font w:name="Trebuchet MS">
    <w:panose1 w:val="020B0603020202020204"/>
    <w:charset w:val="00"/>
    <w:family w:val="swiss"/>
    <w:pitch w:val="variable"/>
    <w:sig w:usb0="00000687" w:usb1="00000000" w:usb2="00000000" w:usb3="00000000" w:csb0="0000009F" w:csb1="00000000"/>
  </w:font>
  <w:font w:name="ItalicOOEnc">
    <w:altName w:val="Times New Roman"/>
    <w:panose1 w:val="00000000000000000000"/>
    <w:charset w:val="00"/>
    <w:family w:val="roman"/>
    <w:notTrueType/>
    <w:pitch w:val="default"/>
  </w:font>
  <w:font w:name="TimesNewRomanOOEn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50BD" w14:textId="77777777" w:rsidR="00361361" w:rsidRPr="00353CDA" w:rsidRDefault="00361361" w:rsidP="00361361">
    <w:pPr>
      <w:pStyle w:val="Subsol"/>
    </w:pPr>
    <w:r w:rsidRPr="00353CDA">
      <w:tab/>
    </w:r>
  </w:p>
  <w:p w14:paraId="411E65EF" w14:textId="77777777" w:rsidR="00361361" w:rsidRDefault="00361361" w:rsidP="00361361">
    <w:pPr>
      <w:pBdr>
        <w:top w:val="single" w:sz="4" w:space="1" w:color="auto"/>
      </w:pBdr>
      <w:ind w:right="-180"/>
      <w:jc w:val="both"/>
      <w:rPr>
        <w:rStyle w:val="Robust"/>
        <w:rFonts w:cs="Calibri"/>
        <w:i/>
        <w:color w:val="4F81BD"/>
        <w:sz w:val="16"/>
      </w:rPr>
    </w:pPr>
    <w:r w:rsidRPr="00353CDA">
      <w:rPr>
        <w:rStyle w:val="Robust"/>
        <w:rFonts w:cs="Calibri"/>
        <w:i/>
        <w:color w:val="3CA1BC"/>
        <w:sz w:val="16"/>
      </w:rPr>
      <w:t>„Implementarea Planului de Evaluare a Programului Operațional Capital Uman 2014-2020 - Primul exercițiu de evaluare a Programului Operațional Capital Uman 2014-2020 ”, Contract nr. 36273 / 05.05.2020</w:t>
    </w:r>
    <w:r w:rsidRPr="00353CDA">
      <w:rPr>
        <w:rStyle w:val="Robust"/>
        <w:rFonts w:cs="Calibri"/>
        <w:i/>
        <w:color w:val="4F81BD"/>
        <w:sz w:val="16"/>
      </w:rPr>
      <w:tab/>
    </w:r>
  </w:p>
  <w:p w14:paraId="7FE4B041" w14:textId="15CC6E41" w:rsidR="00457F32" w:rsidRPr="00361361" w:rsidRDefault="00361361" w:rsidP="00361361">
    <w:pPr>
      <w:pBdr>
        <w:top w:val="single" w:sz="4" w:space="1" w:color="auto"/>
      </w:pBdr>
      <w:ind w:right="-180"/>
      <w:jc w:val="right"/>
      <w:rPr>
        <w:color w:val="31849B"/>
        <w:sz w:val="16"/>
        <w:szCs w:val="16"/>
      </w:rPr>
    </w:pPr>
    <w:r w:rsidRPr="005C7A72">
      <w:rPr>
        <w:rStyle w:val="Robust"/>
        <w:rFonts w:cs="Calibri"/>
        <w:bCs w:val="0"/>
        <w:i/>
        <w:color w:val="4F81BD"/>
        <w:sz w:val="16"/>
        <w:szCs w:val="16"/>
      </w:rPr>
      <w:tab/>
    </w:r>
    <w:r w:rsidRPr="005C7A72">
      <w:rPr>
        <w:rStyle w:val="Robust"/>
        <w:rFonts w:cs="Calibri"/>
        <w:bCs w:val="0"/>
        <w:i/>
        <w:color w:val="4F81BD"/>
        <w:sz w:val="16"/>
        <w:szCs w:val="16"/>
      </w:rPr>
      <w:tab/>
    </w:r>
    <w:r w:rsidRPr="005C7A72">
      <w:rPr>
        <w:rStyle w:val="Robust"/>
        <w:rFonts w:cs="Calibri"/>
        <w:bCs w:val="0"/>
        <w:i/>
        <w:color w:val="4F81BD"/>
        <w:sz w:val="16"/>
        <w:szCs w:val="16"/>
      </w:rPr>
      <w:tab/>
    </w:r>
    <w:r w:rsidRPr="005C7A72">
      <w:rPr>
        <w:rStyle w:val="Robust"/>
        <w:rFonts w:cs="Calibri"/>
        <w:bCs w:val="0"/>
        <w:i/>
        <w:color w:val="4F81BD"/>
        <w:sz w:val="16"/>
        <w:szCs w:val="16"/>
      </w:rPr>
      <w:tab/>
    </w:r>
    <w:r w:rsidRPr="005C7A72">
      <w:rPr>
        <w:rStyle w:val="Robust"/>
        <w:rFonts w:cs="Calibri"/>
        <w:bCs w:val="0"/>
        <w:i/>
        <w:color w:val="4F81BD"/>
        <w:sz w:val="16"/>
        <w:szCs w:val="16"/>
      </w:rPr>
      <w:tab/>
    </w:r>
    <w:r w:rsidRPr="005C7A72">
      <w:rPr>
        <w:rStyle w:val="Robust"/>
        <w:rFonts w:cs="Calibri"/>
        <w:bCs w:val="0"/>
        <w:i/>
        <w:color w:val="4F81BD"/>
        <w:sz w:val="16"/>
        <w:szCs w:val="16"/>
      </w:rPr>
      <w:tab/>
    </w:r>
    <w:r w:rsidRPr="005C7A72">
      <w:rPr>
        <w:rStyle w:val="Robust"/>
        <w:rFonts w:cs="Calibri"/>
        <w:bCs w:val="0"/>
        <w:i/>
        <w:color w:val="4F81BD"/>
        <w:sz w:val="16"/>
        <w:szCs w:val="16"/>
      </w:rPr>
      <w:tab/>
    </w:r>
    <w:r w:rsidRPr="005C7A72">
      <w:rPr>
        <w:rStyle w:val="Robust"/>
        <w:rFonts w:cs="Calibri"/>
        <w:bCs w:val="0"/>
        <w:i/>
        <w:color w:val="4F81BD"/>
        <w:sz w:val="16"/>
        <w:szCs w:val="16"/>
      </w:rPr>
      <w:tab/>
    </w:r>
    <w:r w:rsidRPr="005C7A72">
      <w:rPr>
        <w:rStyle w:val="Robust"/>
        <w:rFonts w:cs="Calibri"/>
        <w:bCs w:val="0"/>
        <w:i/>
        <w:color w:val="4F81BD"/>
        <w:sz w:val="16"/>
        <w:szCs w:val="16"/>
      </w:rPr>
      <w:tab/>
    </w:r>
    <w:r w:rsidRPr="005C7A72">
      <w:rPr>
        <w:sz w:val="16"/>
        <w:szCs w:val="16"/>
      </w:rPr>
      <w:fldChar w:fldCharType="begin"/>
    </w:r>
    <w:r w:rsidRPr="005C7A72">
      <w:rPr>
        <w:sz w:val="16"/>
        <w:szCs w:val="16"/>
      </w:rPr>
      <w:instrText xml:space="preserve"> PAGE   \* MERGEFORMAT </w:instrText>
    </w:r>
    <w:r w:rsidRPr="005C7A72">
      <w:rPr>
        <w:sz w:val="16"/>
        <w:szCs w:val="16"/>
      </w:rPr>
      <w:fldChar w:fldCharType="separate"/>
    </w:r>
    <w:r w:rsidR="0057158F">
      <w:rPr>
        <w:noProof/>
        <w:sz w:val="16"/>
        <w:szCs w:val="16"/>
      </w:rPr>
      <w:t>9</w:t>
    </w:r>
    <w:r w:rsidRPr="005C7A7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7D41" w14:textId="77777777" w:rsidR="00B631E8" w:rsidRDefault="00B631E8" w:rsidP="001C7C78">
      <w:pPr>
        <w:spacing w:after="0" w:line="240" w:lineRule="auto"/>
      </w:pPr>
      <w:r>
        <w:separator/>
      </w:r>
    </w:p>
  </w:footnote>
  <w:footnote w:type="continuationSeparator" w:id="0">
    <w:p w14:paraId="0B34C4F2" w14:textId="77777777" w:rsidR="00B631E8" w:rsidRDefault="00B631E8" w:rsidP="001C7C78">
      <w:pPr>
        <w:spacing w:after="0" w:line="240" w:lineRule="auto"/>
      </w:pPr>
      <w:r>
        <w:continuationSeparator/>
      </w:r>
    </w:p>
  </w:footnote>
  <w:footnote w:type="continuationNotice" w:id="1">
    <w:p w14:paraId="3B97E52F" w14:textId="77777777" w:rsidR="00B631E8" w:rsidRDefault="00B63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6C81" w14:textId="6B5526C4" w:rsidR="007504DB" w:rsidRDefault="007504DB">
    <w:pPr>
      <w:pStyle w:val="Antet"/>
      <w:rPr>
        <w:lang w:val="en-GB"/>
      </w:rPr>
    </w:pPr>
    <w:r>
      <w:rPr>
        <w:noProof/>
        <w:lang w:eastAsia="ro-RO"/>
      </w:rPr>
      <w:drawing>
        <wp:anchor distT="0" distB="0" distL="114300" distR="114300" simplePos="0" relativeHeight="251660288" behindDoc="0" locked="0" layoutInCell="1" allowOverlap="1" wp14:anchorId="174593C2" wp14:editId="63424A79">
          <wp:simplePos x="0" y="0"/>
          <wp:positionH relativeFrom="margin">
            <wp:align>center</wp:align>
          </wp:positionH>
          <wp:positionV relativeFrom="paragraph">
            <wp:posOffset>-181610</wp:posOffset>
          </wp:positionV>
          <wp:extent cx="670560" cy="640080"/>
          <wp:effectExtent l="0" t="0" r="0" b="7620"/>
          <wp:wrapSquare wrapText="bothSides"/>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
                    <a:extLst>
                      <a:ext uri="{28A0092B-C50C-407E-A947-70E740481C1C}">
                        <a14:useLocalDpi xmlns:a14="http://schemas.microsoft.com/office/drawing/2010/main" val="0"/>
                      </a:ext>
                    </a:extLst>
                  </a:blip>
                  <a:srcRect r="76346"/>
                  <a:stretch>
                    <a:fillRect/>
                  </a:stretch>
                </pic:blipFill>
                <pic:spPr>
                  <a:xfrm>
                    <a:off x="0" y="0"/>
                    <a:ext cx="670560" cy="640080"/>
                  </a:xfrm>
                  <a:prstGeom prst="rect">
                    <a:avLst/>
                  </a:prstGeom>
                </pic:spPr>
              </pic:pic>
            </a:graphicData>
          </a:graphic>
        </wp:anchor>
      </w:drawing>
    </w:r>
    <w:r>
      <w:rPr>
        <w:noProof/>
        <w:lang w:eastAsia="ro-RO"/>
      </w:rPr>
      <w:drawing>
        <wp:anchor distT="0" distB="0" distL="114300" distR="114300" simplePos="0" relativeHeight="251661312" behindDoc="0" locked="0" layoutInCell="1" allowOverlap="1" wp14:anchorId="012FEB5D" wp14:editId="2664F560">
          <wp:simplePos x="0" y="0"/>
          <wp:positionH relativeFrom="margin">
            <wp:align>right</wp:align>
          </wp:positionH>
          <wp:positionV relativeFrom="paragraph">
            <wp:posOffset>-225425</wp:posOffset>
          </wp:positionV>
          <wp:extent cx="693420" cy="693420"/>
          <wp:effectExtent l="0" t="0" r="0" b="0"/>
          <wp:wrapSquare wrapText="bothSides"/>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2">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anchor>
      </w:drawing>
    </w:r>
    <w:r>
      <w:rPr>
        <w:noProof/>
        <w:lang w:eastAsia="ro-RO"/>
      </w:rPr>
      <w:drawing>
        <wp:anchor distT="0" distB="0" distL="114300" distR="114300" simplePos="0" relativeHeight="251659264" behindDoc="0" locked="0" layoutInCell="1" allowOverlap="1" wp14:anchorId="0A262C43" wp14:editId="757CB0C9">
          <wp:simplePos x="0" y="0"/>
          <wp:positionH relativeFrom="column">
            <wp:posOffset>-320040</wp:posOffset>
          </wp:positionH>
          <wp:positionV relativeFrom="paragraph">
            <wp:posOffset>-189230</wp:posOffset>
          </wp:positionV>
          <wp:extent cx="800100" cy="670560"/>
          <wp:effectExtent l="0" t="0" r="0" b="0"/>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3">
                    <a:extLst>
                      <a:ext uri="{28A0092B-C50C-407E-A947-70E740481C1C}">
                        <a14:useLocalDpi xmlns:a14="http://schemas.microsoft.com/office/drawing/2010/main" val="0"/>
                      </a:ext>
                    </a:extLst>
                  </a:blip>
                  <a:stretch>
                    <a:fillRect/>
                  </a:stretch>
                </pic:blipFill>
                <pic:spPr>
                  <a:xfrm>
                    <a:off x="0" y="0"/>
                    <a:ext cx="800100" cy="670560"/>
                  </a:xfrm>
                  <a:prstGeom prst="rect">
                    <a:avLst/>
                  </a:prstGeom>
                </pic:spPr>
              </pic:pic>
            </a:graphicData>
          </a:graphic>
        </wp:anchor>
      </w:drawing>
    </w:r>
    <w:r>
      <w:rPr>
        <w:lang w:val="en-GB"/>
      </w:rPr>
      <w:tab/>
    </w:r>
  </w:p>
  <w:p w14:paraId="3CBD2E4E" w14:textId="40A63EFA" w:rsidR="007504DB" w:rsidRDefault="007504DB">
    <w:pPr>
      <w:pStyle w:val="Antet"/>
      <w:rPr>
        <w:lang w:val="en-GB"/>
      </w:rPr>
    </w:pPr>
  </w:p>
  <w:p w14:paraId="44CAD217" w14:textId="77777777" w:rsidR="007504DB" w:rsidRPr="007504DB" w:rsidRDefault="007504DB">
    <w:pPr>
      <w:pStyle w:val="Ante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1AFD" w14:textId="77777777" w:rsidR="00DF6BD6" w:rsidRDefault="00DF6BD6" w:rsidP="00DF6BD6">
    <w:pPr>
      <w:pStyle w:val="Antet"/>
      <w:rPr>
        <w:lang w:val="en-GB"/>
      </w:rPr>
    </w:pPr>
    <w:r>
      <w:rPr>
        <w:noProof/>
        <w:lang w:eastAsia="ro-RO"/>
      </w:rPr>
      <w:drawing>
        <wp:anchor distT="0" distB="0" distL="114300" distR="114300" simplePos="0" relativeHeight="251664384" behindDoc="0" locked="0" layoutInCell="1" allowOverlap="1" wp14:anchorId="29B120D9" wp14:editId="0B45DC82">
          <wp:simplePos x="0" y="0"/>
          <wp:positionH relativeFrom="margin">
            <wp:align>center</wp:align>
          </wp:positionH>
          <wp:positionV relativeFrom="paragraph">
            <wp:posOffset>-181610</wp:posOffset>
          </wp:positionV>
          <wp:extent cx="670560" cy="6400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
                    <a:extLst>
                      <a:ext uri="{28A0092B-C50C-407E-A947-70E740481C1C}">
                        <a14:useLocalDpi xmlns:a14="http://schemas.microsoft.com/office/drawing/2010/main" val="0"/>
                      </a:ext>
                    </a:extLst>
                  </a:blip>
                  <a:srcRect r="76346"/>
                  <a:stretch>
                    <a:fillRect/>
                  </a:stretch>
                </pic:blipFill>
                <pic:spPr>
                  <a:xfrm>
                    <a:off x="0" y="0"/>
                    <a:ext cx="670560" cy="640080"/>
                  </a:xfrm>
                  <a:prstGeom prst="rect">
                    <a:avLst/>
                  </a:prstGeom>
                </pic:spPr>
              </pic:pic>
            </a:graphicData>
          </a:graphic>
        </wp:anchor>
      </w:drawing>
    </w:r>
    <w:r>
      <w:rPr>
        <w:noProof/>
        <w:lang w:eastAsia="ro-RO"/>
      </w:rPr>
      <w:drawing>
        <wp:anchor distT="0" distB="0" distL="114300" distR="114300" simplePos="0" relativeHeight="251665408" behindDoc="0" locked="0" layoutInCell="1" allowOverlap="1" wp14:anchorId="12291922" wp14:editId="4DB5DFC7">
          <wp:simplePos x="0" y="0"/>
          <wp:positionH relativeFrom="margin">
            <wp:align>right</wp:align>
          </wp:positionH>
          <wp:positionV relativeFrom="paragraph">
            <wp:posOffset>-225425</wp:posOffset>
          </wp:positionV>
          <wp:extent cx="693420" cy="693420"/>
          <wp:effectExtent l="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2">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anchor>
      </w:drawing>
    </w:r>
    <w:r>
      <w:rPr>
        <w:noProof/>
        <w:lang w:eastAsia="ro-RO"/>
      </w:rPr>
      <w:drawing>
        <wp:anchor distT="0" distB="0" distL="114300" distR="114300" simplePos="0" relativeHeight="251663360" behindDoc="0" locked="0" layoutInCell="1" allowOverlap="1" wp14:anchorId="5556B87F" wp14:editId="7AF0CCDB">
          <wp:simplePos x="0" y="0"/>
          <wp:positionH relativeFrom="column">
            <wp:posOffset>-320040</wp:posOffset>
          </wp:positionH>
          <wp:positionV relativeFrom="paragraph">
            <wp:posOffset>-189230</wp:posOffset>
          </wp:positionV>
          <wp:extent cx="800100" cy="670560"/>
          <wp:effectExtent l="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3">
                    <a:extLst>
                      <a:ext uri="{28A0092B-C50C-407E-A947-70E740481C1C}">
                        <a14:useLocalDpi xmlns:a14="http://schemas.microsoft.com/office/drawing/2010/main" val="0"/>
                      </a:ext>
                    </a:extLst>
                  </a:blip>
                  <a:stretch>
                    <a:fillRect/>
                  </a:stretch>
                </pic:blipFill>
                <pic:spPr>
                  <a:xfrm>
                    <a:off x="0" y="0"/>
                    <a:ext cx="800100" cy="670560"/>
                  </a:xfrm>
                  <a:prstGeom prst="rect">
                    <a:avLst/>
                  </a:prstGeom>
                </pic:spPr>
              </pic:pic>
            </a:graphicData>
          </a:graphic>
        </wp:anchor>
      </w:drawing>
    </w:r>
    <w:r>
      <w:rPr>
        <w:lang w:val="en-GB"/>
      </w:rPr>
      <w:tab/>
    </w:r>
  </w:p>
  <w:p w14:paraId="62658365" w14:textId="02EFDCE8" w:rsidR="00457F32" w:rsidRDefault="00457F32" w:rsidP="00DF6BD6">
    <w:pPr>
      <w:pStyle w:val="Antet"/>
    </w:pPr>
  </w:p>
  <w:p w14:paraId="46FA60C2" w14:textId="77777777" w:rsidR="00DF6BD6" w:rsidRPr="00DF6BD6" w:rsidRDefault="00DF6BD6" w:rsidP="00DF6BD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3EF"/>
    <w:multiLevelType w:val="hybridMultilevel"/>
    <w:tmpl w:val="E64C9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F43C2"/>
    <w:multiLevelType w:val="hybridMultilevel"/>
    <w:tmpl w:val="53F2D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333199"/>
    <w:multiLevelType w:val="hybridMultilevel"/>
    <w:tmpl w:val="53B26356"/>
    <w:lvl w:ilvl="0" w:tplc="6D3C2A9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D27B15"/>
    <w:multiLevelType w:val="hybridMultilevel"/>
    <w:tmpl w:val="F4225134"/>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740A5"/>
    <w:multiLevelType w:val="hybridMultilevel"/>
    <w:tmpl w:val="74EC0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B34D51"/>
    <w:multiLevelType w:val="hybridMultilevel"/>
    <w:tmpl w:val="B8122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7B7292"/>
    <w:multiLevelType w:val="hybridMultilevel"/>
    <w:tmpl w:val="3E1AC5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A05193"/>
    <w:multiLevelType w:val="hybridMultilevel"/>
    <w:tmpl w:val="AE76792A"/>
    <w:lvl w:ilvl="0" w:tplc="3CAAD44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EB61B3C"/>
    <w:multiLevelType w:val="hybridMultilevel"/>
    <w:tmpl w:val="AC2214D8"/>
    <w:lvl w:ilvl="0" w:tplc="04090005">
      <w:start w:val="1"/>
      <w:numFmt w:val="bullet"/>
      <w:lvlText w:val=""/>
      <w:lvlJc w:val="left"/>
      <w:pPr>
        <w:ind w:left="768" w:hanging="360"/>
      </w:pPr>
      <w:rPr>
        <w:rFonts w:ascii="Wingdings" w:hAnsi="Wingdings"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9" w15:restartNumberingAfterBreak="0">
    <w:nsid w:val="3FB0782B"/>
    <w:multiLevelType w:val="hybridMultilevel"/>
    <w:tmpl w:val="9BE65B8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B68FB"/>
    <w:multiLevelType w:val="hybridMultilevel"/>
    <w:tmpl w:val="BA22411E"/>
    <w:lvl w:ilvl="0" w:tplc="04180003">
      <w:start w:val="1"/>
      <w:numFmt w:val="bullet"/>
      <w:lvlText w:val="o"/>
      <w:lvlJc w:val="left"/>
      <w:pPr>
        <w:ind w:left="1211" w:hanging="360"/>
      </w:pPr>
      <w:rPr>
        <w:rFonts w:ascii="Courier New" w:hAnsi="Courier New" w:cs="Courier New"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4EE736D4"/>
    <w:multiLevelType w:val="hybridMultilevel"/>
    <w:tmpl w:val="498E28C0"/>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F520EB"/>
    <w:multiLevelType w:val="hybridMultilevel"/>
    <w:tmpl w:val="9098AFF4"/>
    <w:lvl w:ilvl="0" w:tplc="04180005">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5413219D"/>
    <w:multiLevelType w:val="hybridMultilevel"/>
    <w:tmpl w:val="5B0E89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E7BA9"/>
    <w:multiLevelType w:val="hybridMultilevel"/>
    <w:tmpl w:val="007E3FF0"/>
    <w:lvl w:ilvl="0" w:tplc="04180003">
      <w:start w:val="1"/>
      <w:numFmt w:val="bullet"/>
      <w:lvlText w:val="o"/>
      <w:lvlJc w:val="left"/>
      <w:pPr>
        <w:ind w:left="1211" w:hanging="360"/>
      </w:pPr>
      <w:rPr>
        <w:rFonts w:ascii="Courier New" w:hAnsi="Courier New" w:cs="Courier New"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15:restartNumberingAfterBreak="0">
    <w:nsid w:val="56733622"/>
    <w:multiLevelType w:val="hybridMultilevel"/>
    <w:tmpl w:val="C89ED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477501"/>
    <w:multiLevelType w:val="hybridMultilevel"/>
    <w:tmpl w:val="5C463FF4"/>
    <w:lvl w:ilvl="0" w:tplc="04180003">
      <w:start w:val="1"/>
      <w:numFmt w:val="bullet"/>
      <w:lvlText w:val="o"/>
      <w:lvlJc w:val="left"/>
      <w:pPr>
        <w:ind w:left="1211" w:hanging="360"/>
      </w:pPr>
      <w:rPr>
        <w:rFonts w:ascii="Courier New" w:hAnsi="Courier New" w:cs="Courier New"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15:restartNumberingAfterBreak="0">
    <w:nsid w:val="5D39221A"/>
    <w:multiLevelType w:val="hybridMultilevel"/>
    <w:tmpl w:val="FD9C06A6"/>
    <w:lvl w:ilvl="0" w:tplc="04180003">
      <w:start w:val="1"/>
      <w:numFmt w:val="bullet"/>
      <w:lvlText w:val="o"/>
      <w:lvlJc w:val="left"/>
      <w:pPr>
        <w:ind w:left="1211" w:hanging="360"/>
      </w:pPr>
      <w:rPr>
        <w:rFonts w:ascii="Courier New" w:hAnsi="Courier New" w:cs="Courier New"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612044E4"/>
    <w:multiLevelType w:val="hybridMultilevel"/>
    <w:tmpl w:val="CB504874"/>
    <w:lvl w:ilvl="0" w:tplc="04180003">
      <w:start w:val="1"/>
      <w:numFmt w:val="bullet"/>
      <w:lvlText w:val="o"/>
      <w:lvlJc w:val="left"/>
      <w:pPr>
        <w:ind w:left="1211" w:hanging="360"/>
      </w:pPr>
      <w:rPr>
        <w:rFonts w:ascii="Courier New" w:hAnsi="Courier New" w:cs="Courier New"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15:restartNumberingAfterBreak="0">
    <w:nsid w:val="6AC421F4"/>
    <w:multiLevelType w:val="hybridMultilevel"/>
    <w:tmpl w:val="8630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2C533BC"/>
    <w:multiLevelType w:val="hybridMultilevel"/>
    <w:tmpl w:val="E7182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9C676A9"/>
    <w:multiLevelType w:val="hybridMultilevel"/>
    <w:tmpl w:val="FF6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952243"/>
    <w:multiLevelType w:val="hybridMultilevel"/>
    <w:tmpl w:val="530A0D6A"/>
    <w:lvl w:ilvl="0" w:tplc="B3BE14A4">
      <w:numFmt w:val="bullet"/>
      <w:lvlText w:val="-"/>
      <w:lvlJc w:val="left"/>
      <w:pPr>
        <w:ind w:left="720" w:hanging="360"/>
      </w:pPr>
      <w:rPr>
        <w:rFonts w:ascii="Verdana" w:eastAsiaTheme="minorEastAsia" w:hAnsi="Verdana" w:cs="Verdana"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3D72DE"/>
    <w:multiLevelType w:val="hybridMultilevel"/>
    <w:tmpl w:val="7E8AD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8"/>
  </w:num>
  <w:num w:numId="5">
    <w:abstractNumId w:val="17"/>
  </w:num>
  <w:num w:numId="6">
    <w:abstractNumId w:val="16"/>
  </w:num>
  <w:num w:numId="7">
    <w:abstractNumId w:val="10"/>
  </w:num>
  <w:num w:numId="8">
    <w:abstractNumId w:val="14"/>
  </w:num>
  <w:num w:numId="9">
    <w:abstractNumId w:val="3"/>
  </w:num>
  <w:num w:numId="10">
    <w:abstractNumId w:val="23"/>
  </w:num>
  <w:num w:numId="11">
    <w:abstractNumId w:val="9"/>
  </w:num>
  <w:num w:numId="12">
    <w:abstractNumId w:val="4"/>
  </w:num>
  <w:num w:numId="13">
    <w:abstractNumId w:val="11"/>
  </w:num>
  <w:num w:numId="14">
    <w:abstractNumId w:val="15"/>
  </w:num>
  <w:num w:numId="15">
    <w:abstractNumId w:val="8"/>
  </w:num>
  <w:num w:numId="16">
    <w:abstractNumId w:val="21"/>
  </w:num>
  <w:num w:numId="17">
    <w:abstractNumId w:val="19"/>
  </w:num>
  <w:num w:numId="18">
    <w:abstractNumId w:val="5"/>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0"/>
  </w:num>
  <w:num w:numId="23">
    <w:abstractNumId w:val="22"/>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920"/>
    <w:rsid w:val="00014127"/>
    <w:rsid w:val="00034B27"/>
    <w:rsid w:val="00036420"/>
    <w:rsid w:val="00037071"/>
    <w:rsid w:val="00037E20"/>
    <w:rsid w:val="00060B3C"/>
    <w:rsid w:val="00064CD8"/>
    <w:rsid w:val="00075A27"/>
    <w:rsid w:val="000A1915"/>
    <w:rsid w:val="000B00D7"/>
    <w:rsid w:val="000B44B6"/>
    <w:rsid w:val="000C18A2"/>
    <w:rsid w:val="000C568F"/>
    <w:rsid w:val="000D0BAB"/>
    <w:rsid w:val="000D7C24"/>
    <w:rsid w:val="000E5C45"/>
    <w:rsid w:val="000E6A20"/>
    <w:rsid w:val="000F2477"/>
    <w:rsid w:val="000F762E"/>
    <w:rsid w:val="001050FB"/>
    <w:rsid w:val="0010659E"/>
    <w:rsid w:val="00106874"/>
    <w:rsid w:val="00107A9F"/>
    <w:rsid w:val="00110F05"/>
    <w:rsid w:val="00121E4C"/>
    <w:rsid w:val="001304CD"/>
    <w:rsid w:val="00131525"/>
    <w:rsid w:val="00133CF5"/>
    <w:rsid w:val="00145BA9"/>
    <w:rsid w:val="00146228"/>
    <w:rsid w:val="00147B22"/>
    <w:rsid w:val="00150372"/>
    <w:rsid w:val="0015343E"/>
    <w:rsid w:val="00161B1F"/>
    <w:rsid w:val="00172095"/>
    <w:rsid w:val="001755B6"/>
    <w:rsid w:val="00180C13"/>
    <w:rsid w:val="001812B8"/>
    <w:rsid w:val="00181884"/>
    <w:rsid w:val="00196BFE"/>
    <w:rsid w:val="001C19EF"/>
    <w:rsid w:val="001C7C78"/>
    <w:rsid w:val="001D3FB9"/>
    <w:rsid w:val="001E35E1"/>
    <w:rsid w:val="00206338"/>
    <w:rsid w:val="00206C4E"/>
    <w:rsid w:val="0021402B"/>
    <w:rsid w:val="00215E48"/>
    <w:rsid w:val="00217375"/>
    <w:rsid w:val="00230108"/>
    <w:rsid w:val="00231233"/>
    <w:rsid w:val="00245878"/>
    <w:rsid w:val="00246D2D"/>
    <w:rsid w:val="00262EE1"/>
    <w:rsid w:val="00291DE8"/>
    <w:rsid w:val="0029314E"/>
    <w:rsid w:val="002C6B31"/>
    <w:rsid w:val="002D049A"/>
    <w:rsid w:val="002D3777"/>
    <w:rsid w:val="002E00F3"/>
    <w:rsid w:val="002E411F"/>
    <w:rsid w:val="002E6FDC"/>
    <w:rsid w:val="002F2269"/>
    <w:rsid w:val="002F4E8E"/>
    <w:rsid w:val="0030127D"/>
    <w:rsid w:val="00307A20"/>
    <w:rsid w:val="00311586"/>
    <w:rsid w:val="003137B3"/>
    <w:rsid w:val="00313941"/>
    <w:rsid w:val="003160CD"/>
    <w:rsid w:val="00323920"/>
    <w:rsid w:val="003242D1"/>
    <w:rsid w:val="003246CC"/>
    <w:rsid w:val="003255BF"/>
    <w:rsid w:val="00335482"/>
    <w:rsid w:val="00340F1B"/>
    <w:rsid w:val="00342498"/>
    <w:rsid w:val="003463E5"/>
    <w:rsid w:val="00351273"/>
    <w:rsid w:val="00361361"/>
    <w:rsid w:val="0037521F"/>
    <w:rsid w:val="00382355"/>
    <w:rsid w:val="00391762"/>
    <w:rsid w:val="003A4183"/>
    <w:rsid w:val="003B2211"/>
    <w:rsid w:val="003C4966"/>
    <w:rsid w:val="003E2552"/>
    <w:rsid w:val="00400231"/>
    <w:rsid w:val="004041A0"/>
    <w:rsid w:val="00410854"/>
    <w:rsid w:val="004139ED"/>
    <w:rsid w:val="004139EE"/>
    <w:rsid w:val="00414EFD"/>
    <w:rsid w:val="00417872"/>
    <w:rsid w:val="00421FCA"/>
    <w:rsid w:val="00434D43"/>
    <w:rsid w:val="004429A5"/>
    <w:rsid w:val="00457F32"/>
    <w:rsid w:val="00470F0F"/>
    <w:rsid w:val="00473C1F"/>
    <w:rsid w:val="0047627D"/>
    <w:rsid w:val="004B482B"/>
    <w:rsid w:val="004C645C"/>
    <w:rsid w:val="004D35F8"/>
    <w:rsid w:val="004D3990"/>
    <w:rsid w:val="004D49BE"/>
    <w:rsid w:val="00515968"/>
    <w:rsid w:val="005200CE"/>
    <w:rsid w:val="005233DA"/>
    <w:rsid w:val="005235FF"/>
    <w:rsid w:val="00527FF8"/>
    <w:rsid w:val="00531798"/>
    <w:rsid w:val="00543861"/>
    <w:rsid w:val="00545B22"/>
    <w:rsid w:val="00553284"/>
    <w:rsid w:val="00562BA3"/>
    <w:rsid w:val="00566AEB"/>
    <w:rsid w:val="00567ED1"/>
    <w:rsid w:val="0057158F"/>
    <w:rsid w:val="0057673A"/>
    <w:rsid w:val="00593F42"/>
    <w:rsid w:val="00593FB3"/>
    <w:rsid w:val="005C1545"/>
    <w:rsid w:val="005C7944"/>
    <w:rsid w:val="005D0033"/>
    <w:rsid w:val="005D3039"/>
    <w:rsid w:val="00600F06"/>
    <w:rsid w:val="00614D4E"/>
    <w:rsid w:val="00632B7E"/>
    <w:rsid w:val="00635CBD"/>
    <w:rsid w:val="0063780E"/>
    <w:rsid w:val="00643F76"/>
    <w:rsid w:val="006538CD"/>
    <w:rsid w:val="00653D82"/>
    <w:rsid w:val="00654610"/>
    <w:rsid w:val="00667AB3"/>
    <w:rsid w:val="0067094A"/>
    <w:rsid w:val="00670D3A"/>
    <w:rsid w:val="00676E66"/>
    <w:rsid w:val="00677253"/>
    <w:rsid w:val="0068043E"/>
    <w:rsid w:val="006A1CC8"/>
    <w:rsid w:val="006A73F5"/>
    <w:rsid w:val="006B67C4"/>
    <w:rsid w:val="006D0B03"/>
    <w:rsid w:val="006D4977"/>
    <w:rsid w:val="006E3C26"/>
    <w:rsid w:val="007057EA"/>
    <w:rsid w:val="007171D9"/>
    <w:rsid w:val="00723013"/>
    <w:rsid w:val="00732926"/>
    <w:rsid w:val="0073315D"/>
    <w:rsid w:val="00734E22"/>
    <w:rsid w:val="00741710"/>
    <w:rsid w:val="00746691"/>
    <w:rsid w:val="00747C56"/>
    <w:rsid w:val="007504DB"/>
    <w:rsid w:val="007636BE"/>
    <w:rsid w:val="0077632D"/>
    <w:rsid w:val="0078304F"/>
    <w:rsid w:val="00783D92"/>
    <w:rsid w:val="0078422A"/>
    <w:rsid w:val="007A511F"/>
    <w:rsid w:val="007B4AC9"/>
    <w:rsid w:val="007B5011"/>
    <w:rsid w:val="007B5AFC"/>
    <w:rsid w:val="007B689F"/>
    <w:rsid w:val="007B7B45"/>
    <w:rsid w:val="007D330D"/>
    <w:rsid w:val="007D4770"/>
    <w:rsid w:val="007F3B27"/>
    <w:rsid w:val="007F52CA"/>
    <w:rsid w:val="007F5F58"/>
    <w:rsid w:val="0081305A"/>
    <w:rsid w:val="0081731E"/>
    <w:rsid w:val="00817D51"/>
    <w:rsid w:val="008209FE"/>
    <w:rsid w:val="00822BC1"/>
    <w:rsid w:val="008278DA"/>
    <w:rsid w:val="0083445C"/>
    <w:rsid w:val="008432F1"/>
    <w:rsid w:val="00844CD0"/>
    <w:rsid w:val="008557C8"/>
    <w:rsid w:val="00856DA2"/>
    <w:rsid w:val="0087237D"/>
    <w:rsid w:val="0088684D"/>
    <w:rsid w:val="00897BE8"/>
    <w:rsid w:val="008A1893"/>
    <w:rsid w:val="008B2511"/>
    <w:rsid w:val="008C359E"/>
    <w:rsid w:val="008C5DBD"/>
    <w:rsid w:val="008D1D07"/>
    <w:rsid w:val="008D4DC7"/>
    <w:rsid w:val="008D7160"/>
    <w:rsid w:val="008F195A"/>
    <w:rsid w:val="00904396"/>
    <w:rsid w:val="009079DB"/>
    <w:rsid w:val="00933697"/>
    <w:rsid w:val="00942553"/>
    <w:rsid w:val="0096130B"/>
    <w:rsid w:val="00970EA8"/>
    <w:rsid w:val="00972E1E"/>
    <w:rsid w:val="00973AF6"/>
    <w:rsid w:val="009757C2"/>
    <w:rsid w:val="00976ED2"/>
    <w:rsid w:val="00986882"/>
    <w:rsid w:val="00987EB2"/>
    <w:rsid w:val="00990026"/>
    <w:rsid w:val="00992036"/>
    <w:rsid w:val="00993481"/>
    <w:rsid w:val="009B0880"/>
    <w:rsid w:val="009B1D2C"/>
    <w:rsid w:val="009B5239"/>
    <w:rsid w:val="009C02B1"/>
    <w:rsid w:val="009C1D8F"/>
    <w:rsid w:val="009C3823"/>
    <w:rsid w:val="009C3EDA"/>
    <w:rsid w:val="009C5AEF"/>
    <w:rsid w:val="009D6818"/>
    <w:rsid w:val="009D799C"/>
    <w:rsid w:val="009E08EA"/>
    <w:rsid w:val="009E09E2"/>
    <w:rsid w:val="009F2665"/>
    <w:rsid w:val="009F28EE"/>
    <w:rsid w:val="009F3F18"/>
    <w:rsid w:val="009F4798"/>
    <w:rsid w:val="00A03A32"/>
    <w:rsid w:val="00A21BF1"/>
    <w:rsid w:val="00A32326"/>
    <w:rsid w:val="00A336F2"/>
    <w:rsid w:val="00A33C2C"/>
    <w:rsid w:val="00A52074"/>
    <w:rsid w:val="00A54C1D"/>
    <w:rsid w:val="00A7748B"/>
    <w:rsid w:val="00A83C2A"/>
    <w:rsid w:val="00A8525F"/>
    <w:rsid w:val="00A856AB"/>
    <w:rsid w:val="00A87609"/>
    <w:rsid w:val="00A91E33"/>
    <w:rsid w:val="00AA5DF5"/>
    <w:rsid w:val="00AB20FD"/>
    <w:rsid w:val="00AB217B"/>
    <w:rsid w:val="00AB3DF2"/>
    <w:rsid w:val="00AC6315"/>
    <w:rsid w:val="00AD5DE8"/>
    <w:rsid w:val="00AF4ECB"/>
    <w:rsid w:val="00AF68A3"/>
    <w:rsid w:val="00B0445E"/>
    <w:rsid w:val="00B0758D"/>
    <w:rsid w:val="00B22473"/>
    <w:rsid w:val="00B328C9"/>
    <w:rsid w:val="00B36829"/>
    <w:rsid w:val="00B41D31"/>
    <w:rsid w:val="00B463FC"/>
    <w:rsid w:val="00B47103"/>
    <w:rsid w:val="00B631E8"/>
    <w:rsid w:val="00B7446D"/>
    <w:rsid w:val="00B76E1B"/>
    <w:rsid w:val="00B9583A"/>
    <w:rsid w:val="00B967D7"/>
    <w:rsid w:val="00BC27AA"/>
    <w:rsid w:val="00BD037F"/>
    <w:rsid w:val="00BE1D93"/>
    <w:rsid w:val="00C0254C"/>
    <w:rsid w:val="00C079B9"/>
    <w:rsid w:val="00C22FBF"/>
    <w:rsid w:val="00C25E3B"/>
    <w:rsid w:val="00C3274C"/>
    <w:rsid w:val="00C515D5"/>
    <w:rsid w:val="00C51E59"/>
    <w:rsid w:val="00C52F04"/>
    <w:rsid w:val="00C71127"/>
    <w:rsid w:val="00C71DCE"/>
    <w:rsid w:val="00C76103"/>
    <w:rsid w:val="00C84734"/>
    <w:rsid w:val="00C9106E"/>
    <w:rsid w:val="00C94679"/>
    <w:rsid w:val="00CA1B76"/>
    <w:rsid w:val="00CA3E41"/>
    <w:rsid w:val="00CB0F12"/>
    <w:rsid w:val="00CB4276"/>
    <w:rsid w:val="00CB5DE2"/>
    <w:rsid w:val="00CC11E1"/>
    <w:rsid w:val="00CC3417"/>
    <w:rsid w:val="00CC6BB7"/>
    <w:rsid w:val="00CF0FB4"/>
    <w:rsid w:val="00CF3227"/>
    <w:rsid w:val="00CF327A"/>
    <w:rsid w:val="00D32807"/>
    <w:rsid w:val="00D32934"/>
    <w:rsid w:val="00D54073"/>
    <w:rsid w:val="00D64375"/>
    <w:rsid w:val="00D710D1"/>
    <w:rsid w:val="00D8352D"/>
    <w:rsid w:val="00D85B47"/>
    <w:rsid w:val="00D95F09"/>
    <w:rsid w:val="00DA09C2"/>
    <w:rsid w:val="00DA2C2B"/>
    <w:rsid w:val="00DA58C1"/>
    <w:rsid w:val="00DB1C2B"/>
    <w:rsid w:val="00DC331E"/>
    <w:rsid w:val="00DD39BE"/>
    <w:rsid w:val="00DE4DE9"/>
    <w:rsid w:val="00DF2C42"/>
    <w:rsid w:val="00DF50B1"/>
    <w:rsid w:val="00DF6BD6"/>
    <w:rsid w:val="00E047E7"/>
    <w:rsid w:val="00E06C2B"/>
    <w:rsid w:val="00E208D6"/>
    <w:rsid w:val="00E27810"/>
    <w:rsid w:val="00E348AB"/>
    <w:rsid w:val="00E4341B"/>
    <w:rsid w:val="00E62BB8"/>
    <w:rsid w:val="00E8155D"/>
    <w:rsid w:val="00E83726"/>
    <w:rsid w:val="00E92027"/>
    <w:rsid w:val="00E95D0C"/>
    <w:rsid w:val="00E966ED"/>
    <w:rsid w:val="00E9754F"/>
    <w:rsid w:val="00EA4BAC"/>
    <w:rsid w:val="00EA530B"/>
    <w:rsid w:val="00EC2557"/>
    <w:rsid w:val="00EC43E2"/>
    <w:rsid w:val="00ED0155"/>
    <w:rsid w:val="00ED5597"/>
    <w:rsid w:val="00EE2028"/>
    <w:rsid w:val="00EF0E26"/>
    <w:rsid w:val="00EF7760"/>
    <w:rsid w:val="00F0499D"/>
    <w:rsid w:val="00F05AB5"/>
    <w:rsid w:val="00F12CCB"/>
    <w:rsid w:val="00F2556F"/>
    <w:rsid w:val="00F27D6C"/>
    <w:rsid w:val="00F42008"/>
    <w:rsid w:val="00F528E7"/>
    <w:rsid w:val="00F54341"/>
    <w:rsid w:val="00F55B50"/>
    <w:rsid w:val="00F566C3"/>
    <w:rsid w:val="00F71F3B"/>
    <w:rsid w:val="00F80212"/>
    <w:rsid w:val="00F85C38"/>
    <w:rsid w:val="00F86C0F"/>
    <w:rsid w:val="00F97AE2"/>
    <w:rsid w:val="00FA5BB2"/>
    <w:rsid w:val="00FA689E"/>
    <w:rsid w:val="00FB129B"/>
    <w:rsid w:val="00FB1D71"/>
    <w:rsid w:val="00FC4648"/>
    <w:rsid w:val="00FC5ADE"/>
    <w:rsid w:val="00FC6ECD"/>
    <w:rsid w:val="00FD4C67"/>
    <w:rsid w:val="00FD5AE2"/>
    <w:rsid w:val="00FE4142"/>
    <w:rsid w:val="00FE5C17"/>
    <w:rsid w:val="00FF53E4"/>
    <w:rsid w:val="00FF7FC4"/>
    <w:rsid w:val="420E9592"/>
    <w:rsid w:val="4FB9EF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93A5"/>
  <w15:chartTrackingRefBased/>
  <w15:docId w15:val="{E439CCF8-0D85-4435-B25E-96B1130F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1">
    <w:name w:val="heading 1"/>
    <w:aliases w:val="Heading 1 Char1 Char1,Heading 1 Char Char Char1,Heading 1 Char1 Char1 Char Char,Heading 1 Char Char Char1 Char Char,Heading 1 Char Char1,Heading 1 Char1 Char1 Char1,Heading 1 Char Char Char1 Char1,1,PLS 1,PLS 11,PLS 12,PLS 13,H"/>
    <w:basedOn w:val="Normal"/>
    <w:next w:val="Normal"/>
    <w:link w:val="Titlu1Caracter"/>
    <w:uiPriority w:val="9"/>
    <w:qFormat/>
    <w:rsid w:val="009C02B1"/>
    <w:pPr>
      <w:keepNext/>
      <w:keepLines/>
      <w:spacing w:before="240" w:after="0"/>
      <w:outlineLvl w:val="0"/>
    </w:pPr>
    <w:rPr>
      <w:rFonts w:asciiTheme="majorHAnsi" w:eastAsiaTheme="majorEastAsia" w:hAnsiTheme="majorHAnsi" w:cstheme="majorBidi"/>
      <w:color w:val="5F5F5F" w:themeColor="accent1" w:themeShade="BF"/>
      <w:sz w:val="32"/>
      <w:szCs w:val="32"/>
    </w:rPr>
  </w:style>
  <w:style w:type="paragraph" w:styleId="Titlu3">
    <w:name w:val="heading 3"/>
    <w:basedOn w:val="Normal"/>
    <w:next w:val="Normal"/>
    <w:link w:val="Titlu3Caracter"/>
    <w:uiPriority w:val="9"/>
    <w:semiHidden/>
    <w:unhideWhenUsed/>
    <w:qFormat/>
    <w:rsid w:val="00676E66"/>
    <w:pPr>
      <w:keepNext/>
      <w:keepLines/>
      <w:spacing w:before="40" w:after="0"/>
      <w:outlineLvl w:val="2"/>
    </w:pPr>
    <w:rPr>
      <w:rFonts w:asciiTheme="majorHAnsi" w:eastAsiaTheme="majorEastAsia" w:hAnsiTheme="majorHAnsi" w:cstheme="majorBidi"/>
      <w:color w:val="3F3F3F" w:themeColor="accent1" w:themeShade="7F"/>
      <w:sz w:val="24"/>
      <w:szCs w:val="24"/>
    </w:rPr>
  </w:style>
  <w:style w:type="paragraph" w:styleId="Titlu7">
    <w:name w:val="heading 7"/>
    <w:basedOn w:val="Normal"/>
    <w:next w:val="Normal"/>
    <w:link w:val="Titlu7Caracter"/>
    <w:uiPriority w:val="9"/>
    <w:semiHidden/>
    <w:unhideWhenUsed/>
    <w:qFormat/>
    <w:rsid w:val="00986882"/>
    <w:pPr>
      <w:keepNext/>
      <w:keepLines/>
      <w:spacing w:before="40" w:after="0" w:line="256" w:lineRule="auto"/>
      <w:outlineLvl w:val="6"/>
    </w:pPr>
    <w:rPr>
      <w:rFonts w:asciiTheme="majorHAnsi" w:eastAsiaTheme="majorEastAsia" w:hAnsiTheme="majorHAnsi" w:cstheme="majorBidi"/>
      <w:i/>
      <w:iCs/>
      <w:color w:val="3F3F3F" w:themeColor="accent1" w:themeShade="7F"/>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Heading 1 Char1 Char1 Caracter,Heading 1 Char Char Char1 Caracter,Heading 1 Char1 Char1 Char Char Caracter,Heading 1 Char Char Char1 Char Char Caracter,Heading 1 Char Char1 Caracter,Heading 1 Char1 Char1 Char1 Caracter,1 Caracter"/>
    <w:basedOn w:val="Fontdeparagrafimplicit"/>
    <w:link w:val="Titlu1"/>
    <w:uiPriority w:val="9"/>
    <w:rsid w:val="009C02B1"/>
    <w:rPr>
      <w:rFonts w:asciiTheme="majorHAnsi" w:eastAsiaTheme="majorEastAsia" w:hAnsiTheme="majorHAnsi" w:cstheme="majorBidi"/>
      <w:color w:val="5F5F5F" w:themeColor="accent1" w:themeShade="BF"/>
      <w:sz w:val="32"/>
      <w:szCs w:val="32"/>
    </w:rPr>
  </w:style>
  <w:style w:type="paragraph" w:styleId="Titlucuprins">
    <w:name w:val="TOC Heading"/>
    <w:basedOn w:val="Titlu1"/>
    <w:next w:val="Normal"/>
    <w:uiPriority w:val="39"/>
    <w:unhideWhenUsed/>
    <w:qFormat/>
    <w:rsid w:val="009C02B1"/>
    <w:pPr>
      <w:outlineLvl w:val="9"/>
    </w:pPr>
  </w:style>
  <w:style w:type="paragraph" w:styleId="Cuprins2">
    <w:name w:val="toc 2"/>
    <w:basedOn w:val="Normal"/>
    <w:next w:val="Normal"/>
    <w:autoRedefine/>
    <w:uiPriority w:val="39"/>
    <w:unhideWhenUsed/>
    <w:rsid w:val="009C02B1"/>
    <w:pPr>
      <w:spacing w:after="100"/>
      <w:ind w:left="220"/>
    </w:pPr>
  </w:style>
  <w:style w:type="paragraph" w:styleId="Cuprins1">
    <w:name w:val="toc 1"/>
    <w:basedOn w:val="Normal"/>
    <w:next w:val="Normal"/>
    <w:autoRedefine/>
    <w:uiPriority w:val="39"/>
    <w:unhideWhenUsed/>
    <w:rsid w:val="008D4DC7"/>
    <w:pPr>
      <w:tabs>
        <w:tab w:val="left" w:pos="440"/>
        <w:tab w:val="right" w:leader="dot" w:pos="9350"/>
      </w:tabs>
      <w:spacing w:after="100"/>
      <w:ind w:left="426" w:hanging="426"/>
      <w:jc w:val="both"/>
    </w:pPr>
  </w:style>
  <w:style w:type="character" w:styleId="Hyperlink">
    <w:name w:val="Hyperlink"/>
    <w:basedOn w:val="Fontdeparagrafimplicit"/>
    <w:uiPriority w:val="99"/>
    <w:unhideWhenUsed/>
    <w:rsid w:val="009C02B1"/>
    <w:rPr>
      <w:color w:val="3CA1BC" w:themeColor="hyperlink"/>
      <w:u w:val="single"/>
    </w:rPr>
  </w:style>
  <w:style w:type="paragraph" w:styleId="Textnotdesubsol">
    <w:name w:val="footnote text"/>
    <w:aliases w:val="Footnote Text Char Char,Fußnote,fn,FT,ft,SD Footnote Text,Footnote Text AG,Note de bas de page Car Car,Note de bas de page Car Car Car Car Car,Note de bas de page Car Car Car Car,Note de bas de page Car Car Car,Podrozdział,Footnote,o"/>
    <w:basedOn w:val="Normal"/>
    <w:link w:val="TextnotdesubsolCaracter"/>
    <w:uiPriority w:val="99"/>
    <w:unhideWhenUsed/>
    <w:qFormat/>
    <w:rsid w:val="001C7C78"/>
    <w:pPr>
      <w:spacing w:after="0" w:line="240" w:lineRule="auto"/>
    </w:pPr>
    <w:rPr>
      <w:sz w:val="20"/>
      <w:szCs w:val="20"/>
    </w:rPr>
  </w:style>
  <w:style w:type="character" w:customStyle="1" w:styleId="TextnotdesubsolCaracter">
    <w:name w:val="Text notă de subsol Caracter"/>
    <w:aliases w:val="Footnote Text Char Char Caracter,Fußnote Caracter,fn Caracter,FT Caracter,ft Caracter,SD Footnote Text Caracter,Footnote Text AG Caracter,Note de bas de page Car Car Caracter,Note de bas de page Car Car Car Car Car Caracter"/>
    <w:basedOn w:val="Fontdeparagrafimplicit"/>
    <w:link w:val="Textnotdesubsol"/>
    <w:uiPriority w:val="99"/>
    <w:rsid w:val="001C7C78"/>
    <w:rPr>
      <w:sz w:val="20"/>
      <w:szCs w:val="20"/>
    </w:rPr>
  </w:style>
  <w:style w:type="paragraph" w:styleId="Listparagraf">
    <w:name w:val="List Paragraph"/>
    <w:aliases w:val="List Paragraph (numbered (a)),WB Para,List Paragraph1,Lijstalinea1,Normal bullet 2,A_wyliczenie,K-P_odwolanie,Akapit z listą5,maz_wyliczenie,opis dzialania,Bullet 1,Table of contents numbered,List Paragraph4,List1,body 2,bu,Numbered List"/>
    <w:basedOn w:val="Normal"/>
    <w:link w:val="ListparagrafCaracter"/>
    <w:uiPriority w:val="34"/>
    <w:qFormat/>
    <w:rsid w:val="001C7C7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20"/>
      <w:contextualSpacing/>
      <w:jc w:val="both"/>
    </w:pPr>
    <w:rPr>
      <w:rFonts w:ascii="Trebuchet MS" w:eastAsia="Times New Roman" w:hAnsi="Trebuchet MS" w:cstheme="minorHAnsi"/>
      <w:sz w:val="20"/>
      <w:szCs w:val="20"/>
    </w:rPr>
  </w:style>
  <w:style w:type="character" w:styleId="Referinnotdesubsol">
    <w:name w:val="footnote reference"/>
    <w:aliases w:val="fr,Footnote Reference Number,Odwołanie przypisu,Footnote Reference Superscript,ftref,BVI fnr,Footnote symbol,EN Footnote Reference,Times 10 Point,Exposant 3 Point,Footnote reference number,note TESI,stylish,SUPERS,Ref,f, BVI fnr"/>
    <w:basedOn w:val="Fontdeparagrafimplicit"/>
    <w:link w:val="FootnotesymbolCharCaracterChar"/>
    <w:uiPriority w:val="99"/>
    <w:unhideWhenUsed/>
    <w:qFormat/>
    <w:rsid w:val="001C7C78"/>
    <w:rPr>
      <w:vertAlign w:val="superscript"/>
    </w:rPr>
  </w:style>
  <w:style w:type="character" w:styleId="Referincomentariu">
    <w:name w:val="annotation reference"/>
    <w:basedOn w:val="Fontdeparagrafimplicit"/>
    <w:uiPriority w:val="99"/>
    <w:semiHidden/>
    <w:unhideWhenUsed/>
    <w:rsid w:val="001C7C78"/>
    <w:rPr>
      <w:sz w:val="16"/>
      <w:szCs w:val="16"/>
    </w:rPr>
  </w:style>
  <w:style w:type="paragraph" w:styleId="Textcomentariu">
    <w:name w:val="annotation text"/>
    <w:basedOn w:val="Normal"/>
    <w:link w:val="TextcomentariuCaracter"/>
    <w:uiPriority w:val="99"/>
    <w:unhideWhenUsed/>
    <w:rsid w:val="001C7C78"/>
    <w:pPr>
      <w:spacing w:line="240" w:lineRule="auto"/>
    </w:pPr>
    <w:rPr>
      <w:sz w:val="20"/>
      <w:szCs w:val="20"/>
    </w:rPr>
  </w:style>
  <w:style w:type="character" w:customStyle="1" w:styleId="TextcomentariuCaracter">
    <w:name w:val="Text comentariu Caracter"/>
    <w:basedOn w:val="Fontdeparagrafimplicit"/>
    <w:link w:val="Textcomentariu"/>
    <w:uiPriority w:val="99"/>
    <w:rsid w:val="001C7C78"/>
    <w:rPr>
      <w:sz w:val="20"/>
      <w:szCs w:val="20"/>
    </w:rPr>
  </w:style>
  <w:style w:type="paragraph" w:styleId="SubiectComentariu">
    <w:name w:val="annotation subject"/>
    <w:basedOn w:val="Textcomentariu"/>
    <w:next w:val="Textcomentariu"/>
    <w:link w:val="SubiectComentariuCaracter"/>
    <w:uiPriority w:val="99"/>
    <w:semiHidden/>
    <w:unhideWhenUsed/>
    <w:rsid w:val="001C7C78"/>
    <w:rPr>
      <w:b/>
      <w:bCs/>
    </w:rPr>
  </w:style>
  <w:style w:type="character" w:customStyle="1" w:styleId="SubiectComentariuCaracter">
    <w:name w:val="Subiect Comentariu Caracter"/>
    <w:basedOn w:val="TextcomentariuCaracter"/>
    <w:link w:val="SubiectComentariu"/>
    <w:uiPriority w:val="99"/>
    <w:semiHidden/>
    <w:rsid w:val="001C7C78"/>
    <w:rPr>
      <w:b/>
      <w:bCs/>
      <w:sz w:val="20"/>
      <w:szCs w:val="20"/>
    </w:rPr>
  </w:style>
  <w:style w:type="character" w:customStyle="1" w:styleId="MeniuneNerezolvat1">
    <w:name w:val="Mențiune Nerezolvat1"/>
    <w:basedOn w:val="Fontdeparagrafimplicit"/>
    <w:uiPriority w:val="99"/>
    <w:semiHidden/>
    <w:unhideWhenUsed/>
    <w:rsid w:val="0096130B"/>
    <w:rPr>
      <w:color w:val="605E5C"/>
      <w:shd w:val="clear" w:color="auto" w:fill="E1DFDD"/>
    </w:rPr>
  </w:style>
  <w:style w:type="character" w:styleId="HyperlinkParcurs">
    <w:name w:val="FollowedHyperlink"/>
    <w:basedOn w:val="Fontdeparagrafimplicit"/>
    <w:uiPriority w:val="99"/>
    <w:semiHidden/>
    <w:unhideWhenUsed/>
    <w:rsid w:val="00FA5BB2"/>
    <w:rPr>
      <w:color w:val="134753" w:themeColor="followedHyperlink"/>
      <w:u w:val="single"/>
    </w:rPr>
  </w:style>
  <w:style w:type="character" w:customStyle="1" w:styleId="Titlu3Caracter">
    <w:name w:val="Titlu 3 Caracter"/>
    <w:basedOn w:val="Fontdeparagrafimplicit"/>
    <w:link w:val="Titlu3"/>
    <w:uiPriority w:val="9"/>
    <w:semiHidden/>
    <w:rsid w:val="00676E66"/>
    <w:rPr>
      <w:rFonts w:asciiTheme="majorHAnsi" w:eastAsiaTheme="majorEastAsia" w:hAnsiTheme="majorHAnsi" w:cstheme="majorBidi"/>
      <w:color w:val="3F3F3F" w:themeColor="accent1" w:themeShade="7F"/>
      <w:sz w:val="24"/>
      <w:szCs w:val="24"/>
    </w:rPr>
  </w:style>
  <w:style w:type="character" w:customStyle="1" w:styleId="ListparagrafCaracter">
    <w:name w:val="Listă paragraf Caracter"/>
    <w:aliases w:val="List Paragraph (numbered (a)) Caracter,WB Para Caracter,List Paragraph1 Caracter,Lijstalinea1 Caracter,Normal bullet 2 Caracter,A_wyliczenie Caracter,K-P_odwolanie Caracter,Akapit z listą5 Caracter,maz_wyliczenie Caracter"/>
    <w:link w:val="Listparagraf"/>
    <w:uiPriority w:val="34"/>
    <w:qFormat/>
    <w:locked/>
    <w:rsid w:val="00670D3A"/>
    <w:rPr>
      <w:rFonts w:ascii="Trebuchet MS" w:eastAsia="Times New Roman" w:hAnsi="Trebuchet MS" w:cstheme="minorHAnsi"/>
      <w:sz w:val="20"/>
      <w:szCs w:val="20"/>
      <w:lang w:val="ro-RO"/>
    </w:rPr>
  </w:style>
  <w:style w:type="character" w:styleId="Robust">
    <w:name w:val="Strong"/>
    <w:aliases w:val="Bold"/>
    <w:basedOn w:val="Fontdeparagrafimplicit"/>
    <w:qFormat/>
    <w:rsid w:val="00670D3A"/>
    <w:rPr>
      <w:b/>
      <w:bCs/>
    </w:rPr>
  </w:style>
  <w:style w:type="paragraph" w:styleId="NormalWeb">
    <w:name w:val="Normal (Web)"/>
    <w:basedOn w:val="Normal"/>
    <w:uiPriority w:val="99"/>
    <w:unhideWhenUsed/>
    <w:rsid w:val="00670D3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Accentuat">
    <w:name w:val="Emphasis"/>
    <w:basedOn w:val="Fontdeparagrafimplicit"/>
    <w:uiPriority w:val="20"/>
    <w:qFormat/>
    <w:rsid w:val="00670D3A"/>
    <w:rPr>
      <w:i/>
      <w:iCs/>
    </w:rPr>
  </w:style>
  <w:style w:type="paragraph" w:customStyle="1" w:styleId="FootnotesymbolCharCaracterChar">
    <w:name w:val="Footnote symbol Char Caracter Char"/>
    <w:aliases w:val=" BVI fnr Char Caracter Char,Footnote Refernece Char Caracter Char,BVI fnr Char Caracter Char,callout Char Caracter Char,ftref Char Caracter Char,Footnotes refss Char Caracter Char"/>
    <w:basedOn w:val="Normal"/>
    <w:next w:val="Normal"/>
    <w:link w:val="Referinnotdesubsol"/>
    <w:uiPriority w:val="99"/>
    <w:rsid w:val="00230108"/>
    <w:pPr>
      <w:spacing w:line="240" w:lineRule="exact"/>
    </w:pPr>
    <w:rPr>
      <w:vertAlign w:val="superscript"/>
    </w:rPr>
  </w:style>
  <w:style w:type="paragraph" w:styleId="Antet">
    <w:name w:val="header"/>
    <w:basedOn w:val="Normal"/>
    <w:link w:val="AntetCaracter"/>
    <w:uiPriority w:val="99"/>
    <w:unhideWhenUsed/>
    <w:rsid w:val="003137B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137B3"/>
  </w:style>
  <w:style w:type="paragraph" w:styleId="Subsol">
    <w:name w:val="footer"/>
    <w:basedOn w:val="Normal"/>
    <w:link w:val="SubsolCaracter"/>
    <w:uiPriority w:val="99"/>
    <w:unhideWhenUsed/>
    <w:rsid w:val="003137B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137B3"/>
  </w:style>
  <w:style w:type="paragraph" w:styleId="Legend">
    <w:name w:val="caption"/>
    <w:basedOn w:val="Normal"/>
    <w:next w:val="Normal"/>
    <w:uiPriority w:val="35"/>
    <w:semiHidden/>
    <w:unhideWhenUsed/>
    <w:qFormat/>
    <w:rsid w:val="00C51E59"/>
    <w:pPr>
      <w:spacing w:after="200" w:line="240" w:lineRule="auto"/>
    </w:pPr>
    <w:rPr>
      <w:i/>
      <w:iCs/>
      <w:color w:val="134753" w:themeColor="text2"/>
      <w:sz w:val="18"/>
      <w:szCs w:val="18"/>
    </w:rPr>
  </w:style>
  <w:style w:type="paragraph" w:styleId="Tabeldefiguri">
    <w:name w:val="table of figures"/>
    <w:basedOn w:val="Normal"/>
    <w:next w:val="Normal"/>
    <w:uiPriority w:val="99"/>
    <w:unhideWhenUsed/>
    <w:rsid w:val="006D4977"/>
    <w:pPr>
      <w:spacing w:after="0"/>
    </w:pPr>
  </w:style>
  <w:style w:type="paragraph" w:styleId="Corptext">
    <w:name w:val="Body Text"/>
    <w:basedOn w:val="Normal"/>
    <w:link w:val="CorptextCaracter"/>
    <w:uiPriority w:val="1"/>
    <w:semiHidden/>
    <w:unhideWhenUsed/>
    <w:qFormat/>
    <w:rsid w:val="00037071"/>
    <w:pPr>
      <w:widowControl w:val="0"/>
      <w:autoSpaceDE w:val="0"/>
      <w:autoSpaceDN w:val="0"/>
      <w:spacing w:after="0" w:line="240" w:lineRule="auto"/>
    </w:pPr>
    <w:rPr>
      <w:rFonts w:ascii="Trebuchet MS" w:eastAsia="Trebuchet MS" w:hAnsi="Trebuchet MS" w:cs="Trebuchet MS"/>
      <w:sz w:val="18"/>
      <w:szCs w:val="18"/>
    </w:rPr>
  </w:style>
  <w:style w:type="character" w:customStyle="1" w:styleId="CorptextCaracter">
    <w:name w:val="Corp text Caracter"/>
    <w:basedOn w:val="Fontdeparagrafimplicit"/>
    <w:link w:val="Corptext"/>
    <w:uiPriority w:val="1"/>
    <w:semiHidden/>
    <w:rsid w:val="00037071"/>
    <w:rPr>
      <w:rFonts w:ascii="Trebuchet MS" w:eastAsia="Trebuchet MS" w:hAnsi="Trebuchet MS" w:cs="Trebuchet MS"/>
      <w:sz w:val="18"/>
      <w:szCs w:val="18"/>
      <w:lang w:val="ro-RO"/>
    </w:rPr>
  </w:style>
  <w:style w:type="character" w:customStyle="1" w:styleId="Titlu7Caracter">
    <w:name w:val="Titlu 7 Caracter"/>
    <w:basedOn w:val="Fontdeparagrafimplicit"/>
    <w:link w:val="Titlu7"/>
    <w:uiPriority w:val="9"/>
    <w:semiHidden/>
    <w:rsid w:val="00986882"/>
    <w:rPr>
      <w:rFonts w:asciiTheme="majorHAnsi" w:eastAsiaTheme="majorEastAsia" w:hAnsiTheme="majorHAnsi" w:cstheme="majorBidi"/>
      <w:i/>
      <w:iCs/>
      <w:color w:val="3F3F3F" w:themeColor="accent1" w:themeShade="7F"/>
      <w:lang w:val="en-GB"/>
    </w:rPr>
  </w:style>
  <w:style w:type="paragraph" w:styleId="PreformatatHTML">
    <w:name w:val="HTML Preformatted"/>
    <w:basedOn w:val="Normal"/>
    <w:link w:val="PreformatatHTMLCaracter"/>
    <w:uiPriority w:val="99"/>
    <w:unhideWhenUsed/>
    <w:rsid w:val="0098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uiPriority w:val="99"/>
    <w:rsid w:val="00986882"/>
    <w:rPr>
      <w:rFonts w:ascii="Courier New" w:eastAsia="Times New Roman" w:hAnsi="Courier New" w:cs="Courier New"/>
      <w:sz w:val="20"/>
      <w:szCs w:val="20"/>
      <w:lang w:val="ro-RO"/>
    </w:rPr>
  </w:style>
  <w:style w:type="character" w:styleId="Accentuareintens">
    <w:name w:val="Intense Emphasis"/>
    <w:basedOn w:val="Fontdeparagrafimplicit"/>
    <w:uiPriority w:val="21"/>
    <w:qFormat/>
    <w:rsid w:val="00986882"/>
    <w:rPr>
      <w:rFonts w:asciiTheme="minorHAnsi" w:hAnsiTheme="minorHAnsi" w:cs="Calibri" w:hint="default"/>
      <w:i/>
      <w:iCs/>
      <w:color w:val="3CA1BC" w:themeColor="accent3"/>
      <w:sz w:val="22"/>
    </w:rPr>
  </w:style>
  <w:style w:type="character" w:customStyle="1" w:styleId="fontstyle01">
    <w:name w:val="fontstyle01"/>
    <w:basedOn w:val="Fontdeparagrafimplicit"/>
    <w:rsid w:val="00986882"/>
    <w:rPr>
      <w:rFonts w:ascii="ItalicOOEnc" w:hAnsi="ItalicOOEnc" w:hint="default"/>
      <w:b w:val="0"/>
      <w:bCs w:val="0"/>
      <w:i/>
      <w:iCs/>
      <w:color w:val="000000"/>
      <w:sz w:val="22"/>
      <w:szCs w:val="22"/>
    </w:rPr>
  </w:style>
  <w:style w:type="character" w:customStyle="1" w:styleId="fontstyle31">
    <w:name w:val="fontstyle31"/>
    <w:basedOn w:val="Fontdeparagrafimplicit"/>
    <w:rsid w:val="00986882"/>
    <w:rPr>
      <w:rFonts w:ascii="TimesNewRomanOOEnc" w:hAnsi="TimesNewRomanOOEnc" w:hint="default"/>
      <w:b w:val="0"/>
      <w:bCs w:val="0"/>
      <w:i w:val="0"/>
      <w:iCs w:val="0"/>
      <w:color w:val="000000"/>
      <w:sz w:val="22"/>
      <w:szCs w:val="22"/>
    </w:rPr>
  </w:style>
  <w:style w:type="character" w:customStyle="1" w:styleId="fontstyle51">
    <w:name w:val="fontstyle51"/>
    <w:basedOn w:val="Fontdeparagrafimplicit"/>
    <w:rsid w:val="00986882"/>
    <w:rPr>
      <w:rFonts w:ascii="TimesNewRoman" w:hAnsi="TimesNewRoman" w:hint="default"/>
      <w:b w:val="0"/>
      <w:bCs w:val="0"/>
      <w:i/>
      <w:iCs/>
      <w:color w:val="808080"/>
      <w:sz w:val="18"/>
      <w:szCs w:val="18"/>
    </w:rPr>
  </w:style>
  <w:style w:type="character" w:customStyle="1" w:styleId="fontstyle61">
    <w:name w:val="fontstyle61"/>
    <w:basedOn w:val="Fontdeparagrafimplicit"/>
    <w:rsid w:val="00986882"/>
    <w:rPr>
      <w:rFonts w:ascii="Calibri" w:hAnsi="Calibri" w:cs="Calibri" w:hint="default"/>
      <w:b w:val="0"/>
      <w:bCs w:val="0"/>
      <w:i w:val="0"/>
      <w:iCs w:val="0"/>
      <w:color w:val="000000"/>
      <w:sz w:val="22"/>
      <w:szCs w:val="22"/>
    </w:rPr>
  </w:style>
  <w:style w:type="character" w:customStyle="1" w:styleId="fontstyle11">
    <w:name w:val="fontstyle11"/>
    <w:basedOn w:val="Fontdeparagrafimplicit"/>
    <w:rsid w:val="00986882"/>
    <w:rPr>
      <w:rFonts w:ascii="Calibri" w:hAnsi="Calibri" w:cs="Calibri" w:hint="default"/>
      <w:b/>
      <w:bCs/>
      <w:i/>
      <w:iCs/>
      <w:color w:val="000000"/>
      <w:sz w:val="22"/>
      <w:szCs w:val="22"/>
    </w:rPr>
  </w:style>
  <w:style w:type="character" w:customStyle="1" w:styleId="MeniuneNerezolvat2">
    <w:name w:val="Mențiune Nerezolvat2"/>
    <w:basedOn w:val="Fontdeparagrafimplicit"/>
    <w:uiPriority w:val="99"/>
    <w:semiHidden/>
    <w:unhideWhenUsed/>
    <w:rsid w:val="00036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09913">
      <w:bodyDiv w:val="1"/>
      <w:marLeft w:val="0"/>
      <w:marRight w:val="0"/>
      <w:marTop w:val="0"/>
      <w:marBottom w:val="0"/>
      <w:divBdr>
        <w:top w:val="none" w:sz="0" w:space="0" w:color="auto"/>
        <w:left w:val="none" w:sz="0" w:space="0" w:color="auto"/>
        <w:bottom w:val="none" w:sz="0" w:space="0" w:color="auto"/>
        <w:right w:val="none" w:sz="0" w:space="0" w:color="auto"/>
      </w:divBdr>
    </w:div>
    <w:div w:id="517818805">
      <w:bodyDiv w:val="1"/>
      <w:marLeft w:val="0"/>
      <w:marRight w:val="0"/>
      <w:marTop w:val="0"/>
      <w:marBottom w:val="0"/>
      <w:divBdr>
        <w:top w:val="none" w:sz="0" w:space="0" w:color="auto"/>
        <w:left w:val="none" w:sz="0" w:space="0" w:color="auto"/>
        <w:bottom w:val="none" w:sz="0" w:space="0" w:color="auto"/>
        <w:right w:val="none" w:sz="0" w:space="0" w:color="auto"/>
      </w:divBdr>
    </w:div>
    <w:div w:id="648680218">
      <w:bodyDiv w:val="1"/>
      <w:marLeft w:val="0"/>
      <w:marRight w:val="0"/>
      <w:marTop w:val="0"/>
      <w:marBottom w:val="0"/>
      <w:divBdr>
        <w:top w:val="none" w:sz="0" w:space="0" w:color="auto"/>
        <w:left w:val="none" w:sz="0" w:space="0" w:color="auto"/>
        <w:bottom w:val="none" w:sz="0" w:space="0" w:color="auto"/>
        <w:right w:val="none" w:sz="0" w:space="0" w:color="auto"/>
      </w:divBdr>
    </w:div>
    <w:div w:id="747268778">
      <w:bodyDiv w:val="1"/>
      <w:marLeft w:val="0"/>
      <w:marRight w:val="0"/>
      <w:marTop w:val="0"/>
      <w:marBottom w:val="0"/>
      <w:divBdr>
        <w:top w:val="none" w:sz="0" w:space="0" w:color="auto"/>
        <w:left w:val="none" w:sz="0" w:space="0" w:color="auto"/>
        <w:bottom w:val="none" w:sz="0" w:space="0" w:color="auto"/>
        <w:right w:val="none" w:sz="0" w:space="0" w:color="auto"/>
      </w:divBdr>
    </w:div>
    <w:div w:id="896937019">
      <w:bodyDiv w:val="1"/>
      <w:marLeft w:val="0"/>
      <w:marRight w:val="0"/>
      <w:marTop w:val="0"/>
      <w:marBottom w:val="0"/>
      <w:divBdr>
        <w:top w:val="none" w:sz="0" w:space="0" w:color="auto"/>
        <w:left w:val="none" w:sz="0" w:space="0" w:color="auto"/>
        <w:bottom w:val="none" w:sz="0" w:space="0" w:color="auto"/>
        <w:right w:val="none" w:sz="0" w:space="0" w:color="auto"/>
      </w:divBdr>
    </w:div>
    <w:div w:id="961154727">
      <w:bodyDiv w:val="1"/>
      <w:marLeft w:val="0"/>
      <w:marRight w:val="0"/>
      <w:marTop w:val="0"/>
      <w:marBottom w:val="0"/>
      <w:divBdr>
        <w:top w:val="none" w:sz="0" w:space="0" w:color="auto"/>
        <w:left w:val="none" w:sz="0" w:space="0" w:color="auto"/>
        <w:bottom w:val="none" w:sz="0" w:space="0" w:color="auto"/>
        <w:right w:val="none" w:sz="0" w:space="0" w:color="auto"/>
      </w:divBdr>
    </w:div>
    <w:div w:id="1266427112">
      <w:bodyDiv w:val="1"/>
      <w:marLeft w:val="0"/>
      <w:marRight w:val="0"/>
      <w:marTop w:val="0"/>
      <w:marBottom w:val="0"/>
      <w:divBdr>
        <w:top w:val="none" w:sz="0" w:space="0" w:color="auto"/>
        <w:left w:val="none" w:sz="0" w:space="0" w:color="auto"/>
        <w:bottom w:val="none" w:sz="0" w:space="0" w:color="auto"/>
        <w:right w:val="none" w:sz="0" w:space="0" w:color="auto"/>
      </w:divBdr>
    </w:div>
    <w:div w:id="1290553826">
      <w:bodyDiv w:val="1"/>
      <w:marLeft w:val="0"/>
      <w:marRight w:val="0"/>
      <w:marTop w:val="0"/>
      <w:marBottom w:val="0"/>
      <w:divBdr>
        <w:top w:val="none" w:sz="0" w:space="0" w:color="auto"/>
        <w:left w:val="none" w:sz="0" w:space="0" w:color="auto"/>
        <w:bottom w:val="none" w:sz="0" w:space="0" w:color="auto"/>
        <w:right w:val="none" w:sz="0" w:space="0" w:color="auto"/>
      </w:divBdr>
    </w:div>
    <w:div w:id="2042124312">
      <w:bodyDiv w:val="1"/>
      <w:marLeft w:val="0"/>
      <w:marRight w:val="0"/>
      <w:marTop w:val="0"/>
      <w:marBottom w:val="0"/>
      <w:divBdr>
        <w:top w:val="none" w:sz="0" w:space="0" w:color="auto"/>
        <w:left w:val="none" w:sz="0" w:space="0" w:color="auto"/>
        <w:bottom w:val="none" w:sz="0" w:space="0" w:color="auto"/>
        <w:right w:val="none" w:sz="0" w:space="0" w:color="auto"/>
      </w:divBdr>
    </w:div>
    <w:div w:id="2113161104">
      <w:bodyDiv w:val="1"/>
      <w:marLeft w:val="0"/>
      <w:marRight w:val="0"/>
      <w:marTop w:val="0"/>
      <w:marBottom w:val="0"/>
      <w:divBdr>
        <w:top w:val="none" w:sz="0" w:space="0" w:color="auto"/>
        <w:left w:val="none" w:sz="0" w:space="0" w:color="auto"/>
        <w:bottom w:val="none" w:sz="0" w:space="0" w:color="auto"/>
        <w:right w:val="none" w:sz="0" w:space="0" w:color="auto"/>
      </w:divBdr>
    </w:div>
    <w:div w:id="21368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sites/default/files/document-library-docs/eea-factsheet-sept2020_en.pdf" TargetMode="External"/><Relationship Id="rId18" Type="http://schemas.openxmlformats.org/officeDocument/2006/relationships/hyperlink" Target="https://appsso.eurostat.ec.europa.eu/nui/show.do?dataset=edat_lfse_14&amp;lang=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cdl.ro/uploads/articole/resources/files/Brosura_ECDL_DigComp_RO.pdf" TargetMode="External"/><Relationship Id="rId17" Type="http://schemas.openxmlformats.org/officeDocument/2006/relationships/hyperlink" Target="https://ec.europa.eu/eurostat/news/themes-in-the-spotlight/european-statistics-day-2019" TargetMode="External"/><Relationship Id="rId2" Type="http://schemas.openxmlformats.org/officeDocument/2006/relationships/customXml" Target="../customXml/item2.xml"/><Relationship Id="rId16" Type="http://schemas.openxmlformats.org/officeDocument/2006/relationships/hyperlink" Target="https://ec.europa.eu/social/main.jsp?catId=1517&amp;langId=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ppsso.eurostat.ec.europa.eu/nui/show.do?dataset=edat_lfse_35&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NCLU">
      <a:dk1>
        <a:srgbClr val="000000"/>
      </a:dk1>
      <a:lt1>
        <a:srgbClr val="FFFFFF"/>
      </a:lt1>
      <a:dk2>
        <a:srgbClr val="134753"/>
      </a:dk2>
      <a:lt2>
        <a:srgbClr val="3CA1BC"/>
      </a:lt2>
      <a:accent1>
        <a:srgbClr val="7F7F7F"/>
      </a:accent1>
      <a:accent2>
        <a:srgbClr val="134753"/>
      </a:accent2>
      <a:accent3>
        <a:srgbClr val="3CA1BC"/>
      </a:accent3>
      <a:accent4>
        <a:srgbClr val="C2E8F1"/>
      </a:accent4>
      <a:accent5>
        <a:srgbClr val="ABCD3A"/>
      </a:accent5>
      <a:accent6>
        <a:srgbClr val="588133"/>
      </a:accent6>
      <a:hlink>
        <a:srgbClr val="3CA1BC"/>
      </a:hlink>
      <a:folHlink>
        <a:srgbClr val="13475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6578148F381C4F8EDCDB79FA0200C6" ma:contentTypeVersion="12" ma:contentTypeDescription="Create a new document." ma:contentTypeScope="" ma:versionID="d04527bf0dfb1e4a5f837bf92e7c360b">
  <xsd:schema xmlns:xsd="http://www.w3.org/2001/XMLSchema" xmlns:xs="http://www.w3.org/2001/XMLSchema" xmlns:p="http://schemas.microsoft.com/office/2006/metadata/properties" xmlns:ns2="bb03434f-1c44-4812-8878-7288edb94d38" xmlns:ns3="025c4d69-e2cb-41d0-b1d7-b41d2bc2d5ce" targetNamespace="http://schemas.microsoft.com/office/2006/metadata/properties" ma:root="true" ma:fieldsID="2695ffbedbea987ef972dd6206b1b171" ns2:_="" ns3:_="">
    <xsd:import namespace="bb03434f-1c44-4812-8878-7288edb94d38"/>
    <xsd:import namespace="025c4d69-e2cb-41d0-b1d7-b41d2bc2d5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3434f-1c44-4812-8878-7288edb94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5c4d69-e2cb-41d0-b1d7-b41d2bc2d5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C4F010-FDD7-456E-8116-EB398DADED44}">
  <ds:schemaRefs>
    <ds:schemaRef ds:uri="http://schemas.openxmlformats.org/officeDocument/2006/bibliography"/>
  </ds:schemaRefs>
</ds:datastoreItem>
</file>

<file path=customXml/itemProps2.xml><?xml version="1.0" encoding="utf-8"?>
<ds:datastoreItem xmlns:ds="http://schemas.openxmlformats.org/officeDocument/2006/customXml" ds:itemID="{4BB94B89-4A30-4AD6-875F-B8A0D05CC246}"/>
</file>

<file path=customXml/itemProps3.xml><?xml version="1.0" encoding="utf-8"?>
<ds:datastoreItem xmlns:ds="http://schemas.openxmlformats.org/officeDocument/2006/customXml" ds:itemID="{BF33C4A1-59D3-4CBE-AB32-B7CF71C2E85A}">
  <ds:schemaRefs>
    <ds:schemaRef ds:uri="http://schemas.microsoft.com/sharepoint/v3/contenttype/forms"/>
  </ds:schemaRefs>
</ds:datastoreItem>
</file>

<file path=customXml/itemProps4.xml><?xml version="1.0" encoding="utf-8"?>
<ds:datastoreItem xmlns:ds="http://schemas.openxmlformats.org/officeDocument/2006/customXml" ds:itemID="{B8C2E1A4-F37D-4623-A46E-B4CF267250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4218</Words>
  <Characters>24045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28207</CharactersWithSpaces>
  <SharedDoc>false</SharedDoc>
  <HLinks>
    <vt:vector size="288" baseType="variant">
      <vt:variant>
        <vt:i4>3080313</vt:i4>
      </vt:variant>
      <vt:variant>
        <vt:i4>135</vt:i4>
      </vt:variant>
      <vt:variant>
        <vt:i4>0</vt:i4>
      </vt:variant>
      <vt:variant>
        <vt:i4>5</vt:i4>
      </vt:variant>
      <vt:variant>
        <vt:lpwstr>about:blank</vt:lpwstr>
      </vt:variant>
      <vt:variant>
        <vt:lpwstr/>
      </vt:variant>
      <vt:variant>
        <vt:i4>3080313</vt:i4>
      </vt:variant>
      <vt:variant>
        <vt:i4>132</vt:i4>
      </vt:variant>
      <vt:variant>
        <vt:i4>0</vt:i4>
      </vt:variant>
      <vt:variant>
        <vt:i4>5</vt:i4>
      </vt:variant>
      <vt:variant>
        <vt:lpwstr>about:blank</vt:lpwstr>
      </vt:variant>
      <vt:variant>
        <vt:lpwstr/>
      </vt:variant>
      <vt:variant>
        <vt:i4>3080313</vt:i4>
      </vt:variant>
      <vt:variant>
        <vt:i4>129</vt:i4>
      </vt:variant>
      <vt:variant>
        <vt:i4>0</vt:i4>
      </vt:variant>
      <vt:variant>
        <vt:i4>5</vt:i4>
      </vt:variant>
      <vt:variant>
        <vt:lpwstr>about:blank</vt:lpwstr>
      </vt:variant>
      <vt:variant>
        <vt:lpwstr/>
      </vt:variant>
      <vt:variant>
        <vt:i4>3080313</vt:i4>
      </vt:variant>
      <vt:variant>
        <vt:i4>126</vt:i4>
      </vt:variant>
      <vt:variant>
        <vt:i4>0</vt:i4>
      </vt:variant>
      <vt:variant>
        <vt:i4>5</vt:i4>
      </vt:variant>
      <vt:variant>
        <vt:lpwstr>about:blank</vt:lpwstr>
      </vt:variant>
      <vt:variant>
        <vt:lpwstr/>
      </vt:variant>
      <vt:variant>
        <vt:i4>3080313</vt:i4>
      </vt:variant>
      <vt:variant>
        <vt:i4>123</vt:i4>
      </vt:variant>
      <vt:variant>
        <vt:i4>0</vt:i4>
      </vt:variant>
      <vt:variant>
        <vt:i4>5</vt:i4>
      </vt:variant>
      <vt:variant>
        <vt:lpwstr>about:blank</vt:lpwstr>
      </vt:variant>
      <vt:variant>
        <vt:lpwstr/>
      </vt:variant>
      <vt:variant>
        <vt:i4>3997806</vt:i4>
      </vt:variant>
      <vt:variant>
        <vt:i4>120</vt:i4>
      </vt:variant>
      <vt:variant>
        <vt:i4>0</vt:i4>
      </vt:variant>
      <vt:variant>
        <vt:i4>5</vt:i4>
      </vt:variant>
      <vt:variant>
        <vt:lpwstr>https://www.fonduri-ue.ro/pocu-2014</vt:lpwstr>
      </vt:variant>
      <vt:variant>
        <vt:lpwstr/>
      </vt:variant>
      <vt:variant>
        <vt:i4>3538997</vt:i4>
      </vt:variant>
      <vt:variant>
        <vt:i4>117</vt:i4>
      </vt:variant>
      <vt:variant>
        <vt:i4>0</vt:i4>
      </vt:variant>
      <vt:variant>
        <vt:i4>5</vt:i4>
      </vt:variant>
      <vt:variant>
        <vt:lpwstr>https://www.fonduri-structurale.ro/</vt:lpwstr>
      </vt:variant>
      <vt:variant>
        <vt:lpwstr/>
      </vt:variant>
      <vt:variant>
        <vt:i4>1638493</vt:i4>
      </vt:variant>
      <vt:variant>
        <vt:i4>114</vt:i4>
      </vt:variant>
      <vt:variant>
        <vt:i4>0</vt:i4>
      </vt:variant>
      <vt:variant>
        <vt:i4>5</vt:i4>
      </vt:variant>
      <vt:variant>
        <vt:lpwstr>https://www.esn-eu.org/ro</vt:lpwstr>
      </vt:variant>
      <vt:variant>
        <vt:lpwstr/>
      </vt:variant>
      <vt:variant>
        <vt:i4>6619262</vt:i4>
      </vt:variant>
      <vt:variant>
        <vt:i4>111</vt:i4>
      </vt:variant>
      <vt:variant>
        <vt:i4>0</vt:i4>
      </vt:variant>
      <vt:variant>
        <vt:i4>5</vt:i4>
      </vt:variant>
      <vt:variant>
        <vt:lpwstr>https://ec.europa.eu/eurostat/data/database</vt:lpwstr>
      </vt:variant>
      <vt:variant>
        <vt:lpwstr/>
      </vt:variant>
      <vt:variant>
        <vt:i4>4718604</vt:i4>
      </vt:variant>
      <vt:variant>
        <vt:i4>108</vt:i4>
      </vt:variant>
      <vt:variant>
        <vt:i4>0</vt:i4>
      </vt:variant>
      <vt:variant>
        <vt:i4>5</vt:i4>
      </vt:variant>
      <vt:variant>
        <vt:lpwstr>https://mfe.gov.ro/programe/autoritati-de-management/am-pocu/</vt:lpwstr>
      </vt:variant>
      <vt:variant>
        <vt:lpwstr/>
      </vt:variant>
      <vt:variant>
        <vt:i4>1245269</vt:i4>
      </vt:variant>
      <vt:variant>
        <vt:i4>105</vt:i4>
      </vt:variant>
      <vt:variant>
        <vt:i4>0</vt:i4>
      </vt:variant>
      <vt:variant>
        <vt:i4>5</vt:i4>
      </vt:variant>
      <vt:variant>
        <vt:lpwstr>http://web.undp.org/evaluation/evaluations/thematic/poverty-ldc.shtml</vt:lpwstr>
      </vt:variant>
      <vt:variant>
        <vt:lpwstr/>
      </vt:variant>
      <vt:variant>
        <vt:i4>2228316</vt:i4>
      </vt:variant>
      <vt:variant>
        <vt:i4>102</vt:i4>
      </vt:variant>
      <vt:variant>
        <vt:i4>0</vt:i4>
      </vt:variant>
      <vt:variant>
        <vt:i4>5</vt:i4>
      </vt:variant>
      <vt:variant>
        <vt:lpwstr>https://www.undp.org/content/dam/istanbul/docs/2014_Barriers_to_and_Prospects_for_Poverty_Reduction.pdf</vt:lpwstr>
      </vt:variant>
      <vt:variant>
        <vt:lpwstr/>
      </vt:variant>
      <vt:variant>
        <vt:i4>1769503</vt:i4>
      </vt:variant>
      <vt:variant>
        <vt:i4>99</vt:i4>
      </vt:variant>
      <vt:variant>
        <vt:i4>0</vt:i4>
      </vt:variant>
      <vt:variant>
        <vt:i4>5</vt:i4>
      </vt:variant>
      <vt:variant>
        <vt:lpwstr>https://insse.ro/cms/sites/default/files/field/publicatii/dimensiuni_ale_incluziunii_sociale_in_romania_2019.pdf</vt:lpwstr>
      </vt:variant>
      <vt:variant>
        <vt:lpwstr/>
      </vt:variant>
      <vt:variant>
        <vt:i4>1179733</vt:i4>
      </vt:variant>
      <vt:variant>
        <vt:i4>96</vt:i4>
      </vt:variant>
      <vt:variant>
        <vt:i4>0</vt:i4>
      </vt:variant>
      <vt:variant>
        <vt:i4>5</vt:i4>
      </vt:variant>
      <vt:variant>
        <vt:lpwstr>https://www.esn-eu.org/sites/default/files/publications/SDG Policy_briefing_interactive.pdf</vt:lpwstr>
      </vt:variant>
      <vt:variant>
        <vt:lpwstr/>
      </vt:variant>
      <vt:variant>
        <vt:i4>3670109</vt:i4>
      </vt:variant>
      <vt:variant>
        <vt:i4>93</vt:i4>
      </vt:variant>
      <vt:variant>
        <vt:i4>0</vt:i4>
      </vt:variant>
      <vt:variant>
        <vt:i4>5</vt:i4>
      </vt:variant>
      <vt:variant>
        <vt:lpwstr>https://ec.europa.eu/info/sites/default/files/swd-2016-452-final_en.pdf</vt:lpwstr>
      </vt:variant>
      <vt:variant>
        <vt:lpwstr/>
      </vt:variant>
      <vt:variant>
        <vt:i4>5898327</vt:i4>
      </vt:variant>
      <vt:variant>
        <vt:i4>90</vt:i4>
      </vt:variant>
      <vt:variant>
        <vt:i4>0</vt:i4>
      </vt:variant>
      <vt:variant>
        <vt:i4>5</vt:i4>
      </vt:variant>
      <vt:variant>
        <vt:lpwstr>https://coe-romact.org/content/ro-initial-developments-clld-approach-9-urban-communities-romania</vt:lpwstr>
      </vt:variant>
      <vt:variant>
        <vt:lpwstr/>
      </vt:variant>
      <vt:variant>
        <vt:i4>5177345</vt:i4>
      </vt:variant>
      <vt:variant>
        <vt:i4>87</vt:i4>
      </vt:variant>
      <vt:variant>
        <vt:i4>0</vt:i4>
      </vt:variant>
      <vt:variant>
        <vt:i4>5</vt:i4>
      </vt:variant>
      <vt:variant>
        <vt:lpwstr>https://coe-romact.org/sites/default/files/romact_resources_files/guidance_community_local_development_en.pdf</vt:lpwstr>
      </vt:variant>
      <vt:variant>
        <vt:lpwstr/>
      </vt:variant>
      <vt:variant>
        <vt:i4>5177433</vt:i4>
      </vt:variant>
      <vt:variant>
        <vt:i4>84</vt:i4>
      </vt:variant>
      <vt:variant>
        <vt:i4>0</vt:i4>
      </vt:variant>
      <vt:variant>
        <vt:i4>5</vt:i4>
      </vt:variant>
      <vt:variant>
        <vt:lpwstr>https://issuu.com/world.bank.europe.central.asia/docs/handbook_-_romanian</vt:lpwstr>
      </vt:variant>
      <vt:variant>
        <vt:lpwstr/>
      </vt:variant>
      <vt:variant>
        <vt:i4>8060988</vt:i4>
      </vt:variant>
      <vt:variant>
        <vt:i4>81</vt:i4>
      </vt:variant>
      <vt:variant>
        <vt:i4>0</vt:i4>
      </vt:variant>
      <vt:variant>
        <vt:i4>5</vt:i4>
      </vt:variant>
      <vt:variant>
        <vt:lpwstr>http://legislatie.just.ro/Public/DetaliiDocument/164837</vt:lpwstr>
      </vt:variant>
      <vt:variant>
        <vt:lpwstr/>
      </vt:variant>
      <vt:variant>
        <vt:i4>458760</vt:i4>
      </vt:variant>
      <vt:variant>
        <vt:i4>78</vt:i4>
      </vt:variant>
      <vt:variant>
        <vt:i4>0</vt:i4>
      </vt:variant>
      <vt:variant>
        <vt:i4>5</vt:i4>
      </vt:variant>
      <vt:variant>
        <vt:lpwstr>http://www.mmuncii.ro/j33/images/Documente/Munca/2014-DOES/2014-01-31_Anexa1_Strategia_de_Ocupare.pdf</vt:lpwstr>
      </vt:variant>
      <vt:variant>
        <vt:lpwstr/>
      </vt:variant>
      <vt:variant>
        <vt:i4>6357106</vt:i4>
      </vt:variant>
      <vt:variant>
        <vt:i4>75</vt:i4>
      </vt:variant>
      <vt:variant>
        <vt:i4>0</vt:i4>
      </vt:variant>
      <vt:variant>
        <vt:i4>5</vt:i4>
      </vt:variant>
      <vt:variant>
        <vt:lpwstr>http://www.mmuncii.ro/j33/index.php/ro/2014-domenii/familie/politici-familiale-incluziune-si-asistenta-sociala/3916</vt:lpwstr>
      </vt:variant>
      <vt:variant>
        <vt:lpwstr/>
      </vt:variant>
      <vt:variant>
        <vt:i4>7012378</vt:i4>
      </vt:variant>
      <vt:variant>
        <vt:i4>72</vt:i4>
      </vt:variant>
      <vt:variant>
        <vt:i4>0</vt:i4>
      </vt:variant>
      <vt:variant>
        <vt:i4>5</vt:i4>
      </vt:variant>
      <vt:variant>
        <vt:lpwstr>https://ec.europa.eu/info/archive-european-semester-documents-romania_en</vt:lpwstr>
      </vt:variant>
      <vt:variant>
        <vt:lpwstr/>
      </vt:variant>
      <vt:variant>
        <vt:i4>7209017</vt:i4>
      </vt:variant>
      <vt:variant>
        <vt:i4>69</vt:i4>
      </vt:variant>
      <vt:variant>
        <vt:i4>0</vt:i4>
      </vt:variant>
      <vt:variant>
        <vt:i4>5</vt:i4>
      </vt:variant>
      <vt:variant>
        <vt:lpwstr>https://eur-lex.europa.eu/legal-content/EN/TXT/?qid=1584543810241&amp;uri=CELEX:52020SC0522</vt:lpwstr>
      </vt:variant>
      <vt:variant>
        <vt:lpwstr/>
      </vt:variant>
      <vt:variant>
        <vt:i4>3342375</vt:i4>
      </vt:variant>
      <vt:variant>
        <vt:i4>66</vt:i4>
      </vt:variant>
      <vt:variant>
        <vt:i4>0</vt:i4>
      </vt:variant>
      <vt:variant>
        <vt:i4>5</vt:i4>
      </vt:variant>
      <vt:variant>
        <vt:lpwstr>http://www.euro.who.int/en/media-centre/sections/statements/2020/statement-invest-in-the-overlooked-and-unsung-build-sustainable-people-centred-long-term-care-in-the-wake-of-covid-19</vt:lpwstr>
      </vt:variant>
      <vt:variant>
        <vt:lpwstr/>
      </vt:variant>
      <vt:variant>
        <vt:i4>5636171</vt:i4>
      </vt:variant>
      <vt:variant>
        <vt:i4>60</vt:i4>
      </vt:variant>
      <vt:variant>
        <vt:i4>0</vt:i4>
      </vt:variant>
      <vt:variant>
        <vt:i4>5</vt:i4>
      </vt:variant>
      <vt:variant>
        <vt:lpwstr>https://ec.europa.eu/eurostat/databrowser/view/tessi080/default/line?lang=en</vt:lpwstr>
      </vt:variant>
      <vt:variant>
        <vt:lpwstr/>
      </vt:variant>
      <vt:variant>
        <vt:i4>4128823</vt:i4>
      </vt:variant>
      <vt:variant>
        <vt:i4>54</vt:i4>
      </vt:variant>
      <vt:variant>
        <vt:i4>0</vt:i4>
      </vt:variant>
      <vt:variant>
        <vt:i4>5</vt:i4>
      </vt:variant>
      <vt:variant>
        <vt:lpwstr>https://ec.europa.eu/eurostat/databrowser/view/tessi010/default/map?lang=en</vt:lpwstr>
      </vt:variant>
      <vt:variant>
        <vt:lpwstr/>
      </vt:variant>
      <vt:variant>
        <vt:i4>6750324</vt:i4>
      </vt:variant>
      <vt:variant>
        <vt:i4>48</vt:i4>
      </vt:variant>
      <vt:variant>
        <vt:i4>0</vt:i4>
      </vt:variant>
      <vt:variant>
        <vt:i4>5</vt:i4>
      </vt:variant>
      <vt:variant>
        <vt:lpwstr>https://ec.europa.eu/eurostat/databrowser/view/tgs00103/default/map?lang=en</vt:lpwstr>
      </vt:variant>
      <vt:variant>
        <vt:lpwstr/>
      </vt:variant>
      <vt:variant>
        <vt:i4>1310775</vt:i4>
      </vt:variant>
      <vt:variant>
        <vt:i4>38</vt:i4>
      </vt:variant>
      <vt:variant>
        <vt:i4>0</vt:i4>
      </vt:variant>
      <vt:variant>
        <vt:i4>5</vt:i4>
      </vt:variant>
      <vt:variant>
        <vt:lpwstr/>
      </vt:variant>
      <vt:variant>
        <vt:lpwstr>_Toc71040503</vt:lpwstr>
      </vt:variant>
      <vt:variant>
        <vt:i4>1376311</vt:i4>
      </vt:variant>
      <vt:variant>
        <vt:i4>32</vt:i4>
      </vt:variant>
      <vt:variant>
        <vt:i4>0</vt:i4>
      </vt:variant>
      <vt:variant>
        <vt:i4>5</vt:i4>
      </vt:variant>
      <vt:variant>
        <vt:lpwstr/>
      </vt:variant>
      <vt:variant>
        <vt:lpwstr>_Toc71040502</vt:lpwstr>
      </vt:variant>
      <vt:variant>
        <vt:i4>1441847</vt:i4>
      </vt:variant>
      <vt:variant>
        <vt:i4>26</vt:i4>
      </vt:variant>
      <vt:variant>
        <vt:i4>0</vt:i4>
      </vt:variant>
      <vt:variant>
        <vt:i4>5</vt:i4>
      </vt:variant>
      <vt:variant>
        <vt:lpwstr/>
      </vt:variant>
      <vt:variant>
        <vt:lpwstr>_Toc71040501</vt:lpwstr>
      </vt:variant>
      <vt:variant>
        <vt:i4>1507383</vt:i4>
      </vt:variant>
      <vt:variant>
        <vt:i4>20</vt:i4>
      </vt:variant>
      <vt:variant>
        <vt:i4>0</vt:i4>
      </vt:variant>
      <vt:variant>
        <vt:i4>5</vt:i4>
      </vt:variant>
      <vt:variant>
        <vt:lpwstr/>
      </vt:variant>
      <vt:variant>
        <vt:lpwstr>_Toc71040500</vt:lpwstr>
      </vt:variant>
      <vt:variant>
        <vt:i4>2031678</vt:i4>
      </vt:variant>
      <vt:variant>
        <vt:i4>14</vt:i4>
      </vt:variant>
      <vt:variant>
        <vt:i4>0</vt:i4>
      </vt:variant>
      <vt:variant>
        <vt:i4>5</vt:i4>
      </vt:variant>
      <vt:variant>
        <vt:lpwstr/>
      </vt:variant>
      <vt:variant>
        <vt:lpwstr>_Toc71040499</vt:lpwstr>
      </vt:variant>
      <vt:variant>
        <vt:i4>1966142</vt:i4>
      </vt:variant>
      <vt:variant>
        <vt:i4>8</vt:i4>
      </vt:variant>
      <vt:variant>
        <vt:i4>0</vt:i4>
      </vt:variant>
      <vt:variant>
        <vt:i4>5</vt:i4>
      </vt:variant>
      <vt:variant>
        <vt:lpwstr/>
      </vt:variant>
      <vt:variant>
        <vt:lpwstr>_Toc71040498</vt:lpwstr>
      </vt:variant>
      <vt:variant>
        <vt:i4>1114174</vt:i4>
      </vt:variant>
      <vt:variant>
        <vt:i4>2</vt:i4>
      </vt:variant>
      <vt:variant>
        <vt:i4>0</vt:i4>
      </vt:variant>
      <vt:variant>
        <vt:i4>5</vt:i4>
      </vt:variant>
      <vt:variant>
        <vt:lpwstr/>
      </vt:variant>
      <vt:variant>
        <vt:lpwstr>_Toc71040497</vt:lpwstr>
      </vt:variant>
      <vt:variant>
        <vt:i4>3080313</vt:i4>
      </vt:variant>
      <vt:variant>
        <vt:i4>39</vt:i4>
      </vt:variant>
      <vt:variant>
        <vt:i4>0</vt:i4>
      </vt:variant>
      <vt:variant>
        <vt:i4>5</vt:i4>
      </vt:variant>
      <vt:variant>
        <vt:lpwstr>about:blank</vt:lpwstr>
      </vt:variant>
      <vt:variant>
        <vt:lpwstr/>
      </vt:variant>
      <vt:variant>
        <vt:i4>3080313</vt:i4>
      </vt:variant>
      <vt:variant>
        <vt:i4>36</vt:i4>
      </vt:variant>
      <vt:variant>
        <vt:i4>0</vt:i4>
      </vt:variant>
      <vt:variant>
        <vt:i4>5</vt:i4>
      </vt:variant>
      <vt:variant>
        <vt:lpwstr>about:blank</vt:lpwstr>
      </vt:variant>
      <vt:variant>
        <vt:lpwstr/>
      </vt:variant>
      <vt:variant>
        <vt:i4>3080313</vt:i4>
      </vt:variant>
      <vt:variant>
        <vt:i4>33</vt:i4>
      </vt:variant>
      <vt:variant>
        <vt:i4>0</vt:i4>
      </vt:variant>
      <vt:variant>
        <vt:i4>5</vt:i4>
      </vt:variant>
      <vt:variant>
        <vt:lpwstr>about:blank</vt:lpwstr>
      </vt:variant>
      <vt:variant>
        <vt:lpwstr/>
      </vt:variant>
      <vt:variant>
        <vt:i4>3080313</vt:i4>
      </vt:variant>
      <vt:variant>
        <vt:i4>30</vt:i4>
      </vt:variant>
      <vt:variant>
        <vt:i4>0</vt:i4>
      </vt:variant>
      <vt:variant>
        <vt:i4>5</vt:i4>
      </vt:variant>
      <vt:variant>
        <vt:lpwstr>about:blank</vt:lpwstr>
      </vt:variant>
      <vt:variant>
        <vt:lpwstr/>
      </vt:variant>
      <vt:variant>
        <vt:i4>3080313</vt:i4>
      </vt:variant>
      <vt:variant>
        <vt:i4>27</vt:i4>
      </vt:variant>
      <vt:variant>
        <vt:i4>0</vt:i4>
      </vt:variant>
      <vt:variant>
        <vt:i4>5</vt:i4>
      </vt:variant>
      <vt:variant>
        <vt:lpwstr>about:blank</vt:lpwstr>
      </vt:variant>
      <vt:variant>
        <vt:lpwstr/>
      </vt:variant>
      <vt:variant>
        <vt:i4>3080313</vt:i4>
      </vt:variant>
      <vt:variant>
        <vt:i4>24</vt:i4>
      </vt:variant>
      <vt:variant>
        <vt:i4>0</vt:i4>
      </vt:variant>
      <vt:variant>
        <vt:i4>5</vt:i4>
      </vt:variant>
      <vt:variant>
        <vt:lpwstr>about:blank</vt:lpwstr>
      </vt:variant>
      <vt:variant>
        <vt:lpwstr/>
      </vt: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2883626</vt:i4>
      </vt:variant>
      <vt:variant>
        <vt:i4>3</vt:i4>
      </vt:variant>
      <vt:variant>
        <vt:i4>0</vt:i4>
      </vt:variant>
      <vt:variant>
        <vt:i4>5</vt:i4>
      </vt:variant>
      <vt:variant>
        <vt:lpwstr>https://www.esn-eu.org/de/node/2749</vt:lpwstr>
      </vt:variant>
      <vt:variant>
        <vt:lpwstr/>
      </vt:variant>
      <vt:variant>
        <vt:i4>5373955</vt:i4>
      </vt:variant>
      <vt:variant>
        <vt:i4>0</vt:i4>
      </vt:variant>
      <vt:variant>
        <vt:i4>0</vt:i4>
      </vt:variant>
      <vt:variant>
        <vt:i4>5</vt:i4>
      </vt:variant>
      <vt:variant>
        <vt:lpwstr>https://ec.europa.eu/social/main.jsp?langId=en&amp;catId=88&amp;eventsId=994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Borcan</dc:creator>
  <cp:keywords/>
  <dc:description/>
  <cp:lastModifiedBy>Cristina Stefana</cp:lastModifiedBy>
  <cp:revision>7</cp:revision>
  <dcterms:created xsi:type="dcterms:W3CDTF">2021-11-30T18:37:00Z</dcterms:created>
  <dcterms:modified xsi:type="dcterms:W3CDTF">2021-12-03T12:03:00Z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0x010100626578148F381C4F8EDCDB79FA0200C6</vt:lpwstr>
  </property>
</Properties>
</file>