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D338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79A7F417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3B4C1403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70A88217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0B93A5BE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3A4A2764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49D5F81A" w14:textId="77777777" w:rsidR="004F7AEE" w:rsidRPr="006A619E" w:rsidRDefault="004F7AEE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Calibri" w:cs="Times New Roman"/>
          <w:b/>
          <w:color w:val="000000"/>
          <w:kern w:val="0"/>
          <w:sz w:val="22"/>
          <w:szCs w:val="22"/>
        </w:rPr>
      </w:pPr>
    </w:p>
    <w:p w14:paraId="309BCFF1" w14:textId="62B87CD0" w:rsidR="004F7AEE" w:rsidRPr="0029091B" w:rsidRDefault="00EB0914" w:rsidP="004F7AEE">
      <w:pPr>
        <w:overflowPunct/>
        <w:autoSpaceDE/>
        <w:autoSpaceDN/>
        <w:adjustRightInd/>
        <w:spacing w:after="160" w:line="259" w:lineRule="auto"/>
        <w:ind w:right="-2"/>
        <w:jc w:val="center"/>
        <w:rPr>
          <w:rFonts w:eastAsia="Times New Roman" w:cstheme="minorHAnsi"/>
          <w:b/>
          <w:sz w:val="32"/>
          <w:szCs w:val="32"/>
        </w:rPr>
      </w:pPr>
      <w:bookmarkStart w:id="0" w:name="_Hlk100842906"/>
      <w:r w:rsidRPr="0029091B">
        <w:rPr>
          <w:rFonts w:eastAsia="Times New Roman" w:cstheme="minorHAnsi"/>
          <w:b/>
          <w:sz w:val="32"/>
          <w:szCs w:val="32"/>
        </w:rPr>
        <w:t>Evaluarea intervențiilor POCU în domeniul incluziunii sociale</w:t>
      </w:r>
    </w:p>
    <w:p w14:paraId="235DC428" w14:textId="3E26439D" w:rsidR="004F7AEE" w:rsidRPr="0029091B" w:rsidRDefault="004F7AEE" w:rsidP="004F7AEE">
      <w:pPr>
        <w:pBdr>
          <w:top w:val="single" w:sz="4" w:space="10" w:color="4F81BD"/>
          <w:bottom w:val="single" w:sz="4" w:space="10" w:color="4F81BD"/>
        </w:pBdr>
        <w:overflowPunct/>
        <w:autoSpaceDE/>
        <w:autoSpaceDN/>
        <w:adjustRightInd/>
        <w:spacing w:before="360" w:after="360" w:line="259" w:lineRule="auto"/>
        <w:ind w:left="864" w:right="864"/>
        <w:jc w:val="center"/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</w:pPr>
      <w:r w:rsidRPr="0029091B"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  <w:t>ANEXA 0.</w:t>
      </w:r>
      <w:r w:rsidR="00EB0914" w:rsidRPr="0029091B"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  <w:t>5</w:t>
      </w:r>
      <w:r w:rsidR="0029091B"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  <w:t>.</w:t>
      </w:r>
      <w:r w:rsidR="007C69B8" w:rsidRPr="0029091B"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  <w:t xml:space="preserve"> </w:t>
      </w:r>
      <w:r w:rsidR="00C63FFB" w:rsidRPr="0029091B">
        <w:rPr>
          <w:rFonts w:eastAsia="Calibri" w:cs="Times New Roman"/>
          <w:b/>
          <w:i/>
          <w:iCs/>
          <w:color w:val="4F81BD"/>
          <w:kern w:val="0"/>
          <w:sz w:val="32"/>
          <w:szCs w:val="32"/>
        </w:rPr>
        <w:t>Lista instituțiilor intervievate</w:t>
      </w:r>
    </w:p>
    <w:p w14:paraId="5F3AFE22" w14:textId="77777777" w:rsidR="004F7AEE" w:rsidRPr="006A619E" w:rsidRDefault="004F7AEE">
      <w:pPr>
        <w:overflowPunct/>
        <w:autoSpaceDE/>
        <w:autoSpaceDN/>
        <w:adjustRightInd/>
        <w:spacing w:after="200" w:line="276" w:lineRule="auto"/>
        <w:jc w:val="left"/>
        <w:rPr>
          <w:b/>
          <w:sz w:val="22"/>
          <w:szCs w:val="22"/>
        </w:rPr>
      </w:pPr>
      <w:r w:rsidRPr="006A619E">
        <w:rPr>
          <w:b/>
          <w:sz w:val="22"/>
          <w:szCs w:val="22"/>
        </w:rPr>
        <w:br w:type="page"/>
      </w:r>
    </w:p>
    <w:p w14:paraId="300F496E" w14:textId="77777777" w:rsidR="00E158FC" w:rsidRPr="006A619E" w:rsidRDefault="00E158FC" w:rsidP="00C63FFB">
      <w:pPr>
        <w:spacing w:before="60" w:after="60" w:line="276" w:lineRule="auto"/>
        <w:rPr>
          <w:rFonts w:cs="Calibri"/>
          <w:sz w:val="22"/>
          <w:szCs w:val="22"/>
        </w:rPr>
      </w:pPr>
    </w:p>
    <w:p w14:paraId="1B46D4DE" w14:textId="6877F2AE" w:rsidR="009C71AE" w:rsidRPr="006A619E" w:rsidRDefault="00E158FC" w:rsidP="00C63FFB">
      <w:pPr>
        <w:spacing w:before="60" w:after="60" w:line="276" w:lineRule="auto"/>
        <w:rPr>
          <w:rFonts w:cs="Calibri"/>
          <w:b/>
          <w:bCs/>
          <w:sz w:val="22"/>
          <w:szCs w:val="22"/>
        </w:rPr>
      </w:pPr>
      <w:r w:rsidRPr="006A619E">
        <w:rPr>
          <w:rFonts w:cs="Calibri"/>
          <w:b/>
          <w:bCs/>
          <w:sz w:val="22"/>
          <w:szCs w:val="22"/>
        </w:rPr>
        <w:t xml:space="preserve">Lista instituțiilor intervievate în cadrul exercițiului de evaluare </w:t>
      </w:r>
      <w:r w:rsidR="002771C6" w:rsidRPr="006A619E">
        <w:rPr>
          <w:rFonts w:cs="Calibri"/>
          <w:b/>
          <w:bCs/>
          <w:sz w:val="22"/>
          <w:szCs w:val="22"/>
        </w:rPr>
        <w:t>a</w:t>
      </w:r>
      <w:r w:rsidRPr="006A619E">
        <w:rPr>
          <w:rFonts w:cs="Calibri"/>
          <w:b/>
          <w:bCs/>
          <w:sz w:val="22"/>
          <w:szCs w:val="22"/>
        </w:rPr>
        <w:t xml:space="preserve"> intervențiilor POCU 2014-2020 în domeniul </w:t>
      </w:r>
      <w:r w:rsidR="009C34CC" w:rsidRPr="006A619E">
        <w:rPr>
          <w:rFonts w:cs="Calibri"/>
          <w:b/>
          <w:bCs/>
          <w:sz w:val="22"/>
          <w:szCs w:val="22"/>
        </w:rPr>
        <w:t>incluziunii sociale</w:t>
      </w:r>
      <w:r w:rsidR="002771C6" w:rsidRPr="006A619E">
        <w:rPr>
          <w:rFonts w:cs="Calibri"/>
          <w:b/>
          <w:bCs/>
          <w:sz w:val="22"/>
          <w:szCs w:val="22"/>
        </w:rPr>
        <w:t xml:space="preserve">: </w:t>
      </w:r>
    </w:p>
    <w:p w14:paraId="3238E0D2" w14:textId="77777777" w:rsidR="009C71AE" w:rsidRPr="006A619E" w:rsidRDefault="009C71AE" w:rsidP="00C63FFB">
      <w:pPr>
        <w:spacing w:before="60" w:after="60" w:line="276" w:lineRule="auto"/>
        <w:rPr>
          <w:rFonts w:cs="Calibri"/>
          <w:sz w:val="22"/>
          <w:szCs w:val="22"/>
        </w:rPr>
      </w:pPr>
    </w:p>
    <w:p w14:paraId="4A074C75" w14:textId="2EEE890F" w:rsidR="00C63FFB" w:rsidRDefault="00C63FFB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Autoritatea de Management POCU (AM POCU)</w:t>
      </w:r>
    </w:p>
    <w:p w14:paraId="100CDFB7" w14:textId="4FCCB71F" w:rsidR="002F2393" w:rsidRDefault="002F2393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Autoritatea de Management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PNDR (AM PNDR)</w:t>
      </w:r>
    </w:p>
    <w:p w14:paraId="7B9A0484" w14:textId="14497E21" w:rsidR="002F2393" w:rsidRDefault="002F2393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Autoritatea de Management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POR (AM POR)</w:t>
      </w:r>
    </w:p>
    <w:p w14:paraId="627884F0" w14:textId="01C27577" w:rsidR="002F2393" w:rsidRDefault="001868D1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Direcția Generală Dezvoltare Regională și Infrastructură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din cadrul Ministerului Dezvoltării, Lucrărilor Publice și Administrației </w:t>
      </w:r>
      <w:r w:rsidR="002F2393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(</w:t>
      </w:r>
      <w:r w:rsidR="002F2393" w:rsidRPr="002F2393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DGDRI MDLPA</w:t>
      </w:r>
      <w:r w:rsidR="002F2393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)</w:t>
      </w:r>
    </w:p>
    <w:p w14:paraId="25182EED" w14:textId="58243361" w:rsidR="006A619E" w:rsidRPr="006A619E" w:rsidRDefault="006A619E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Direcția Generală Programare și Coordonare de Sistem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</w:t>
      </w:r>
      <w:r w:rsidR="001868D1"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IPE</w:t>
      </w:r>
    </w:p>
    <w:p w14:paraId="71835DE6" w14:textId="5B4291DD" w:rsidR="006A619E" w:rsidRDefault="006A619E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rganism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ntermediar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Vest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POCU</w:t>
      </w:r>
    </w:p>
    <w:p w14:paraId="23E2C3FF" w14:textId="01B3B63A" w:rsidR="001868D1" w:rsidRDefault="001868D1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rganism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ntermediar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Centru POCU</w:t>
      </w:r>
    </w:p>
    <w:p w14:paraId="66627F9F" w14:textId="3D3920C2" w:rsidR="001868D1" w:rsidRDefault="001868D1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rganism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ntermediar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</w:t>
      </w:r>
      <w:r w:rsidR="003C09FD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Nord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Vest</w:t>
      </w:r>
      <w:r w:rsidR="003C09FD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POCU</w:t>
      </w:r>
    </w:p>
    <w:p w14:paraId="53AA7443" w14:textId="1230A856" w:rsidR="003C09FD" w:rsidRPr="006A619E" w:rsidRDefault="003C09FD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rganism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ntermediar Sud Muntenia POCU</w:t>
      </w:r>
    </w:p>
    <w:p w14:paraId="57B6233C" w14:textId="7C46305F" w:rsidR="006A619E" w:rsidRPr="006A619E" w:rsidRDefault="006A619E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inisterul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uncii și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rotecției 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S</w:t>
      </w:r>
      <w:r w:rsidR="001868D1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ociale (MMPS)</w:t>
      </w:r>
    </w:p>
    <w:p w14:paraId="420D0964" w14:textId="3B063161" w:rsidR="006A619E" w:rsidRPr="006A619E" w:rsidRDefault="001868D1" w:rsidP="006A619E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Ministerul Sănătății (</w:t>
      </w:r>
      <w:r w:rsidR="006A619E"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MS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)</w:t>
      </w:r>
    </w:p>
    <w:p w14:paraId="150D0C82" w14:textId="70BCC4FF" w:rsidR="00C63FFB" w:rsidRPr="006A619E" w:rsidRDefault="00C63FFB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Organismul Intermediar </w:t>
      </w:r>
      <w:r w:rsidR="003C09FD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POCU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(OI </w:t>
      </w:r>
      <w:r w:rsidR="003C09FD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POCU</w:t>
      </w: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)</w:t>
      </w:r>
    </w:p>
    <w:p w14:paraId="30A58F33" w14:textId="14DE6C1E" w:rsidR="00C63FFB" w:rsidRDefault="00C63FFB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Agenția Națională de Ocupare a Forței de Muncă (ANOFM)</w:t>
      </w:r>
    </w:p>
    <w:p w14:paraId="09B1C5BD" w14:textId="520DB785" w:rsidR="003C09FD" w:rsidRDefault="003C09FD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Direcțiile generale de asistență socială și protecția copiilor (DGASPC-uri)</w:t>
      </w:r>
    </w:p>
    <w:p w14:paraId="7346537D" w14:textId="1C1E1ED9" w:rsidR="00552273" w:rsidRDefault="00552273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Inspecția Muncii</w:t>
      </w:r>
    </w:p>
    <w:p w14:paraId="4A9238C2" w14:textId="5C00AF50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Ministerul Cercetării, Inovării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și</w:t>
      </w: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</w:t>
      </w: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igitalizării</w:t>
      </w:r>
    </w:p>
    <w:p w14:paraId="077CE6B3" w14:textId="77777777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DAS Timișoara</w:t>
      </w:r>
    </w:p>
    <w:p w14:paraId="705CB4A9" w14:textId="77777777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UAT Comuna Traian</w:t>
      </w:r>
    </w:p>
    <w:p w14:paraId="6B4234E1" w14:textId="7B7A979F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UAT Comuna Peștișani</w:t>
      </w:r>
    </w:p>
    <w:p w14:paraId="0A3A91A7" w14:textId="2917A1A1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UAT Comuna Isaccea</w:t>
      </w:r>
    </w:p>
    <w:p w14:paraId="21528A46" w14:textId="3987105E" w:rsidR="00FB0ADA" w:rsidRDefault="00FB0ADA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FB0ADA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Asociația Sf. Damian</w:t>
      </w:r>
    </w:p>
    <w:p w14:paraId="5A0E76DE" w14:textId="4520F47B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Direcția Politici Servicii Sociale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- </w:t>
      </w: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Ministerul Muncii și Protecției Sociale</w:t>
      </w:r>
    </w:p>
    <w:p w14:paraId="445384F7" w14:textId="6634A6E5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Agenția Națională pentru Plăți și Inspecție Socială (ANPIS)</w:t>
      </w:r>
    </w:p>
    <w:p w14:paraId="2B59F3A1" w14:textId="0CF37EBA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Autoritatea Națională pentru Drepturile Persoanelor cu Dizabilități, Copii și Adopții (ANDPDCA)</w:t>
      </w:r>
    </w:p>
    <w:p w14:paraId="34E42F58" w14:textId="74516FBF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Agenția Națională pentru Egalitatea de Șanse între Femei și Bărbați - Direcția pentru Prevenirea și Combaterea Violenței (ANES)</w:t>
      </w:r>
    </w:p>
    <w:p w14:paraId="70FF9280" w14:textId="77777777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Fundația Mara</w:t>
      </w:r>
    </w:p>
    <w:p w14:paraId="4FDF6639" w14:textId="78323195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DAS Petrila </w:t>
      </w:r>
    </w:p>
    <w:p w14:paraId="0A78499B" w14:textId="77777777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Asociația Centrul de Cercetare și Formare a Universității de Nord Baia Mare</w:t>
      </w:r>
    </w:p>
    <w:p w14:paraId="48618461" w14:textId="69E1E0D7" w:rsidR="00BF5412" w:rsidRP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lastRenderedPageBreak/>
        <w:t xml:space="preserve">Asociația START pentru performanță </w:t>
      </w:r>
    </w:p>
    <w:p w14:paraId="602057C0" w14:textId="4BC2B8BD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UAT Orașul Flamânzi</w:t>
      </w:r>
    </w:p>
    <w:p w14:paraId="7B44A6F8" w14:textId="341BB308" w:rsidR="00BF5412" w:rsidRDefault="0014484E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Inspectoratul General pentru Situații de Urgență </w:t>
      </w:r>
      <w:r w:rsidR="00814175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(</w:t>
      </w:r>
      <w:r w:rsidR="00BF5412"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IGSU</w:t>
      </w:r>
      <w:r w:rsidR="00814175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)</w:t>
      </w:r>
    </w:p>
    <w:p w14:paraId="0835FD76" w14:textId="5318835C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Colegiul Medicilor Timiș</w:t>
      </w:r>
    </w:p>
    <w:p w14:paraId="3D2972D2" w14:textId="77777777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Spitalul Clinic Dr. I. Cantacuzino</w:t>
      </w:r>
    </w:p>
    <w:p w14:paraId="45481315" w14:textId="77777777" w:rsidR="00BF5412" w:rsidRDefault="00BF5412" w:rsidP="00BF5412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Fundația Romanian Angel Appeal (RAA)</w:t>
      </w:r>
    </w:p>
    <w:p w14:paraId="3A06F94C" w14:textId="77777777" w:rsidR="00AB5E67" w:rsidRDefault="00BF5412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BF5412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Fundația Centrul pentru Politici și Servicii de Sănătate (CPSS)</w:t>
      </w:r>
    </w:p>
    <w:p w14:paraId="080C5A2B" w14:textId="77777777" w:rsidR="00AB5E67" w:rsidRDefault="00BF5412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Asociația Coaliția Organizațiilor Pacienților cu Afecțiuni Cronice din Romania (COPAC RO)</w:t>
      </w:r>
    </w:p>
    <w:p w14:paraId="7B951E73" w14:textId="77777777" w:rsidR="00AB5E67" w:rsidRDefault="00BF5412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UMF Iași</w:t>
      </w:r>
    </w:p>
    <w:p w14:paraId="15AFDF3E" w14:textId="77777777" w:rsidR="00AB5E67" w:rsidRDefault="00BF5412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Institutul de Pneumoftiziologie Marius Nasta</w:t>
      </w:r>
    </w:p>
    <w:p w14:paraId="6E743E9B" w14:textId="7BB6C6AD" w:rsidR="00BF5412" w:rsidRDefault="00BF5412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Institutul Oncologic Prof. Dr. I. Chiricuță Cluj-Napoca</w:t>
      </w:r>
    </w:p>
    <w:p w14:paraId="55399C28" w14:textId="77777777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World Vision Romania</w:t>
      </w:r>
    </w:p>
    <w:p w14:paraId="24F21C27" w14:textId="77777777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Salvați Copiii România</w:t>
      </w:r>
    </w:p>
    <w:p w14:paraId="027BFD5E" w14:textId="77777777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DGASPC Bacău</w:t>
      </w:r>
    </w:p>
    <w:p w14:paraId="2F5C987F" w14:textId="77777777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Asociatia pentru persoane cu dizabilitati fizice Sfântul Haralambie</w:t>
      </w:r>
    </w:p>
    <w:p w14:paraId="2DF0E6BD" w14:textId="75EA1DF9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DGASPC Ilfov</w:t>
      </w:r>
    </w:p>
    <w:p w14:paraId="165E8BB6" w14:textId="08BC86C6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Serviciul Analiza Pieței Muncii, Formare Profesională și Economie Socială, Compartimentul de Economie Socială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- </w:t>
      </w: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Ministerul Muncii și Protecției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Sociale</w:t>
      </w: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(MMPS)</w:t>
      </w:r>
    </w:p>
    <w:p w14:paraId="44228302" w14:textId="438AFE0C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Programe de Ocupare și de Formare Profesională a Forței de Muncă, Compartimentul de Economie Socială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- </w:t>
      </w: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Agenția Națională pentru Ocuparea Forței de Muncă, Direcția Analiza Pieței Muncii, (ANOFM)</w:t>
      </w:r>
    </w:p>
    <w:p w14:paraId="1990F306" w14:textId="18DD9C29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Agrafics Communication SRL</w:t>
      </w:r>
    </w:p>
    <w:p w14:paraId="68C7E2C0" w14:textId="4640DAF7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Fundația Serviciilor Sociale Bethany</w:t>
      </w:r>
    </w:p>
    <w:p w14:paraId="5752DB15" w14:textId="411D0FF2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Fundația „Alături de Voi” Iași</w:t>
      </w:r>
    </w:p>
    <w:p w14:paraId="20AB8DB9" w14:textId="12F98511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Orașul Tălmaciu</w:t>
      </w:r>
    </w:p>
    <w:p w14:paraId="7068A48E" w14:textId="0972A1F7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Camera de Comerț și Industrie a României</w:t>
      </w:r>
    </w:p>
    <w:p w14:paraId="797DDE2F" w14:textId="0DBC2A78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Euzone Consultancy Network SRL</w:t>
      </w:r>
    </w:p>
    <w:p w14:paraId="6CC1A1FD" w14:textId="06B5F7BE" w:rsidR="00AB5E67" w:rsidRP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Centrul pentru Legislație Non-Profit</w:t>
      </w:r>
    </w:p>
    <w:p w14:paraId="5B705CEC" w14:textId="011C4EF2" w:rsidR="00AB5E67" w:rsidRDefault="00AB5E67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B5E67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Primaserv SRL</w:t>
      </w:r>
    </w:p>
    <w:p w14:paraId="360D4D64" w14:textId="0D3463B2" w:rsidR="00AD3750" w:rsidRDefault="00AD3750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Arhiescopia Aradului</w:t>
      </w:r>
    </w:p>
    <w:p w14:paraId="2DE157AA" w14:textId="4933BAE9" w:rsidR="00AD3750" w:rsidRDefault="00AD3750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Asociația de Dezvoltare Intercomunitară Zona Metropolitană Cluj</w:t>
      </w:r>
    </w:p>
    <w:p w14:paraId="6096665E" w14:textId="2A5CB88F" w:rsidR="00AD3750" w:rsidRDefault="00AD3750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Asociația Suflet pentru Oameni</w:t>
      </w:r>
    </w:p>
    <w:p w14:paraId="42210590" w14:textId="4C5C482D" w:rsidR="00AD3750" w:rsidRDefault="00AD3750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Ministerul Cercetării, Inovării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</w:t>
      </w: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i Digitalizării - Autoritatea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</w:t>
      </w: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e Management Pentru Programul Operațional Competitivitate (MCID - AM POC)</w:t>
      </w:r>
    </w:p>
    <w:p w14:paraId="0B49CEA7" w14:textId="106010ED" w:rsidR="00AD3750" w:rsidRDefault="00AD3750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Ministerul Muncii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</w:t>
      </w: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i Protecție Sociale – Direcția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</w:t>
      </w: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e Politici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</w:t>
      </w:r>
      <w:r w:rsidRPr="00AD3750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 Servicii Sociale (MMPS - DPSS)</w:t>
      </w:r>
    </w:p>
    <w:p w14:paraId="50760194" w14:textId="7D18958D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lastRenderedPageBreak/>
        <w:t xml:space="preserve">Administrația Națională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Penitenciarelor - Direcţia Reintegrare Socială (ANP)</w:t>
      </w:r>
    </w:p>
    <w:p w14:paraId="332E3C5B" w14:textId="77B1FA22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Ministerul Afacerilor Interne (MAI)</w:t>
      </w:r>
    </w:p>
    <w:p w14:paraId="01D5EC2B" w14:textId="0520E24D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Autoritatea Națională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entru Persoanele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u Dizabilități (ANPD)</w:t>
      </w:r>
    </w:p>
    <w:p w14:paraId="59965666" w14:textId="2621E348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Autoritatea Națională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p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entru Drepturile Persoanelor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u Dizabilități, Copii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 Adopții (ANDPDCA)</w:t>
      </w:r>
    </w:p>
    <w:p w14:paraId="7D191466" w14:textId="09CDFECA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Asociația Centrul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e Cercetare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i Formare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a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 Universității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d</w:t>
      </w: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e Nord Baia Mare</w:t>
      </w:r>
    </w:p>
    <w:p w14:paraId="3EB44D3F" w14:textId="62C4A25F" w:rsidR="0014484E" w:rsidRDefault="0014484E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14484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Spitalul Clinic Județean de Urgență Pius Brînzeu Timișoara</w:t>
      </w:r>
    </w:p>
    <w:p w14:paraId="2C96046F" w14:textId="2B60A9F6" w:rsidR="00814175" w:rsidRPr="00AB5E67" w:rsidRDefault="00814175" w:rsidP="00AB5E67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814175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Institutul Național de Sănătate Publică</w:t>
      </w:r>
    </w:p>
    <w:p w14:paraId="5A73654D" w14:textId="4FBAAD7C" w:rsidR="00C63FFB" w:rsidRDefault="00814175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Comuna Grădinari</w:t>
      </w:r>
    </w:p>
    <w:p w14:paraId="479E3E38" w14:textId="15E308A1" w:rsidR="00814175" w:rsidRDefault="00814175" w:rsidP="002771C6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>Școala Gimnazială nr. 1 Grădinari</w:t>
      </w:r>
    </w:p>
    <w:p w14:paraId="756B1F9F" w14:textId="108B9921" w:rsidR="00EA4CF1" w:rsidRPr="006A619E" w:rsidRDefault="00EA4CF1" w:rsidP="00EA4CF1">
      <w:pPr>
        <w:pStyle w:val="ListParagraph"/>
        <w:numPr>
          <w:ilvl w:val="0"/>
          <w:numId w:val="2"/>
        </w:numPr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  <w:r w:rsidRPr="006A619E"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  <w:t xml:space="preserve">Benficiari finali proiecte POCU </w:t>
      </w:r>
    </w:p>
    <w:bookmarkEnd w:id="0"/>
    <w:p w14:paraId="280E7AD3" w14:textId="77777777" w:rsidR="009C71AE" w:rsidRPr="001868D1" w:rsidRDefault="009C71AE" w:rsidP="00814175">
      <w:pPr>
        <w:pStyle w:val="ListParagraph"/>
        <w:tabs>
          <w:tab w:val="left" w:pos="1440"/>
        </w:tabs>
        <w:overflowPunct/>
        <w:autoSpaceDE/>
        <w:autoSpaceDN/>
        <w:adjustRightInd/>
        <w:spacing w:line="240" w:lineRule="auto"/>
        <w:contextualSpacing w:val="0"/>
        <w:rPr>
          <w:rFonts w:asciiTheme="minorHAnsi" w:eastAsia="Calibri" w:hAnsiTheme="minorHAnsi" w:cstheme="minorHAnsi"/>
          <w:kern w:val="0"/>
          <w:sz w:val="22"/>
          <w:szCs w:val="22"/>
          <w:lang w:eastAsia="ar-SA"/>
        </w:rPr>
      </w:pPr>
    </w:p>
    <w:sectPr w:rsidR="009C71AE" w:rsidRPr="001868D1" w:rsidSect="008A4A23">
      <w:headerReference w:type="default" r:id="rId8"/>
      <w:footerReference w:type="default" r:id="rId9"/>
      <w:pgSz w:w="11906" w:h="16838"/>
      <w:pgMar w:top="1440" w:right="1440" w:bottom="1440" w:left="1440" w:header="141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649" w14:textId="77777777" w:rsidR="00110C72" w:rsidRDefault="00110C72" w:rsidP="00FC3A67">
      <w:pPr>
        <w:spacing w:after="0" w:line="240" w:lineRule="auto"/>
      </w:pPr>
      <w:r>
        <w:separator/>
      </w:r>
    </w:p>
  </w:endnote>
  <w:endnote w:type="continuationSeparator" w:id="0">
    <w:p w14:paraId="6BECB8E1" w14:textId="77777777" w:rsidR="00110C72" w:rsidRDefault="00110C72" w:rsidP="00FC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76A5" w14:textId="2F7967A6" w:rsidR="00FC3A67" w:rsidRPr="008A4A23" w:rsidRDefault="008A4A23" w:rsidP="008A4A23">
    <w:pPr>
      <w:pBdr>
        <w:top w:val="single" w:sz="4" w:space="1" w:color="auto"/>
      </w:pBdr>
      <w:ind w:right="89"/>
      <w:rPr>
        <w:rFonts w:cstheme="minorHAnsi"/>
        <w:bCs/>
        <w:i/>
        <w:color w:val="365F91" w:themeColor="accent1" w:themeShade="BF"/>
        <w:sz w:val="16"/>
        <w:szCs w:val="16"/>
      </w:rPr>
    </w:pPr>
    <w:r w:rsidRPr="0059069B">
      <w:rPr>
        <w:rStyle w:val="Strong"/>
        <w:i/>
        <w:color w:val="3CA1BC"/>
        <w:sz w:val="16"/>
      </w:rPr>
      <w:t>„Implementarea Planului de Evaluare a Programului Operațional Capital Uman 2014-2020 - Evaluarea intervențiilor POCU în domeniul incluziunii sociale”, Contract nr. 36273 / 05.05.2020</w:t>
    </w:r>
    <w:r w:rsidRPr="00990DE6"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 w:rsidRPr="00D34F34">
      <w:rPr>
        <w:color w:val="365F91" w:themeColor="accent1" w:themeShade="BF"/>
        <w:sz w:val="16"/>
        <w:szCs w:val="16"/>
      </w:rPr>
      <w:tab/>
    </w:r>
    <w:r w:rsidRPr="0060402A">
      <w:rPr>
        <w:color w:val="365F91" w:themeColor="accent1" w:themeShade="BF"/>
        <w:sz w:val="16"/>
        <w:szCs w:val="16"/>
      </w:rPr>
      <w:fldChar w:fldCharType="begin"/>
    </w:r>
    <w:r w:rsidRPr="0060402A">
      <w:rPr>
        <w:color w:val="365F91" w:themeColor="accent1" w:themeShade="BF"/>
        <w:sz w:val="16"/>
        <w:szCs w:val="16"/>
      </w:rPr>
      <w:instrText xml:space="preserve"> PAGE   \* MERGEFORMAT </w:instrText>
    </w:r>
    <w:r w:rsidRPr="0060402A">
      <w:rPr>
        <w:color w:val="365F91" w:themeColor="accent1" w:themeShade="BF"/>
        <w:sz w:val="16"/>
        <w:szCs w:val="16"/>
      </w:rPr>
      <w:fldChar w:fldCharType="separate"/>
    </w:r>
    <w:r>
      <w:rPr>
        <w:color w:val="365F91" w:themeColor="accent1" w:themeShade="BF"/>
        <w:sz w:val="16"/>
        <w:szCs w:val="16"/>
      </w:rPr>
      <w:t>4</w:t>
    </w:r>
    <w:r w:rsidRPr="0060402A">
      <w:rPr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363B" w14:textId="77777777" w:rsidR="00110C72" w:rsidRDefault="00110C72" w:rsidP="00FC3A67">
      <w:pPr>
        <w:spacing w:after="0" w:line="240" w:lineRule="auto"/>
      </w:pPr>
      <w:r>
        <w:separator/>
      </w:r>
    </w:p>
  </w:footnote>
  <w:footnote w:type="continuationSeparator" w:id="0">
    <w:p w14:paraId="4567C1C9" w14:textId="77777777" w:rsidR="00110C72" w:rsidRDefault="00110C72" w:rsidP="00FC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D4D0" w14:textId="0DAE4722" w:rsidR="008A4A23" w:rsidRDefault="008A4A23" w:rsidP="008A4A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4C8033A5" wp14:editId="4738A087">
          <wp:simplePos x="0" y="0"/>
          <wp:positionH relativeFrom="column">
            <wp:posOffset>2644140</wp:posOffset>
          </wp:positionH>
          <wp:positionV relativeFrom="paragraph">
            <wp:posOffset>-546100</wp:posOffset>
          </wp:positionV>
          <wp:extent cx="670560" cy="640080"/>
          <wp:effectExtent l="0" t="0" r="0" b="7620"/>
          <wp:wrapNone/>
          <wp:docPr id="29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98F4D4" wp14:editId="0D3489FE">
          <wp:simplePos x="0" y="0"/>
          <wp:positionH relativeFrom="column">
            <wp:posOffset>5120640</wp:posOffset>
          </wp:positionH>
          <wp:positionV relativeFrom="paragraph">
            <wp:posOffset>-546100</wp:posOffset>
          </wp:positionV>
          <wp:extent cx="693420" cy="693420"/>
          <wp:effectExtent l="0" t="0" r="0" b="0"/>
          <wp:wrapNone/>
          <wp:docPr id="30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7728A417" wp14:editId="7445660B">
          <wp:simplePos x="0" y="0"/>
          <wp:positionH relativeFrom="column">
            <wp:posOffset>0</wp:posOffset>
          </wp:positionH>
          <wp:positionV relativeFrom="paragraph">
            <wp:posOffset>-546100</wp:posOffset>
          </wp:positionV>
          <wp:extent cx="800100" cy="670560"/>
          <wp:effectExtent l="0" t="0" r="0" b="0"/>
          <wp:wrapNone/>
          <wp:docPr id="28" name="image6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hape&#10;&#10;Description automatically generated with medium confidenc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 w:cs="Calibri"/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201DCAB1" w14:textId="5DC18903" w:rsidR="00FC3A67" w:rsidRPr="008A4A23" w:rsidRDefault="008A4A23" w:rsidP="008A4A23">
    <w:pPr>
      <w:pStyle w:val="Header"/>
      <w:rPr>
        <w:lang w:val="en-GB"/>
      </w:rPr>
    </w:pPr>
    <w:r w:rsidRPr="433666D0">
      <w:rPr>
        <w:noProof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C9F"/>
    <w:multiLevelType w:val="hybridMultilevel"/>
    <w:tmpl w:val="19AC4DE6"/>
    <w:lvl w:ilvl="0" w:tplc="F282E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3107"/>
    <w:multiLevelType w:val="hybridMultilevel"/>
    <w:tmpl w:val="39A26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369197">
    <w:abstractNumId w:val="1"/>
  </w:num>
  <w:num w:numId="2" w16cid:durableId="138386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45"/>
    <w:rsid w:val="0000697D"/>
    <w:rsid w:val="000D277D"/>
    <w:rsid w:val="00102369"/>
    <w:rsid w:val="001076F0"/>
    <w:rsid w:val="00110C72"/>
    <w:rsid w:val="00113EDB"/>
    <w:rsid w:val="00126755"/>
    <w:rsid w:val="0013437E"/>
    <w:rsid w:val="0014484E"/>
    <w:rsid w:val="00181115"/>
    <w:rsid w:val="001868D1"/>
    <w:rsid w:val="00246A5A"/>
    <w:rsid w:val="00266C5F"/>
    <w:rsid w:val="002771C6"/>
    <w:rsid w:val="0029091B"/>
    <w:rsid w:val="002F2393"/>
    <w:rsid w:val="00350E44"/>
    <w:rsid w:val="003628D4"/>
    <w:rsid w:val="00381F5D"/>
    <w:rsid w:val="003C09FD"/>
    <w:rsid w:val="00413903"/>
    <w:rsid w:val="0041579B"/>
    <w:rsid w:val="00417680"/>
    <w:rsid w:val="00440B86"/>
    <w:rsid w:val="004B4B44"/>
    <w:rsid w:val="004C1469"/>
    <w:rsid w:val="004F7AEE"/>
    <w:rsid w:val="00520F94"/>
    <w:rsid w:val="00535416"/>
    <w:rsid w:val="00544BE2"/>
    <w:rsid w:val="00552273"/>
    <w:rsid w:val="0056303A"/>
    <w:rsid w:val="00573813"/>
    <w:rsid w:val="00593B5F"/>
    <w:rsid w:val="0059635E"/>
    <w:rsid w:val="005A59C5"/>
    <w:rsid w:val="005B5C5A"/>
    <w:rsid w:val="005F2AEF"/>
    <w:rsid w:val="006511CA"/>
    <w:rsid w:val="00660180"/>
    <w:rsid w:val="006958B7"/>
    <w:rsid w:val="006A500F"/>
    <w:rsid w:val="006A619E"/>
    <w:rsid w:val="00726B0D"/>
    <w:rsid w:val="00741F20"/>
    <w:rsid w:val="0075052C"/>
    <w:rsid w:val="00753F5A"/>
    <w:rsid w:val="007C69B8"/>
    <w:rsid w:val="007D13B2"/>
    <w:rsid w:val="007F7497"/>
    <w:rsid w:val="00814175"/>
    <w:rsid w:val="008274E4"/>
    <w:rsid w:val="00837C5F"/>
    <w:rsid w:val="00844833"/>
    <w:rsid w:val="00867801"/>
    <w:rsid w:val="00875A96"/>
    <w:rsid w:val="00886851"/>
    <w:rsid w:val="008A4A23"/>
    <w:rsid w:val="008D19DF"/>
    <w:rsid w:val="009047AB"/>
    <w:rsid w:val="00920DED"/>
    <w:rsid w:val="00922921"/>
    <w:rsid w:val="009242FB"/>
    <w:rsid w:val="00956183"/>
    <w:rsid w:val="009A6F6A"/>
    <w:rsid w:val="009C34CC"/>
    <w:rsid w:val="009C71AE"/>
    <w:rsid w:val="00A05A19"/>
    <w:rsid w:val="00A21646"/>
    <w:rsid w:val="00A21BEF"/>
    <w:rsid w:val="00A2393A"/>
    <w:rsid w:val="00A31C65"/>
    <w:rsid w:val="00A435E0"/>
    <w:rsid w:val="00A603AF"/>
    <w:rsid w:val="00A82545"/>
    <w:rsid w:val="00AB30ED"/>
    <w:rsid w:val="00AB5E67"/>
    <w:rsid w:val="00AD3750"/>
    <w:rsid w:val="00B314AA"/>
    <w:rsid w:val="00B3595A"/>
    <w:rsid w:val="00B6392E"/>
    <w:rsid w:val="00BC0F5A"/>
    <w:rsid w:val="00BF5412"/>
    <w:rsid w:val="00C1090E"/>
    <w:rsid w:val="00C63FFB"/>
    <w:rsid w:val="00C95FFF"/>
    <w:rsid w:val="00CF4E7C"/>
    <w:rsid w:val="00D15455"/>
    <w:rsid w:val="00D55F2A"/>
    <w:rsid w:val="00D624CF"/>
    <w:rsid w:val="00DF41B9"/>
    <w:rsid w:val="00E158FC"/>
    <w:rsid w:val="00E80670"/>
    <w:rsid w:val="00E909CC"/>
    <w:rsid w:val="00EA4CF1"/>
    <w:rsid w:val="00EB0914"/>
    <w:rsid w:val="00EE22A1"/>
    <w:rsid w:val="00EF42AD"/>
    <w:rsid w:val="00F01EBA"/>
    <w:rsid w:val="00F24B54"/>
    <w:rsid w:val="00F47CC7"/>
    <w:rsid w:val="00F7155F"/>
    <w:rsid w:val="00FB0ADA"/>
    <w:rsid w:val="00FB5911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3F93"/>
  <w15:docId w15:val="{76D3E126-3754-4255-A9E2-5A63DC1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5A"/>
    <w:pPr>
      <w:overflowPunct w:val="0"/>
      <w:autoSpaceDE w:val="0"/>
      <w:autoSpaceDN w:val="0"/>
      <w:adjustRightInd w:val="0"/>
      <w:spacing w:after="120" w:line="240" w:lineRule="exact"/>
      <w:jc w:val="both"/>
    </w:pPr>
    <w:rPr>
      <w:rFonts w:ascii="Calibri" w:hAnsi="Calibri"/>
      <w:kern w:val="1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B5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5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B5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B5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B5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B5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B5F"/>
    <w:pPr>
      <w:spacing w:after="0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B5F"/>
    <w:pPr>
      <w:spacing w:after="0"/>
      <w:outlineLvl w:val="7"/>
    </w:pPr>
    <w:rPr>
      <w:rFonts w:asciiTheme="majorHAnsi" w:eastAsiaTheme="majorEastAsia" w:hAnsiTheme="majorHAnsi" w:cstheme="majorBidi"/>
      <w:kern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B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B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B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B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B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B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B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B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3B5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B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B5F"/>
    <w:pPr>
      <w:spacing w:after="600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B5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aliases w:val="RE Strong,Bold"/>
    <w:qFormat/>
    <w:rsid w:val="00593B5F"/>
    <w:rPr>
      <w:b/>
      <w:bCs/>
    </w:rPr>
  </w:style>
  <w:style w:type="character" w:styleId="Emphasis">
    <w:name w:val="Emphasis"/>
    <w:uiPriority w:val="20"/>
    <w:qFormat/>
    <w:rsid w:val="00593B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3B5F"/>
    <w:pPr>
      <w:spacing w:after="0" w:line="240" w:lineRule="auto"/>
    </w:pPr>
  </w:style>
  <w:style w:type="paragraph" w:styleId="ListParagraph">
    <w:name w:val="List Paragraph"/>
    <w:aliases w:val="List Paragraph (numbered (a)),WB Para,Lijstalinea1,A_wyliczenie,K-P_odwolanie,Akapit z listą5,maz_wyliczenie,opis dzialania,Bullet 1,Table of contents numbered,List Paragraph4,List1,body 2,bu,List Paragraph1,Normal bullet 2"/>
    <w:basedOn w:val="Normal"/>
    <w:link w:val="ListParagraphChar"/>
    <w:uiPriority w:val="34"/>
    <w:qFormat/>
    <w:rsid w:val="00593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3B5F"/>
    <w:pPr>
      <w:spacing w:before="200" w:after="0"/>
      <w:ind w:left="360" w:right="360"/>
    </w:pPr>
    <w:rPr>
      <w:rFonts w:asciiTheme="minorHAnsi" w:hAnsiTheme="minorHAnsi"/>
      <w:i/>
      <w:iCs/>
      <w:kern w:val="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93B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B5F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kern w:val="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B5F"/>
    <w:rPr>
      <w:b/>
      <w:bCs/>
      <w:i/>
      <w:iCs/>
    </w:rPr>
  </w:style>
  <w:style w:type="character" w:styleId="SubtleEmphasis">
    <w:name w:val="Subtle Emphasis"/>
    <w:uiPriority w:val="19"/>
    <w:qFormat/>
    <w:rsid w:val="00593B5F"/>
    <w:rPr>
      <w:i/>
      <w:iCs/>
    </w:rPr>
  </w:style>
  <w:style w:type="character" w:styleId="IntenseEmphasis">
    <w:name w:val="Intense Emphasis"/>
    <w:uiPriority w:val="21"/>
    <w:qFormat/>
    <w:rsid w:val="00593B5F"/>
    <w:rPr>
      <w:b/>
      <w:bCs/>
    </w:rPr>
  </w:style>
  <w:style w:type="character" w:styleId="SubtleReference">
    <w:name w:val="Subtle Reference"/>
    <w:uiPriority w:val="31"/>
    <w:qFormat/>
    <w:rsid w:val="00593B5F"/>
    <w:rPr>
      <w:smallCaps/>
    </w:rPr>
  </w:style>
  <w:style w:type="character" w:styleId="IntenseReference">
    <w:name w:val="Intense Reference"/>
    <w:uiPriority w:val="32"/>
    <w:qFormat/>
    <w:rsid w:val="00593B5F"/>
    <w:rPr>
      <w:smallCaps/>
      <w:spacing w:val="5"/>
      <w:u w:val="single"/>
    </w:rPr>
  </w:style>
  <w:style w:type="character" w:styleId="BookTitle">
    <w:name w:val="Book Title"/>
    <w:uiPriority w:val="33"/>
    <w:qFormat/>
    <w:rsid w:val="00593B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B5F"/>
    <w:pPr>
      <w:outlineLvl w:val="9"/>
    </w:pPr>
    <w:rPr>
      <w:kern w:val="12"/>
      <w:lang w:val="en-GB" w:bidi="en-US"/>
    </w:rPr>
  </w:style>
  <w:style w:type="table" w:styleId="TableGrid">
    <w:name w:val="Table Grid"/>
    <w:basedOn w:val="TableNormal"/>
    <w:uiPriority w:val="59"/>
    <w:rsid w:val="00C1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67"/>
    <w:rPr>
      <w:rFonts w:ascii="Arial" w:hAnsi="Arial"/>
      <w:kern w:val="1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67"/>
    <w:rPr>
      <w:rFonts w:ascii="Arial" w:hAnsi="Arial"/>
      <w:kern w:val="12"/>
      <w:sz w:val="20"/>
      <w:szCs w:val="20"/>
      <w:lang w:val="en-GB"/>
    </w:rPr>
  </w:style>
  <w:style w:type="character" w:customStyle="1" w:styleId="ListParagraphChar">
    <w:name w:val="List Paragraph Char"/>
    <w:aliases w:val="List Paragraph (numbered (a)) Char,WB Para Char,Lijstalinea1 Char,A_wyliczenie Char,K-P_odwolanie Char,Akapit z listą5 Char,maz_wyliczenie Char,opis dzialania Char,Bullet 1 Char,Table of contents numbered Char,List Paragraph4 Char"/>
    <w:link w:val="ListParagraph"/>
    <w:uiPriority w:val="34"/>
    <w:qFormat/>
    <w:locked/>
    <w:rsid w:val="002771C6"/>
    <w:rPr>
      <w:rFonts w:ascii="Calibri" w:hAnsi="Calibri"/>
      <w:kern w:val="1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CF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A4CF1"/>
    <w:pPr>
      <w:overflowPunct/>
      <w:autoSpaceDE/>
      <w:autoSpaceDN/>
      <w:adjustRightInd/>
      <w:spacing w:after="100" w:line="259" w:lineRule="auto"/>
      <w:jc w:val="left"/>
    </w:pPr>
    <w:rPr>
      <w:rFonts w:asciiTheme="minorHAnsi" w:hAnsiTheme="minorHAnsi"/>
      <w:kern w:val="0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4C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B9"/>
    <w:rPr>
      <w:rFonts w:ascii="Tahoma" w:hAnsi="Tahoma" w:cs="Tahoma"/>
      <w:kern w:val="1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36CB-A834-4A35-88EA-072806F0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Magdalina</dc:creator>
  <cp:lastModifiedBy>Alina Ionescu</cp:lastModifiedBy>
  <cp:revision>5</cp:revision>
  <dcterms:created xsi:type="dcterms:W3CDTF">2022-04-08T04:11:00Z</dcterms:created>
  <dcterms:modified xsi:type="dcterms:W3CDTF">2022-04-14T12:43:00Z</dcterms:modified>
</cp:coreProperties>
</file>